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CA555" w14:textId="214656D8" w:rsidR="00C827AC" w:rsidRDefault="00857BB5" w:rsidP="00857BB5">
      <w:pPr>
        <w:pStyle w:val="Pagedecouverture"/>
        <w:rPr>
          <w:noProof/>
        </w:rPr>
        <w:sectPr w:rsidR="00C827AC" w:rsidSect="00857BB5">
          <w:headerReference w:type="even" r:id="rId11"/>
          <w:headerReference w:type="default" r:id="rId12"/>
          <w:footerReference w:type="even" r:id="rId13"/>
          <w:footerReference w:type="default" r:id="rId14"/>
          <w:headerReference w:type="first" r:id="rId15"/>
          <w:footerReference w:type="first" r:id="rId16"/>
          <w:pgSz w:w="11906" w:h="16838"/>
          <w:pgMar w:top="1134" w:right="1417" w:bottom="1134" w:left="1417" w:header="709" w:footer="709" w:gutter="0"/>
          <w:pgNumType w:start="0"/>
          <w:cols w:space="720"/>
          <w:docGrid w:linePitch="360"/>
        </w:sectPr>
      </w:pPr>
      <w:bookmarkStart w:id="0" w:name="LW_BM_COVERPAGE"/>
      <w:r>
        <w:rPr>
          <w:noProof/>
        </w:rPr>
        <w:pict w14:anchorId="5EFE69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735AE398-B08C-45BA-A77F-5E41FC357A51" style="width:455pt;height:438.5pt">
            <v:imagedata r:id="rId17" o:title=""/>
          </v:shape>
        </w:pict>
      </w:r>
      <w:bookmarkEnd w:id="0"/>
    </w:p>
    <w:p w14:paraId="0D015D11" w14:textId="77777777" w:rsidR="00C827AC" w:rsidRDefault="00A9355C">
      <w:pPr>
        <w:pStyle w:val="ListParagraph"/>
        <w:numPr>
          <w:ilvl w:val="0"/>
          <w:numId w:val="4"/>
        </w:numPr>
        <w:spacing w:before="160" w:after="60"/>
        <w:rPr>
          <w:rFonts w:ascii="Times New Roman" w:eastAsia="Arial" w:hAnsi="Times New Roman" w:cs="Times New Roman"/>
          <w:b/>
          <w:bCs/>
          <w:noProof/>
          <w:sz w:val="24"/>
          <w:szCs w:val="24"/>
        </w:rPr>
      </w:pPr>
      <w:r>
        <w:rPr>
          <w:rFonts w:ascii="Times New Roman" w:eastAsia="Arial" w:hAnsi="Times New Roman" w:cs="Times New Roman"/>
          <w:b/>
          <w:bCs/>
          <w:noProof/>
          <w:sz w:val="24"/>
          <w:szCs w:val="24"/>
        </w:rPr>
        <w:lastRenderedPageBreak/>
        <w:t>Need for EU action</w:t>
      </w:r>
    </w:p>
    <w:p w14:paraId="085C0848" w14:textId="77777777" w:rsidR="00C827AC" w:rsidRDefault="00A9355C">
      <w:pPr>
        <w:spacing w:before="160" w:after="60"/>
        <w:rPr>
          <w:rFonts w:ascii="Times New Roman" w:hAnsi="Times New Roman" w:cs="Times New Roman"/>
          <w:noProof/>
          <w:sz w:val="24"/>
          <w:szCs w:val="24"/>
        </w:rPr>
      </w:pPr>
      <w:r>
        <w:rPr>
          <w:rFonts w:ascii="Times New Roman" w:eastAsia="Arial" w:hAnsi="Times New Roman" w:cs="Times New Roman"/>
          <w:b/>
          <w:bCs/>
          <w:noProof/>
          <w:sz w:val="24"/>
          <w:szCs w:val="24"/>
        </w:rPr>
        <w:t>What is the problem being addressed?</w:t>
      </w:r>
    </w:p>
    <w:p w14:paraId="4DB660FC" w14:textId="77777777" w:rsidR="00C827AC" w:rsidRDefault="00A9355C">
      <w:pPr>
        <w:spacing w:before="60" w:after="100"/>
        <w:jc w:val="both"/>
        <w:rPr>
          <w:rFonts w:ascii="Times New Roman" w:hAnsi="Times New Roman" w:cs="Times New Roman"/>
          <w:noProof/>
          <w:sz w:val="24"/>
          <w:szCs w:val="24"/>
        </w:rPr>
      </w:pPr>
      <w:r>
        <w:rPr>
          <w:rFonts w:ascii="Times New Roman" w:eastAsia="Arial" w:hAnsi="Times New Roman" w:cs="Times New Roman"/>
          <w:noProof/>
          <w:sz w:val="24"/>
          <w:szCs w:val="24"/>
        </w:rPr>
        <w:t>The EU faces persistent and deepening labour and skills shortages across key sectors, including healthcare, ICT, construction and education. Third-country nationals (TCNs) make a substantial and growing contribution to EU labour markets</w:t>
      </w:r>
      <w:r>
        <w:rPr>
          <w:rStyle w:val="FootnoteReference"/>
          <w:rFonts w:ascii="Times New Roman" w:eastAsia="Arial" w:hAnsi="Times New Roman" w:cs="Times New Roman"/>
          <w:noProof/>
          <w:sz w:val="24"/>
          <w:szCs w:val="24"/>
        </w:rPr>
        <w:footnoteReference w:id="1"/>
      </w:r>
      <w:r>
        <w:rPr>
          <w:rFonts w:ascii="Times New Roman" w:eastAsia="Times New Roman" w:hAnsi="Times New Roman" w:cs="Times New Roman"/>
          <w:noProof/>
          <w:sz w:val="24"/>
          <w:szCs w:val="24"/>
        </w:rPr>
        <w:t xml:space="preserve"> and have particularly strong presence in sectors facing acute labour shortages, including health and long-term care, ICT, construction and engineering.</w:t>
      </w:r>
      <w:r>
        <w:rPr>
          <w:rFonts w:ascii="Times New Roman" w:eastAsia="Arial" w:hAnsi="Times New Roman" w:cs="Times New Roman"/>
          <w:noProof/>
          <w:sz w:val="24"/>
          <w:szCs w:val="24"/>
        </w:rPr>
        <w:t xml:space="preserve"> At the same time, the overqualification rate among TCNs is nearly twice as high as for nationals, indicating that their skills are not being effectively translated into labour market outcomes. </w:t>
      </w:r>
    </w:p>
    <w:p w14:paraId="68B3918A" w14:textId="77777777" w:rsidR="00C827AC" w:rsidRDefault="00A9355C">
      <w:pPr>
        <w:spacing w:before="60" w:after="100"/>
        <w:jc w:val="both"/>
        <w:rPr>
          <w:rFonts w:ascii="Times New Roman" w:eastAsia="Times New Roman" w:hAnsi="Times New Roman" w:cs="Times New Roman"/>
          <w:noProof/>
          <w:sz w:val="24"/>
          <w:szCs w:val="24"/>
        </w:rPr>
      </w:pPr>
      <w:r>
        <w:rPr>
          <w:rFonts w:ascii="Times New Roman" w:eastAsia="Arial" w:hAnsi="Times New Roman" w:cs="Times New Roman"/>
          <w:noProof/>
          <w:sz w:val="24"/>
          <w:szCs w:val="24"/>
        </w:rPr>
        <w:t xml:space="preserve">TCNs seeking employment in the EU and/or wanting to access a regulated profession face fragmented, burdensome and opaque procedures for recognising their qualifications, </w:t>
      </w:r>
      <w:r>
        <w:rPr>
          <w:rFonts w:ascii="Times New Roman" w:eastAsia="Times New Roman" w:hAnsi="Times New Roman" w:cs="Times New Roman"/>
          <w:noProof/>
          <w:sz w:val="24"/>
          <w:szCs w:val="24"/>
        </w:rPr>
        <w:t xml:space="preserve">undermining </w:t>
      </w:r>
      <w:r>
        <w:rPr>
          <w:rFonts w:ascii="Times New Roman" w:eastAsia="Arial" w:hAnsi="Times New Roman" w:cs="Times New Roman"/>
          <w:noProof/>
          <w:sz w:val="24"/>
          <w:szCs w:val="24"/>
        </w:rPr>
        <w:t xml:space="preserve">the </w:t>
      </w:r>
      <w:r>
        <w:rPr>
          <w:rFonts w:ascii="Times New Roman" w:eastAsia="Times New Roman" w:hAnsi="Times New Roman" w:cs="Times New Roman"/>
          <w:noProof/>
          <w:sz w:val="24"/>
          <w:szCs w:val="24"/>
        </w:rPr>
        <w:t>attractiveness of the Single Market as a destination for global talent. The average duration of a recognition procedure for access to a regulated profession is estimated at 14.2 months and direct administrative costs approximate EUR 1500 per application. Em</w:t>
      </w:r>
      <w:r>
        <w:rPr>
          <w:rFonts w:ascii="Times New Roman" w:eastAsia="Arial" w:hAnsi="Times New Roman" w:cs="Times New Roman"/>
          <w:noProof/>
          <w:sz w:val="24"/>
          <w:szCs w:val="24"/>
        </w:rPr>
        <w:t>ployers, particularly SMEs, also face uncertainty and high administrative costs when assessing third-country qualifications, reducing their incentives to recruit internationally even in sectors facing severe shortages.</w:t>
      </w:r>
    </w:p>
    <w:p w14:paraId="4BE34DD9" w14:textId="77777777" w:rsidR="00C827AC" w:rsidRDefault="00A9355C">
      <w:pPr>
        <w:spacing w:before="60" w:after="100"/>
        <w:jc w:val="both"/>
        <w:rPr>
          <w:rFonts w:ascii="Times New Roman" w:eastAsia="Times New Roman" w:hAnsi="Times New Roman" w:cs="Times New Roman"/>
          <w:noProof/>
          <w:sz w:val="24"/>
          <w:szCs w:val="24"/>
        </w:rPr>
      </w:pPr>
      <w:r>
        <w:rPr>
          <w:rFonts w:ascii="Times New Roman" w:eastAsia="Arial" w:hAnsi="Times New Roman" w:cs="Times New Roman"/>
          <w:noProof/>
          <w:sz w:val="24"/>
          <w:szCs w:val="24"/>
        </w:rPr>
        <w:t xml:space="preserve">Three mutually reinforcing drivers underpin the problem: the divergence across national recognition systems involving different migration and other competent authorities (CAs); the </w:t>
      </w:r>
      <w:r>
        <w:rPr>
          <w:rFonts w:ascii="Times New Roman" w:eastAsia="Times New Roman" w:hAnsi="Times New Roman" w:cs="Times New Roman"/>
          <w:noProof/>
          <w:sz w:val="24"/>
          <w:szCs w:val="24"/>
        </w:rPr>
        <w:t>complexity and burden of procedures for TCN, and the difficulties faced by authorities and employers in understanding and trusting qualifications and skills obtained in third countries.</w:t>
      </w:r>
    </w:p>
    <w:p w14:paraId="6A2E5B31" w14:textId="77777777" w:rsidR="00C827AC" w:rsidRDefault="00C827AC">
      <w:pPr>
        <w:spacing w:before="60" w:after="100"/>
        <w:jc w:val="both"/>
        <w:rPr>
          <w:rFonts w:ascii="Times New Roman" w:eastAsia="Arial" w:hAnsi="Times New Roman" w:cs="Times New Roman"/>
          <w:noProof/>
          <w:sz w:val="24"/>
          <w:szCs w:val="24"/>
        </w:rPr>
      </w:pPr>
    </w:p>
    <w:p w14:paraId="0F6D4D15" w14:textId="77777777" w:rsidR="00C827AC" w:rsidRDefault="00A9355C">
      <w:pPr>
        <w:spacing w:before="160" w:after="60"/>
        <w:rPr>
          <w:rFonts w:ascii="Times New Roman" w:eastAsia="Arial" w:hAnsi="Times New Roman" w:cs="Times New Roman"/>
          <w:b/>
          <w:bCs/>
          <w:noProof/>
          <w:sz w:val="24"/>
          <w:szCs w:val="24"/>
        </w:rPr>
      </w:pPr>
      <w:r>
        <w:rPr>
          <w:rFonts w:ascii="Times New Roman" w:eastAsia="Arial" w:hAnsi="Times New Roman" w:cs="Times New Roman"/>
          <w:b/>
          <w:bCs/>
          <w:noProof/>
          <w:sz w:val="24"/>
          <w:szCs w:val="24"/>
        </w:rPr>
        <w:t>What is this initiative expected to achieve?</w:t>
      </w:r>
    </w:p>
    <w:p w14:paraId="6F32CFC8" w14:textId="77777777" w:rsidR="00C827AC" w:rsidRDefault="00A9355C">
      <w:pPr>
        <w:jc w:val="both"/>
        <w:rPr>
          <w:noProof/>
        </w:rPr>
      </w:pPr>
      <w:r>
        <w:rPr>
          <w:rFonts w:ascii="Times New Roman" w:eastAsia="Times New Roman" w:hAnsi="Times New Roman" w:cs="Times New Roman"/>
          <w:noProof/>
          <w:sz w:val="24"/>
          <w:szCs w:val="24"/>
        </w:rPr>
        <w:t>The primary objective of this initiative is to address EU labour and skills shortages by facilitating the recognition of qualifications for TCNs. To achieve this, the initiative focuses on three key areas:</w:t>
      </w:r>
    </w:p>
    <w:p w14:paraId="0B5A0B7E" w14:textId="77777777" w:rsidR="00C827AC" w:rsidRDefault="00A9355C">
      <w:pPr>
        <w:pStyle w:val="ListParagraph"/>
        <w:numPr>
          <w:ilvl w:val="0"/>
          <w:numId w:val="1"/>
        </w:numPr>
        <w:spacing w:after="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Streamlining qualification recognition systems both within and across Member States by improving alignment and consistency between national recognition systems across the EU, and coherence within MS between recognition systems for access to regulated professions and those embedded in migration regimes.</w:t>
      </w:r>
    </w:p>
    <w:p w14:paraId="1877A08A" w14:textId="77777777" w:rsidR="00C827AC" w:rsidRDefault="00A9355C">
      <w:pPr>
        <w:pStyle w:val="ListParagraph"/>
        <w:numPr>
          <w:ilvl w:val="0"/>
          <w:numId w:val="1"/>
        </w:numPr>
        <w:spacing w:after="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Reducing legal and administrative complexity for applicants, employers, and authorities </w:t>
      </w:r>
    </w:p>
    <w:p w14:paraId="405697B6" w14:textId="77777777" w:rsidR="00C827AC" w:rsidRDefault="00A9355C">
      <w:pPr>
        <w:pStyle w:val="ListParagraph"/>
        <w:numPr>
          <w:ilvl w:val="0"/>
          <w:numId w:val="1"/>
        </w:numPr>
        <w:spacing w:after="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Improving the clarity and comparability of third-country qualifications to boost trust and enhance the overall assessment of foreign skills across the EU.</w:t>
      </w:r>
    </w:p>
    <w:p w14:paraId="55070931" w14:textId="77777777" w:rsidR="00C827AC" w:rsidRDefault="00C827AC">
      <w:pPr>
        <w:spacing w:before="40" w:after="60"/>
        <w:jc w:val="both"/>
        <w:rPr>
          <w:rFonts w:ascii="Times New Roman" w:eastAsia="Arial" w:hAnsi="Times New Roman" w:cs="Times New Roman"/>
          <w:noProof/>
          <w:sz w:val="24"/>
          <w:szCs w:val="24"/>
        </w:rPr>
      </w:pPr>
    </w:p>
    <w:p w14:paraId="09F8821C" w14:textId="77777777" w:rsidR="00C827AC" w:rsidRDefault="00A9355C">
      <w:pPr>
        <w:spacing w:before="160" w:after="60"/>
        <w:rPr>
          <w:rFonts w:ascii="Times New Roman" w:hAnsi="Times New Roman" w:cs="Times New Roman"/>
          <w:noProof/>
          <w:sz w:val="24"/>
          <w:szCs w:val="24"/>
        </w:rPr>
      </w:pPr>
      <w:r>
        <w:rPr>
          <w:rFonts w:ascii="Times New Roman" w:eastAsia="Arial" w:hAnsi="Times New Roman" w:cs="Times New Roman"/>
          <w:b/>
          <w:bCs/>
          <w:noProof/>
          <w:sz w:val="24"/>
          <w:szCs w:val="24"/>
        </w:rPr>
        <w:t>What is the added value of action at EU level?</w:t>
      </w:r>
    </w:p>
    <w:p w14:paraId="1DA40F77" w14:textId="77777777" w:rsidR="00C827AC" w:rsidRDefault="00A9355C">
      <w:pPr>
        <w:spacing w:before="60" w:after="100"/>
        <w:jc w:val="both"/>
        <w:rPr>
          <w:rFonts w:ascii="Times New Roman" w:eastAsia="Times New Roman" w:hAnsi="Times New Roman" w:cs="Times New Roman"/>
          <w:noProof/>
          <w:sz w:val="24"/>
          <w:szCs w:val="24"/>
        </w:rPr>
      </w:pPr>
      <w:r>
        <w:rPr>
          <w:rFonts w:ascii="Times New Roman" w:eastAsia="Arial" w:hAnsi="Times New Roman" w:cs="Times New Roman"/>
          <w:noProof/>
          <w:sz w:val="24"/>
          <w:szCs w:val="24"/>
        </w:rPr>
        <w:lastRenderedPageBreak/>
        <w:t>Labour shortages are cross-border in causes and consequences. The EU collectively presents itself as a single destination for talent through the EU Talent Pool, Talent Partnerships, the Blue Card and other legal migration instruments. However, i</w:t>
      </w:r>
      <w:r>
        <w:rPr>
          <w:rFonts w:ascii="Times New Roman" w:eastAsia="Times New Roman" w:hAnsi="Times New Roman" w:cs="Times New Roman"/>
          <w:noProof/>
          <w:sz w:val="24"/>
          <w:szCs w:val="24"/>
        </w:rPr>
        <w:t>f recognition remains cumbersome and unpredictable, the value added of those instruments will be reduced for employers and jobseekers. Facilitating the recognition of qualifications of TCNs would send a clear signal that the Union offers fair and navigable routes for skilled workers to use their qualifications. A such, it enhances the EU’s global competitiveness by ensuring it  can swiftly integrate and retain the exact talent needed to drive innovation and economic growth.</w:t>
      </w:r>
    </w:p>
    <w:p w14:paraId="39F210E9" w14:textId="77777777" w:rsidR="00C827AC" w:rsidRDefault="00A9355C">
      <w:pPr>
        <w:spacing w:before="60" w:after="100"/>
        <w:jc w:val="both"/>
        <w:rPr>
          <w:rFonts w:ascii="Times New Roman" w:hAnsi="Times New Roman" w:cs="Times New Roman"/>
          <w:noProof/>
          <w:sz w:val="24"/>
          <w:szCs w:val="24"/>
        </w:rPr>
      </w:pPr>
      <w:r>
        <w:rPr>
          <w:rFonts w:ascii="Times New Roman" w:eastAsia="Arial" w:hAnsi="Times New Roman" w:cs="Times New Roman"/>
          <w:noProof/>
          <w:sz w:val="24"/>
          <w:szCs w:val="24"/>
        </w:rPr>
        <w:t>Acting at EU level delivers economies of scale — particularly for building trust in third-country qualifications, which requires shared tools and shared knowledge — and prevents further divergence that would arise if 27 Member States continue to develop parallel national approaches. The legal basis is Article 79(2)(a) and (b) TFEU.</w:t>
      </w:r>
    </w:p>
    <w:p w14:paraId="167F9BD4" w14:textId="77777777" w:rsidR="00C827AC" w:rsidRDefault="00A9355C">
      <w:pPr>
        <w:pStyle w:val="ListParagraph"/>
        <w:numPr>
          <w:ilvl w:val="0"/>
          <w:numId w:val="4"/>
        </w:numPr>
        <w:spacing w:after="60"/>
        <w:rPr>
          <w:rFonts w:ascii="Times New Roman" w:hAnsi="Times New Roman" w:cs="Times New Roman"/>
          <w:b/>
          <w:bCs/>
          <w:noProof/>
          <w:sz w:val="24"/>
          <w:szCs w:val="24"/>
        </w:rPr>
      </w:pPr>
      <w:r>
        <w:rPr>
          <w:rFonts w:ascii="Times New Roman" w:hAnsi="Times New Roman" w:cs="Times New Roman"/>
          <w:b/>
          <w:bCs/>
          <w:noProof/>
          <w:sz w:val="24"/>
          <w:szCs w:val="24"/>
        </w:rPr>
        <w:t>Policy options</w:t>
      </w:r>
    </w:p>
    <w:p w14:paraId="3889DE0C" w14:textId="77777777" w:rsidR="00C827AC" w:rsidRDefault="00A9355C">
      <w:pPr>
        <w:spacing w:before="160" w:after="60"/>
        <w:rPr>
          <w:rFonts w:ascii="Times New Roman" w:hAnsi="Times New Roman" w:cs="Times New Roman"/>
          <w:noProof/>
          <w:sz w:val="24"/>
          <w:szCs w:val="24"/>
        </w:rPr>
      </w:pPr>
      <w:r>
        <w:rPr>
          <w:rFonts w:ascii="Times New Roman" w:eastAsia="Arial" w:hAnsi="Times New Roman" w:cs="Times New Roman"/>
          <w:b/>
          <w:bCs/>
          <w:noProof/>
          <w:sz w:val="24"/>
          <w:szCs w:val="24"/>
        </w:rPr>
        <w:t>What policy options have been considered? Is there a preferred choice? Why?</w:t>
      </w:r>
    </w:p>
    <w:p w14:paraId="1C183785" w14:textId="77777777" w:rsidR="00C827AC" w:rsidRDefault="00A9355C">
      <w:pPr>
        <w:spacing w:before="60" w:after="100"/>
        <w:jc w:val="both"/>
        <w:rPr>
          <w:rFonts w:ascii="Times New Roman" w:hAnsi="Times New Roman" w:cs="Times New Roman"/>
          <w:noProof/>
          <w:sz w:val="24"/>
          <w:szCs w:val="24"/>
        </w:rPr>
      </w:pPr>
      <w:r>
        <w:rPr>
          <w:rFonts w:ascii="Times New Roman" w:eastAsia="Arial" w:hAnsi="Times New Roman" w:cs="Times New Roman"/>
          <w:noProof/>
          <w:sz w:val="24"/>
          <w:szCs w:val="24"/>
        </w:rPr>
        <w:t xml:space="preserve">Three policy options were assessed, all aiming to improve recognition of TCN qualifications across the EU, simultaneously addressing systemic divergence, procedural complexity and the trust deficit. </w:t>
      </w:r>
    </w:p>
    <w:p w14:paraId="6816B5E4" w14:textId="77777777" w:rsidR="00C827AC" w:rsidRDefault="00A9355C">
      <w:pPr>
        <w:spacing w:before="60" w:after="100"/>
        <w:jc w:val="both"/>
        <w:rPr>
          <w:rFonts w:ascii="Times New Roman" w:hAnsi="Times New Roman" w:cs="Times New Roman"/>
          <w:noProof/>
          <w:sz w:val="24"/>
          <w:szCs w:val="24"/>
        </w:rPr>
      </w:pPr>
      <w:r>
        <w:rPr>
          <w:rFonts w:ascii="Times New Roman" w:eastAsia="Arial" w:hAnsi="Times New Roman" w:cs="Times New Roman"/>
          <w:b/>
          <w:bCs/>
          <w:noProof/>
          <w:sz w:val="24"/>
          <w:szCs w:val="24"/>
        </w:rPr>
        <w:t>Policy Option 1 (PO1)</w:t>
      </w:r>
      <w:r>
        <w:rPr>
          <w:rFonts w:ascii="Times New Roman" w:eastAsia="Arial" w:hAnsi="Times New Roman" w:cs="Times New Roman"/>
          <w:noProof/>
          <w:sz w:val="24"/>
          <w:szCs w:val="24"/>
        </w:rPr>
        <w:t xml:space="preserve"> consists of voluntary soft measures to establish common tools developed collaboratively by the Commission, Member States and stakeholders. These include EU guidelines for recognition procedures, voluntary common templates and documentation checklists, and AI-assisted verification tools. No obligations are imposed on Member States.</w:t>
      </w:r>
    </w:p>
    <w:p w14:paraId="4A4CDE18" w14:textId="77777777" w:rsidR="00C827AC" w:rsidRDefault="00A9355C">
      <w:pPr>
        <w:spacing w:before="60" w:after="100"/>
        <w:jc w:val="both"/>
        <w:rPr>
          <w:rFonts w:ascii="Times New Roman" w:hAnsi="Times New Roman" w:cs="Times New Roman"/>
          <w:noProof/>
          <w:sz w:val="24"/>
          <w:szCs w:val="24"/>
        </w:rPr>
      </w:pPr>
      <w:r>
        <w:rPr>
          <w:rFonts w:ascii="Times New Roman" w:eastAsia="Arial" w:hAnsi="Times New Roman" w:cs="Times New Roman"/>
          <w:b/>
          <w:bCs/>
          <w:noProof/>
          <w:sz w:val="24"/>
          <w:szCs w:val="24"/>
        </w:rPr>
        <w:t xml:space="preserve">Policy Option 2 (PO2) </w:t>
      </w:r>
      <w:r>
        <w:rPr>
          <w:rFonts w:ascii="Times New Roman" w:eastAsia="Arial" w:hAnsi="Times New Roman" w:cs="Times New Roman"/>
          <w:noProof/>
          <w:sz w:val="24"/>
          <w:szCs w:val="24"/>
        </w:rPr>
        <w:t>would</w:t>
      </w:r>
      <w:r>
        <w:rPr>
          <w:rFonts w:ascii="Times New Roman" w:eastAsia="Arial" w:hAnsi="Times New Roman" w:cs="Times New Roman"/>
          <w:b/>
          <w:bCs/>
          <w:noProof/>
          <w:sz w:val="24"/>
          <w:szCs w:val="24"/>
        </w:rPr>
        <w:t xml:space="preserve"> </w:t>
      </w:r>
      <w:r>
        <w:rPr>
          <w:rFonts w:ascii="Times New Roman" w:eastAsia="Arial" w:hAnsi="Times New Roman" w:cs="Times New Roman"/>
          <w:noProof/>
          <w:sz w:val="24"/>
          <w:szCs w:val="24"/>
        </w:rPr>
        <w:t>introduce a common, binding set of procedural rules at EU-level for the recognition of qualifications of third-country nationals. This includes fixed deadlines, a right to appeal, a set list of required documents, fee transparency, the right to communicate in a language frequently used by migrants, and coordination between recognition and migration authorities. This option would also establish an EU-level authenticity check service and interoperable national databases on the comparability of third-country q</w:t>
      </w:r>
      <w:r>
        <w:rPr>
          <w:rFonts w:ascii="Times New Roman" w:eastAsia="Arial" w:hAnsi="Times New Roman" w:cs="Times New Roman"/>
          <w:noProof/>
          <w:sz w:val="24"/>
          <w:szCs w:val="24"/>
        </w:rPr>
        <w:t>ualifications.</w:t>
      </w:r>
    </w:p>
    <w:p w14:paraId="01F118A3" w14:textId="77777777" w:rsidR="00C827AC" w:rsidRDefault="00A9355C">
      <w:pPr>
        <w:spacing w:before="60" w:after="100"/>
        <w:jc w:val="both"/>
        <w:rPr>
          <w:rFonts w:ascii="Times New Roman" w:hAnsi="Times New Roman" w:cs="Times New Roman"/>
          <w:noProof/>
          <w:sz w:val="24"/>
          <w:szCs w:val="24"/>
        </w:rPr>
      </w:pPr>
      <w:r>
        <w:rPr>
          <w:rFonts w:ascii="Times New Roman" w:eastAsia="Arial" w:hAnsi="Times New Roman" w:cs="Times New Roman"/>
          <w:b/>
          <w:bCs/>
          <w:noProof/>
          <w:sz w:val="24"/>
          <w:szCs w:val="24"/>
        </w:rPr>
        <w:t>Policy Option 3 (PO3)</w:t>
      </w:r>
      <w:r>
        <w:rPr>
          <w:rFonts w:ascii="Times New Roman" w:eastAsia="Arial" w:hAnsi="Times New Roman" w:cs="Times New Roman"/>
          <w:noProof/>
          <w:sz w:val="24"/>
          <w:szCs w:val="24"/>
        </w:rPr>
        <w:t xml:space="preserve"> includes all measures under PO2 and adds an EU system of automatic recognition for third-country qualifications for those professions for which harmonised minimum training requirements exist under the Professional Qualifications Directive (PQD. Under this system, third-country institutions voluntarily apply to have specific programmes verified against EU quality assurance standards and PQD minimum training requirements by designated trusted review bodies. Approved programmes are listed in a publicly access</w:t>
      </w:r>
      <w:r>
        <w:rPr>
          <w:rFonts w:ascii="Times New Roman" w:eastAsia="Arial" w:hAnsi="Times New Roman" w:cs="Times New Roman"/>
          <w:noProof/>
          <w:sz w:val="24"/>
          <w:szCs w:val="24"/>
        </w:rPr>
        <w:t>ible EU register. Holders of listed qualifications receive automatic recognition in any Member State without individual assessment, on the same conditions as EU-citizens under OQD. Qualifications must be issued by third country institutions as verifiable digital credentials.</w:t>
      </w:r>
    </w:p>
    <w:p w14:paraId="194AD77F" w14:textId="77777777" w:rsidR="00C827AC" w:rsidRDefault="00A9355C">
      <w:pPr>
        <w:spacing w:before="60" w:after="100"/>
        <w:jc w:val="both"/>
        <w:rPr>
          <w:rFonts w:ascii="Times New Roman" w:hAnsi="Times New Roman" w:cs="Times New Roman"/>
          <w:noProof/>
          <w:sz w:val="24"/>
          <w:szCs w:val="24"/>
        </w:rPr>
      </w:pPr>
      <w:r>
        <w:rPr>
          <w:rFonts w:ascii="Times New Roman" w:eastAsia="Arial" w:hAnsi="Times New Roman" w:cs="Times New Roman"/>
          <w:b/>
          <w:bCs/>
          <w:noProof/>
          <w:sz w:val="24"/>
          <w:szCs w:val="24"/>
        </w:rPr>
        <w:lastRenderedPageBreak/>
        <w:t>PO3 is identified as the preferred option.</w:t>
      </w:r>
      <w:r>
        <w:rPr>
          <w:rFonts w:ascii="Times New Roman" w:eastAsia="Arial" w:hAnsi="Times New Roman" w:cs="Times New Roman"/>
          <w:noProof/>
          <w:sz w:val="24"/>
          <w:szCs w:val="24"/>
        </w:rPr>
        <w:t xml:space="preserve"> It is the most effective, efficient and coherent of the three options assessed. The combination of common procedural rules and a system of automatic recognition for selected training programmes produces the strongest direct cost savings and the strongest indirect benefits across all dimensions tested, while remaining proportionate (it does not harmonise national education and vocational education and training systems, does not create new professional standards, and fully respects Member State competence ov</w:t>
      </w:r>
      <w:r>
        <w:rPr>
          <w:rFonts w:ascii="Times New Roman" w:eastAsia="Arial" w:hAnsi="Times New Roman" w:cs="Times New Roman"/>
          <w:noProof/>
          <w:sz w:val="24"/>
          <w:szCs w:val="24"/>
        </w:rPr>
        <w:t>er regulation of professions, the organisation of education and training systems, recognition decisions, and migration policy and admissions). No new administrative burdens are imposed on citizens and businesses.</w:t>
      </w:r>
    </w:p>
    <w:p w14:paraId="6739D20B" w14:textId="77777777" w:rsidR="00C827AC" w:rsidRDefault="00A9355C">
      <w:pPr>
        <w:spacing w:before="160" w:after="60"/>
        <w:rPr>
          <w:rFonts w:ascii="Times New Roman" w:hAnsi="Times New Roman" w:cs="Times New Roman"/>
          <w:noProof/>
          <w:sz w:val="24"/>
          <w:szCs w:val="24"/>
        </w:rPr>
      </w:pPr>
      <w:r>
        <w:rPr>
          <w:rFonts w:ascii="Times New Roman" w:eastAsia="Arial" w:hAnsi="Times New Roman" w:cs="Times New Roman"/>
          <w:b/>
          <w:bCs/>
          <w:noProof/>
          <w:sz w:val="24"/>
          <w:szCs w:val="24"/>
        </w:rPr>
        <w:t>Who supports which option?</w:t>
      </w:r>
    </w:p>
    <w:p w14:paraId="303BD59A" w14:textId="77777777" w:rsidR="00C827AC" w:rsidRDefault="00A9355C">
      <w:pPr>
        <w:spacing w:after="24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There is broad consensus among stakeholders that difficulties in the recognition of qualifications and the validation of skills of TCN constitute a major structural barrier to effective labour market integration and to addressing persistent labour shortages. </w:t>
      </w:r>
    </w:p>
    <w:p w14:paraId="027E341D" w14:textId="77777777" w:rsidR="00C827AC" w:rsidRDefault="00A9355C">
      <w:pPr>
        <w:spacing w:after="24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Civil society and professional organisations as well as TCN and employers support binding minimum procedural standards foreseen under the preferred option. </w:t>
      </w:r>
    </w:p>
    <w:p w14:paraId="3EA1F4BB" w14:textId="77777777" w:rsidR="00C827AC" w:rsidRDefault="00A9355C">
      <w:pPr>
        <w:spacing w:after="24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Business associations generally welcome the approach to address labour shortages and supporting EU competitiveness by making recognition of qualifications less cumbersome and costly. They support minimum procedural standards to reduce processing times and burdens, improved guidance and information</w:t>
      </w:r>
    </w:p>
    <w:p w14:paraId="66368C9D" w14:textId="77777777" w:rsidR="00C827AC" w:rsidRDefault="00A9355C">
      <w:pPr>
        <w:spacing w:after="24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While there is also broad support for common minimum rules among competent authorities responsible for recognition of qualifications for regulated professions, they are more cautious about automatic recognition of specific pre-approved learning programmes. Professional organisations in healthcare and CAs for healthcare professions emphasize that faster recognition timelines cannot come at the expense of thoroughness; any accelerated process must be backed by rigorous prior verification of training programs.</w:t>
      </w:r>
    </w:p>
    <w:p w14:paraId="55BD5C58" w14:textId="77777777" w:rsidR="00C827AC" w:rsidRDefault="00C827AC">
      <w:pPr>
        <w:spacing w:before="60" w:after="100"/>
        <w:jc w:val="both"/>
        <w:rPr>
          <w:rFonts w:ascii="Times New Roman" w:eastAsia="Arial" w:hAnsi="Times New Roman" w:cs="Times New Roman"/>
          <w:noProof/>
          <w:sz w:val="24"/>
          <w:szCs w:val="24"/>
        </w:rPr>
      </w:pPr>
    </w:p>
    <w:p w14:paraId="5C8C78BB" w14:textId="77777777" w:rsidR="00C827AC" w:rsidRDefault="00A9355C">
      <w:pPr>
        <w:pStyle w:val="ListParagraph"/>
        <w:numPr>
          <w:ilvl w:val="0"/>
          <w:numId w:val="4"/>
        </w:numPr>
        <w:spacing w:before="60" w:after="100"/>
        <w:jc w:val="both"/>
        <w:rPr>
          <w:rFonts w:ascii="Times New Roman" w:hAnsi="Times New Roman" w:cs="Times New Roman"/>
          <w:b/>
          <w:bCs/>
          <w:noProof/>
          <w:sz w:val="24"/>
          <w:szCs w:val="24"/>
        </w:rPr>
      </w:pPr>
      <w:r>
        <w:rPr>
          <w:rFonts w:ascii="Times New Roman" w:eastAsia="Arial" w:hAnsi="Times New Roman" w:cs="Times New Roman"/>
          <w:b/>
          <w:bCs/>
          <w:noProof/>
          <w:sz w:val="24"/>
          <w:szCs w:val="24"/>
        </w:rPr>
        <w:t>Impacts of the preferred options</w:t>
      </w:r>
    </w:p>
    <w:p w14:paraId="140072D5" w14:textId="77777777" w:rsidR="00C827AC" w:rsidRDefault="00A9355C">
      <w:pPr>
        <w:spacing w:before="160" w:after="60"/>
        <w:rPr>
          <w:rFonts w:ascii="Times New Roman" w:hAnsi="Times New Roman" w:cs="Times New Roman"/>
          <w:noProof/>
          <w:sz w:val="24"/>
          <w:szCs w:val="24"/>
        </w:rPr>
      </w:pPr>
      <w:r>
        <w:rPr>
          <w:rFonts w:ascii="Times New Roman" w:eastAsia="Arial" w:hAnsi="Times New Roman" w:cs="Times New Roman"/>
          <w:b/>
          <w:bCs/>
          <w:noProof/>
          <w:sz w:val="24"/>
          <w:szCs w:val="24"/>
        </w:rPr>
        <w:t>What are the benefits of the preferred option?</w:t>
      </w:r>
    </w:p>
    <w:p w14:paraId="70420122" w14:textId="77777777" w:rsidR="00C827AC" w:rsidRDefault="00A9355C">
      <w:pPr>
        <w:spacing w:beforeAutospacing="1" w:afterAutospacing="1"/>
        <w:jc w:val="both"/>
        <w:rPr>
          <w:rFonts w:ascii="Times New Roman" w:eastAsia="Times New Roman" w:hAnsi="Times New Roman" w:cs="Times New Roman"/>
          <w:noProof/>
          <w:sz w:val="24"/>
          <w:szCs w:val="24"/>
          <w:lang w:val="en-IE" w:eastAsia="en-IE"/>
        </w:rPr>
      </w:pPr>
      <w:r>
        <w:rPr>
          <w:rFonts w:ascii="Times New Roman" w:eastAsia="Arial" w:hAnsi="Times New Roman" w:cs="Times New Roman"/>
          <w:noProof/>
          <w:sz w:val="24"/>
          <w:szCs w:val="24"/>
        </w:rPr>
        <w:t xml:space="preserve">PO3 delivers considerable direct administrative cost savings for applicants, competent authorities and employers as well as wider economic and social benefits. </w:t>
      </w:r>
    </w:p>
    <w:p w14:paraId="2F32788D" w14:textId="77777777" w:rsidR="00C827AC" w:rsidRDefault="00A9355C">
      <w:pPr>
        <w:spacing w:before="60" w:after="100"/>
        <w:jc w:val="both"/>
        <w:rPr>
          <w:rFonts w:ascii="Times New Roman" w:eastAsia="Arial" w:hAnsi="Times New Roman" w:cs="Times New Roman"/>
          <w:noProof/>
          <w:sz w:val="24"/>
          <w:szCs w:val="24"/>
        </w:rPr>
      </w:pPr>
      <w:r>
        <w:rPr>
          <w:rFonts w:ascii="Times New Roman" w:eastAsia="Arial" w:hAnsi="Times New Roman" w:cs="Times New Roman"/>
          <w:noProof/>
          <w:sz w:val="24"/>
          <w:szCs w:val="24"/>
        </w:rPr>
        <w:t>At constant migration levels, the preferred option is expected to reduce administrative costs for applicants and CAs by over EUR 22 million/year, resulting in cumulative administrative savings of approximately EUR 231 million between 2029 and 2040. In addition, employers would benefit from a reduction of around 25% in administrative costs for applications under the general system and of approximately 42.5% for automatically recognised qualifications. At constant recruitment levels, the reduction of employer</w:t>
      </w:r>
      <w:r>
        <w:rPr>
          <w:rFonts w:ascii="Times New Roman" w:eastAsia="Arial" w:hAnsi="Times New Roman" w:cs="Times New Roman"/>
          <w:noProof/>
          <w:sz w:val="24"/>
          <w:szCs w:val="24"/>
        </w:rPr>
        <w:t xml:space="preserve">-borne recruitment costs is estimated </w:t>
      </w:r>
      <w:r>
        <w:rPr>
          <w:rFonts w:ascii="Times New Roman" w:eastAsia="Arial" w:hAnsi="Times New Roman" w:cs="Times New Roman"/>
          <w:noProof/>
          <w:sz w:val="24"/>
          <w:szCs w:val="24"/>
        </w:rPr>
        <w:lastRenderedPageBreak/>
        <w:t xml:space="preserve">at over EUR 20 million/year, resulting in a cumulative cost reduction of EUR 207 million between 2029 and 2040. </w:t>
      </w:r>
    </w:p>
    <w:p w14:paraId="3E479529" w14:textId="77777777" w:rsidR="00C827AC" w:rsidRDefault="00A9355C">
      <w:pPr>
        <w:spacing w:before="60" w:after="100"/>
        <w:jc w:val="both"/>
        <w:rPr>
          <w:rFonts w:ascii="Times New Roman" w:eastAsia="Arial" w:hAnsi="Times New Roman" w:cs="Times New Roman"/>
          <w:noProof/>
          <w:sz w:val="24"/>
          <w:szCs w:val="24"/>
        </w:rPr>
      </w:pPr>
      <w:r>
        <w:rPr>
          <w:rFonts w:ascii="Times New Roman" w:eastAsia="Arial" w:hAnsi="Times New Roman" w:cs="Times New Roman"/>
          <w:noProof/>
          <w:sz w:val="24"/>
          <w:szCs w:val="24"/>
        </w:rPr>
        <w:t xml:space="preserve">PO3 would also reduce the processing time of recognition applications considerably, allowing qualified TCNs to exercise a regulated profession of their choice more quickly (by between 9 to 10 months depending on the recognition regime). This generates monetised time savings for the applicants, which in the aggregate are estimated at approximately EUR 300 million/year or slightly over EUR 3 billion from 2029 to 2040. </w:t>
      </w:r>
    </w:p>
    <w:p w14:paraId="5B321ADD" w14:textId="77777777" w:rsidR="00C827AC" w:rsidRDefault="00A9355C">
      <w:pPr>
        <w:spacing w:before="60" w:after="100"/>
        <w:jc w:val="both"/>
        <w:rPr>
          <w:rFonts w:ascii="Times New Roman" w:eastAsia="Arial" w:hAnsi="Times New Roman" w:cs="Times New Roman"/>
          <w:noProof/>
          <w:sz w:val="24"/>
          <w:szCs w:val="24"/>
        </w:rPr>
      </w:pPr>
      <w:r>
        <w:rPr>
          <w:rFonts w:ascii="Times New Roman" w:eastAsia="Arial" w:hAnsi="Times New Roman" w:cs="Times New Roman"/>
          <w:noProof/>
          <w:sz w:val="24"/>
          <w:szCs w:val="24"/>
        </w:rPr>
        <w:t>Beyond these direct quantified impacts, PO3 generates significant wider economic and social benefits:</w:t>
      </w:r>
    </w:p>
    <w:p w14:paraId="2C3D6960" w14:textId="77777777" w:rsidR="00C827AC" w:rsidRDefault="00A9355C">
      <w:pPr>
        <w:pStyle w:val="ListParagraph"/>
        <w:numPr>
          <w:ilvl w:val="0"/>
          <w:numId w:val="5"/>
        </w:numPr>
        <w:spacing w:before="60" w:after="100"/>
        <w:jc w:val="both"/>
        <w:rPr>
          <w:rFonts w:ascii="Times New Roman" w:eastAsia="Arial" w:hAnsi="Times New Roman" w:cs="Times New Roman"/>
          <w:noProof/>
          <w:sz w:val="24"/>
          <w:szCs w:val="24"/>
        </w:rPr>
      </w:pPr>
      <w:r>
        <w:rPr>
          <w:rFonts w:ascii="Times New Roman" w:eastAsia="Arial" w:hAnsi="Times New Roman" w:cs="Times New Roman"/>
          <w:b/>
          <w:bCs/>
          <w:noProof/>
          <w:sz w:val="24"/>
          <w:szCs w:val="24"/>
        </w:rPr>
        <w:t xml:space="preserve">Third countries nationals </w:t>
      </w:r>
      <w:r>
        <w:rPr>
          <w:rFonts w:ascii="Times New Roman" w:eastAsia="Arial" w:hAnsi="Times New Roman" w:cs="Times New Roman"/>
          <w:noProof/>
          <w:sz w:val="24"/>
          <w:szCs w:val="24"/>
        </w:rPr>
        <w:t>would benefit from faster and less costly recognition procedures, in line with the principle of good administration. This would increase their employment opportunities and career prospects in line with their qualification and reduce incentives for informal employment.</w:t>
      </w:r>
    </w:p>
    <w:p w14:paraId="4B006097" w14:textId="77777777" w:rsidR="00C827AC" w:rsidRDefault="00A9355C">
      <w:pPr>
        <w:pStyle w:val="ListParagraph"/>
        <w:numPr>
          <w:ilvl w:val="0"/>
          <w:numId w:val="5"/>
        </w:numPr>
        <w:spacing w:before="60" w:after="100"/>
        <w:jc w:val="both"/>
        <w:rPr>
          <w:rFonts w:ascii="Times New Roman" w:eastAsia="Arial" w:hAnsi="Times New Roman" w:cs="Times New Roman"/>
          <w:noProof/>
          <w:sz w:val="24"/>
          <w:szCs w:val="24"/>
        </w:rPr>
      </w:pPr>
      <w:r>
        <w:rPr>
          <w:rFonts w:ascii="Times New Roman" w:eastAsia="Arial" w:hAnsi="Times New Roman" w:cs="Times New Roman"/>
          <w:b/>
          <w:bCs/>
          <w:noProof/>
          <w:sz w:val="24"/>
          <w:szCs w:val="24"/>
        </w:rPr>
        <w:t>Businesses</w:t>
      </w:r>
      <w:r>
        <w:rPr>
          <w:rFonts w:ascii="Times New Roman" w:eastAsia="Arial" w:hAnsi="Times New Roman" w:cs="Times New Roman"/>
          <w:noProof/>
          <w:sz w:val="24"/>
          <w:szCs w:val="24"/>
        </w:rPr>
        <w:t xml:space="preserve"> would benefit from increased high-quality recruitment opportunities,</w:t>
      </w:r>
      <w:r>
        <w:rPr>
          <w:rFonts w:ascii="Times New Roman" w:eastAsia="Arial" w:hAnsi="Times New Roman" w:cs="Times New Roman"/>
          <w:b/>
          <w:bCs/>
          <w:noProof/>
          <w:sz w:val="24"/>
          <w:szCs w:val="24"/>
        </w:rPr>
        <w:t xml:space="preserve"> </w:t>
      </w:r>
      <w:r>
        <w:rPr>
          <w:rFonts w:ascii="Times New Roman" w:eastAsia="Arial" w:hAnsi="Times New Roman" w:cs="Times New Roman"/>
          <w:noProof/>
          <w:sz w:val="24"/>
          <w:szCs w:val="24"/>
        </w:rPr>
        <w:t xml:space="preserve">helping them to address critical shortages and enhancing businesses' competitiveness and growth potential. </w:t>
      </w:r>
    </w:p>
    <w:p w14:paraId="68865D17" w14:textId="77777777" w:rsidR="00C827AC" w:rsidRDefault="00A9355C">
      <w:pPr>
        <w:pStyle w:val="ListParagraph"/>
        <w:numPr>
          <w:ilvl w:val="0"/>
          <w:numId w:val="5"/>
        </w:numPr>
        <w:spacing w:before="60" w:after="100"/>
        <w:jc w:val="both"/>
        <w:rPr>
          <w:rFonts w:ascii="Times New Roman" w:eastAsia="Arial" w:hAnsi="Times New Roman" w:cs="Times New Roman"/>
          <w:noProof/>
          <w:sz w:val="24"/>
          <w:szCs w:val="24"/>
        </w:rPr>
      </w:pPr>
      <w:r>
        <w:rPr>
          <w:rFonts w:ascii="Times New Roman" w:eastAsia="Arial" w:hAnsi="Times New Roman" w:cs="Times New Roman"/>
          <w:noProof/>
          <w:sz w:val="24"/>
          <w:szCs w:val="24"/>
        </w:rPr>
        <w:t xml:space="preserve">The </w:t>
      </w:r>
      <w:r>
        <w:rPr>
          <w:rFonts w:ascii="Times New Roman" w:eastAsia="Arial" w:hAnsi="Times New Roman" w:cs="Times New Roman"/>
          <w:b/>
          <w:bCs/>
          <w:noProof/>
          <w:sz w:val="24"/>
          <w:szCs w:val="24"/>
        </w:rPr>
        <w:t>allocative efficiency</w:t>
      </w:r>
      <w:r>
        <w:rPr>
          <w:rFonts w:ascii="Times New Roman" w:eastAsia="Arial" w:hAnsi="Times New Roman" w:cs="Times New Roman"/>
          <w:noProof/>
          <w:sz w:val="24"/>
          <w:szCs w:val="24"/>
        </w:rPr>
        <w:t xml:space="preserve"> </w:t>
      </w:r>
      <w:r>
        <w:rPr>
          <w:rFonts w:ascii="Times New Roman" w:eastAsia="Arial" w:hAnsi="Times New Roman" w:cs="Times New Roman"/>
          <w:b/>
          <w:bCs/>
          <w:noProof/>
          <w:sz w:val="24"/>
          <w:szCs w:val="24"/>
        </w:rPr>
        <w:t>of EU labour market</w:t>
      </w:r>
      <w:r>
        <w:rPr>
          <w:rFonts w:ascii="Times New Roman" w:eastAsia="Arial" w:hAnsi="Times New Roman" w:cs="Times New Roman"/>
          <w:noProof/>
          <w:sz w:val="24"/>
          <w:szCs w:val="24"/>
        </w:rPr>
        <w:t xml:space="preserve"> would improve, </w:t>
      </w:r>
      <w:r>
        <w:rPr>
          <w:rFonts w:ascii="Times New Roman" w:eastAsia="Arial" w:hAnsi="Times New Roman" w:cs="Times New Roman"/>
          <w:b/>
          <w:bCs/>
          <w:noProof/>
          <w:sz w:val="24"/>
          <w:szCs w:val="24"/>
        </w:rPr>
        <w:t>reducing “brain waste”</w:t>
      </w:r>
      <w:r>
        <w:rPr>
          <w:rFonts w:ascii="Times New Roman" w:eastAsia="Arial" w:hAnsi="Times New Roman" w:cs="Times New Roman"/>
          <w:noProof/>
          <w:sz w:val="24"/>
          <w:szCs w:val="24"/>
        </w:rPr>
        <w:t xml:space="preserve"> and </w:t>
      </w:r>
      <w:r>
        <w:rPr>
          <w:rFonts w:ascii="Times New Roman" w:eastAsia="Arial" w:hAnsi="Times New Roman" w:cs="Times New Roman"/>
          <w:b/>
          <w:bCs/>
          <w:noProof/>
          <w:sz w:val="24"/>
          <w:szCs w:val="24"/>
        </w:rPr>
        <w:t>overqualification</w:t>
      </w:r>
      <w:r>
        <w:rPr>
          <w:rFonts w:ascii="Times New Roman" w:eastAsia="Arial" w:hAnsi="Times New Roman" w:cs="Times New Roman"/>
          <w:noProof/>
          <w:sz w:val="24"/>
          <w:szCs w:val="24"/>
        </w:rPr>
        <w:t xml:space="preserve"> among third-country nationals. </w:t>
      </w:r>
    </w:p>
    <w:p w14:paraId="05AE2C34" w14:textId="77777777" w:rsidR="00C827AC" w:rsidRDefault="00A9355C">
      <w:pPr>
        <w:pStyle w:val="ListParagraph"/>
        <w:numPr>
          <w:ilvl w:val="0"/>
          <w:numId w:val="5"/>
        </w:numPr>
        <w:spacing w:before="60" w:after="100"/>
        <w:jc w:val="both"/>
        <w:rPr>
          <w:rFonts w:ascii="Times New Roman" w:eastAsia="Arial" w:hAnsi="Times New Roman" w:cs="Times New Roman"/>
          <w:noProof/>
          <w:sz w:val="24"/>
          <w:szCs w:val="24"/>
        </w:rPr>
      </w:pPr>
      <w:r>
        <w:rPr>
          <w:rFonts w:ascii="Times New Roman" w:eastAsia="Arial" w:hAnsi="Times New Roman" w:cs="Times New Roman"/>
          <w:noProof/>
          <w:sz w:val="24"/>
          <w:szCs w:val="24"/>
        </w:rPr>
        <w:t xml:space="preserve">Improved recognition of professional qualifications would support the </w:t>
      </w:r>
      <w:r>
        <w:rPr>
          <w:rFonts w:ascii="Times New Roman" w:eastAsia="Arial" w:hAnsi="Times New Roman" w:cs="Times New Roman"/>
          <w:b/>
          <w:bCs/>
          <w:noProof/>
          <w:sz w:val="24"/>
          <w:szCs w:val="24"/>
        </w:rPr>
        <w:t>provision of essential services</w:t>
      </w:r>
      <w:r>
        <w:rPr>
          <w:rFonts w:ascii="Times New Roman" w:eastAsia="Arial" w:hAnsi="Times New Roman" w:cs="Times New Roman"/>
          <w:noProof/>
          <w:sz w:val="24"/>
          <w:szCs w:val="24"/>
        </w:rPr>
        <w:t>, notably healthcare, by allowing for the faster integration of qualified professions in regulated professions.</w:t>
      </w:r>
    </w:p>
    <w:p w14:paraId="05E26923" w14:textId="77777777" w:rsidR="00C827AC" w:rsidRDefault="00C827AC">
      <w:pPr>
        <w:pStyle w:val="ListParagraph"/>
        <w:spacing w:before="60" w:after="100"/>
        <w:jc w:val="both"/>
        <w:rPr>
          <w:rFonts w:ascii="Times New Roman" w:eastAsia="Arial" w:hAnsi="Times New Roman" w:cs="Times New Roman"/>
          <w:noProof/>
          <w:sz w:val="24"/>
          <w:szCs w:val="24"/>
        </w:rPr>
      </w:pPr>
    </w:p>
    <w:p w14:paraId="59E81790" w14:textId="77777777" w:rsidR="00C827AC" w:rsidRDefault="00A9355C">
      <w:pPr>
        <w:spacing w:before="160" w:after="60"/>
        <w:rPr>
          <w:rFonts w:ascii="Times New Roman" w:hAnsi="Times New Roman" w:cs="Times New Roman"/>
          <w:noProof/>
          <w:sz w:val="24"/>
          <w:szCs w:val="24"/>
        </w:rPr>
      </w:pPr>
      <w:r>
        <w:rPr>
          <w:rFonts w:ascii="Times New Roman" w:eastAsia="Arial" w:hAnsi="Times New Roman" w:cs="Times New Roman"/>
          <w:b/>
          <w:bCs/>
          <w:noProof/>
          <w:sz w:val="24"/>
          <w:szCs w:val="24"/>
        </w:rPr>
        <w:t>What are the costs of the preferred option?</w:t>
      </w:r>
    </w:p>
    <w:p w14:paraId="37DCE3D4" w14:textId="77777777" w:rsidR="00C827AC" w:rsidRDefault="00A9355C">
      <w:pPr>
        <w:spacing w:before="60" w:after="100"/>
        <w:jc w:val="both"/>
        <w:rPr>
          <w:rFonts w:ascii="Times New Roman" w:eastAsia="Arial" w:hAnsi="Times New Roman" w:cs="Times New Roman"/>
          <w:noProof/>
          <w:sz w:val="24"/>
          <w:szCs w:val="24"/>
        </w:rPr>
      </w:pPr>
      <w:r>
        <w:rPr>
          <w:rFonts w:ascii="Times New Roman" w:eastAsia="Arial" w:hAnsi="Times New Roman" w:cs="Times New Roman"/>
          <w:noProof/>
          <w:sz w:val="24"/>
          <w:szCs w:val="24"/>
        </w:rPr>
        <w:t xml:space="preserve">Implementation costs are borne primarily by the Commission and, to a lesser extent, Member State administrations. Costs for individual TCNs and businesses are expected to decrease. </w:t>
      </w:r>
    </w:p>
    <w:p w14:paraId="301D00CD" w14:textId="77777777" w:rsidR="00C827AC" w:rsidRDefault="00A9355C">
      <w:pPr>
        <w:spacing w:before="60" w:after="100"/>
        <w:jc w:val="both"/>
        <w:rPr>
          <w:rFonts w:ascii="Times New Roman" w:eastAsia="Times New Roman" w:hAnsi="Times New Roman" w:cs="Times New Roman"/>
          <w:noProof/>
          <w:sz w:val="24"/>
          <w:szCs w:val="24"/>
        </w:rPr>
      </w:pPr>
      <w:r>
        <w:rPr>
          <w:rFonts w:ascii="Times New Roman" w:eastAsia="Arial" w:hAnsi="Times New Roman" w:cs="Times New Roman"/>
          <w:noProof/>
          <w:sz w:val="24"/>
          <w:szCs w:val="24"/>
        </w:rPr>
        <w:t xml:space="preserve">At EU-level, the preferred option would entail IT development and maintenance costs linked to </w:t>
      </w:r>
      <w:r>
        <w:rPr>
          <w:rFonts w:ascii="Times New Roman" w:eastAsia="Times New Roman" w:hAnsi="Times New Roman" w:cs="Times New Roman"/>
          <w:noProof/>
          <w:sz w:val="24"/>
          <w:szCs w:val="24"/>
        </w:rPr>
        <w:t xml:space="preserve">database interoperability, EU-level authentication services and the creation of a public register of pre-approved quality assurance learning programmes. </w:t>
      </w:r>
    </w:p>
    <w:p w14:paraId="63B48892" w14:textId="77777777" w:rsidR="00C827AC" w:rsidRDefault="00A9355C">
      <w:pPr>
        <w:spacing w:before="60" w:after="10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At MS-level, there would be IT development and integration costs to ensure the interoperability of national databases on third country qualifications and recognition. </w:t>
      </w:r>
    </w:p>
    <w:p w14:paraId="1FE8298D" w14:textId="77777777" w:rsidR="00C827AC" w:rsidRDefault="00A9355C">
      <w:pPr>
        <w:spacing w:before="60" w:after="10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The total implementation costs</w:t>
      </w:r>
      <w:r>
        <w:rPr>
          <w:rStyle w:val="FootnoteReference"/>
          <w:rFonts w:ascii="Times New Roman" w:eastAsia="Times New Roman" w:hAnsi="Times New Roman" w:cs="Times New Roman"/>
          <w:noProof/>
          <w:sz w:val="24"/>
          <w:szCs w:val="24"/>
        </w:rPr>
        <w:footnoteReference w:id="2"/>
      </w:r>
      <w:r>
        <w:rPr>
          <w:rFonts w:ascii="Times New Roman" w:eastAsia="Times New Roman" w:hAnsi="Times New Roman" w:cs="Times New Roman"/>
          <w:noProof/>
          <w:sz w:val="24"/>
          <w:szCs w:val="24"/>
        </w:rPr>
        <w:t xml:space="preserve"> at EU level for the period 2027 to 2040 are estimated at between EUR 24.8 million and EUR 40.2 million. For all the Member States combined they are estimated at between EUR 39.4 and EUR 69.0 million. </w:t>
      </w:r>
    </w:p>
    <w:p w14:paraId="288EB7E7" w14:textId="77777777" w:rsidR="00C827AC" w:rsidRDefault="00A9355C">
      <w:pPr>
        <w:spacing w:before="60" w:after="10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The overall cost burden is expected to be uneven across Member States, depending in particular on the maturity of their existing digital infrastructure and the extent of system upgrades needed. </w:t>
      </w:r>
    </w:p>
    <w:p w14:paraId="0631DCCF" w14:textId="77777777" w:rsidR="00C827AC" w:rsidRDefault="00A9355C">
      <w:pPr>
        <w:spacing w:before="160" w:after="60"/>
        <w:rPr>
          <w:rFonts w:ascii="Times New Roman" w:hAnsi="Times New Roman" w:cs="Times New Roman"/>
          <w:noProof/>
          <w:sz w:val="24"/>
          <w:szCs w:val="24"/>
        </w:rPr>
      </w:pPr>
      <w:r>
        <w:rPr>
          <w:rFonts w:ascii="Times New Roman" w:eastAsia="Arial" w:hAnsi="Times New Roman" w:cs="Times New Roman"/>
          <w:b/>
          <w:bCs/>
          <w:noProof/>
          <w:sz w:val="24"/>
          <w:szCs w:val="24"/>
        </w:rPr>
        <w:t>How will enterprises and SMEs be affected?</w:t>
      </w:r>
    </w:p>
    <w:p w14:paraId="41F0940B" w14:textId="77777777" w:rsidR="00C827AC" w:rsidRDefault="00A9355C">
      <w:pPr>
        <w:spacing w:before="60" w:after="100"/>
        <w:jc w:val="both"/>
        <w:rPr>
          <w:rFonts w:ascii="Times New Roman" w:hAnsi="Times New Roman" w:cs="Times New Roman"/>
          <w:noProof/>
          <w:sz w:val="24"/>
          <w:szCs w:val="24"/>
        </w:rPr>
      </w:pPr>
      <w:r>
        <w:rPr>
          <w:rFonts w:ascii="Times New Roman" w:eastAsia="Arial" w:hAnsi="Times New Roman" w:cs="Times New Roman"/>
          <w:noProof/>
          <w:sz w:val="24"/>
          <w:szCs w:val="24"/>
        </w:rPr>
        <w:lastRenderedPageBreak/>
        <w:t xml:space="preserve">The initiative will positively affect businesses, particularly SMEs operating in  sectors facing labour shortages 68% of SME survey respondents cited reduced administrative burden during recruitment as a key benefit; 63% easier assessment of foreign qualifications; 61% faster recruitment processes; 50% lower verification costs. Aggregate employer-borne cost savings under PO3 are estimated in the order of magnitude of EUR 14–30 million per year at constant recruitment levels. </w:t>
      </w:r>
    </w:p>
    <w:p w14:paraId="456C2F3B" w14:textId="77777777" w:rsidR="00C827AC" w:rsidRDefault="00A9355C">
      <w:pPr>
        <w:spacing w:before="60" w:after="100"/>
        <w:jc w:val="both"/>
        <w:rPr>
          <w:rFonts w:ascii="Times New Roman" w:hAnsi="Times New Roman" w:cs="Times New Roman"/>
          <w:noProof/>
          <w:sz w:val="24"/>
          <w:szCs w:val="24"/>
        </w:rPr>
      </w:pPr>
      <w:r>
        <w:rPr>
          <w:rFonts w:ascii="Times New Roman" w:eastAsia="Arial" w:hAnsi="Times New Roman" w:cs="Times New Roman"/>
          <w:noProof/>
          <w:sz w:val="24"/>
          <w:szCs w:val="24"/>
        </w:rPr>
        <w:t xml:space="preserve">The measures most directly benefiting SMEs without dedicated HR capacity are: standardised information requirements, the EU authenticity check service, binding procedural deadlines, and verifiable digital credentials, which eliminate fixed costs of external consultancy and ad hoc authentication. </w:t>
      </w:r>
    </w:p>
    <w:p w14:paraId="625CBDFA" w14:textId="77777777" w:rsidR="00C827AC" w:rsidRDefault="00A9355C">
      <w:pPr>
        <w:spacing w:before="160" w:after="60"/>
        <w:rPr>
          <w:rFonts w:ascii="Times New Roman" w:hAnsi="Times New Roman" w:cs="Times New Roman"/>
          <w:noProof/>
          <w:sz w:val="24"/>
          <w:szCs w:val="24"/>
        </w:rPr>
      </w:pPr>
      <w:r>
        <w:rPr>
          <w:rFonts w:ascii="Times New Roman" w:eastAsia="Arial" w:hAnsi="Times New Roman" w:cs="Times New Roman"/>
          <w:b/>
          <w:bCs/>
          <w:noProof/>
          <w:sz w:val="24"/>
          <w:szCs w:val="24"/>
        </w:rPr>
        <w:t>Will there be significant impacts on national budgets and administrations?</w:t>
      </w:r>
    </w:p>
    <w:p w14:paraId="1AF10DF8" w14:textId="77777777" w:rsidR="00C827AC" w:rsidRDefault="00A9355C">
      <w:pPr>
        <w:spacing w:before="60" w:after="100"/>
        <w:jc w:val="both"/>
        <w:rPr>
          <w:rFonts w:ascii="Times New Roman" w:hAnsi="Times New Roman" w:cs="Times New Roman"/>
          <w:noProof/>
          <w:sz w:val="24"/>
          <w:szCs w:val="24"/>
        </w:rPr>
      </w:pPr>
      <w:r>
        <w:rPr>
          <w:rFonts w:ascii="Times New Roman" w:eastAsia="Arial" w:hAnsi="Times New Roman" w:cs="Times New Roman"/>
          <w:noProof/>
          <w:sz w:val="24"/>
          <w:szCs w:val="24"/>
        </w:rPr>
        <w:t>Member State administrations will incur one-off adaptation costs and modest recurring costs, as set out above. These are proportionate to the scale of improvements delivered. CAs will benefit from reduced per-case processing workload particularly for the sectoral subgroup (approximately 40% of procedures) where credential verification replaces case-by-case substantive assessment, allowing resources to be redirected to complex cases. The EU authenticity check service and comparability database mutualise at E</w:t>
      </w:r>
      <w:r>
        <w:rPr>
          <w:rFonts w:ascii="Times New Roman" w:eastAsia="Arial" w:hAnsi="Times New Roman" w:cs="Times New Roman"/>
          <w:noProof/>
          <w:sz w:val="24"/>
          <w:szCs w:val="24"/>
        </w:rPr>
        <w:t>U level verification work currently duplicated across 27 national systems.</w:t>
      </w:r>
    </w:p>
    <w:p w14:paraId="2CB19705" w14:textId="77777777" w:rsidR="00C827AC" w:rsidRDefault="00A9355C">
      <w:pPr>
        <w:pStyle w:val="ListParagraph"/>
        <w:numPr>
          <w:ilvl w:val="0"/>
          <w:numId w:val="4"/>
        </w:numPr>
        <w:spacing w:before="160" w:after="60"/>
        <w:rPr>
          <w:rFonts w:ascii="Times New Roman" w:eastAsia="Arial" w:hAnsi="Times New Roman" w:cs="Times New Roman"/>
          <w:b/>
          <w:bCs/>
          <w:noProof/>
          <w:sz w:val="24"/>
          <w:szCs w:val="24"/>
        </w:rPr>
      </w:pPr>
      <w:r>
        <w:rPr>
          <w:rFonts w:ascii="Times New Roman" w:eastAsia="Arial" w:hAnsi="Times New Roman" w:cs="Times New Roman"/>
          <w:b/>
          <w:bCs/>
          <w:noProof/>
          <w:sz w:val="24"/>
          <w:szCs w:val="24"/>
        </w:rPr>
        <w:t>Follow-up</w:t>
      </w:r>
    </w:p>
    <w:p w14:paraId="33FB6FF0" w14:textId="77777777" w:rsidR="00C827AC" w:rsidRDefault="00A9355C">
      <w:pPr>
        <w:spacing w:before="160" w:after="60"/>
        <w:rPr>
          <w:rFonts w:ascii="Times New Roman" w:hAnsi="Times New Roman" w:cs="Times New Roman"/>
          <w:noProof/>
          <w:sz w:val="24"/>
          <w:szCs w:val="24"/>
        </w:rPr>
      </w:pPr>
      <w:r>
        <w:rPr>
          <w:rFonts w:ascii="Times New Roman" w:eastAsia="Arial" w:hAnsi="Times New Roman" w:cs="Times New Roman"/>
          <w:b/>
          <w:bCs/>
          <w:noProof/>
          <w:sz w:val="24"/>
          <w:szCs w:val="24"/>
        </w:rPr>
        <w:t>When will the policy be reviewed?</w:t>
      </w:r>
    </w:p>
    <w:p w14:paraId="50020ADA" w14:textId="77777777" w:rsidR="00C827AC" w:rsidRDefault="00A9355C">
      <w:pPr>
        <w:spacing w:before="60" w:after="100"/>
        <w:jc w:val="both"/>
        <w:rPr>
          <w:rFonts w:ascii="Times New Roman" w:hAnsi="Times New Roman" w:cs="Times New Roman"/>
          <w:noProof/>
          <w:sz w:val="24"/>
          <w:szCs w:val="24"/>
        </w:rPr>
      </w:pPr>
      <w:r>
        <w:rPr>
          <w:rFonts w:ascii="Times New Roman" w:eastAsia="Arial" w:hAnsi="Times New Roman" w:cs="Times New Roman"/>
          <w:noProof/>
          <w:sz w:val="24"/>
          <w:szCs w:val="24"/>
        </w:rPr>
        <w:t>In line with the Better Regulation Guidelines, the Commission will evaluate the initiative five years after it enters into force, in cooperation with Member States and after consulting the stakeholders concerned. The Commission will report on implementation progress and the functioning of the automatic recognition register, using data provided by Member States and the designated review bodies.</w:t>
      </w:r>
    </w:p>
    <w:p w14:paraId="79671DAA" w14:textId="77777777" w:rsidR="00C827AC" w:rsidRDefault="00C827AC">
      <w:pPr>
        <w:rPr>
          <w:rFonts w:ascii="Times New Roman" w:hAnsi="Times New Roman" w:cs="Times New Roman"/>
          <w:noProof/>
          <w:sz w:val="24"/>
          <w:szCs w:val="24"/>
        </w:rPr>
      </w:pPr>
    </w:p>
    <w:sectPr w:rsidR="00C827AC">
      <w:headerReference w:type="default" r:id="rId18"/>
      <w:footerReference w:type="default" r:id="rId1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6A9B8" w14:textId="77777777" w:rsidR="00A9355C" w:rsidRDefault="00A9355C">
      <w:pPr>
        <w:spacing w:after="0" w:line="240" w:lineRule="auto"/>
      </w:pPr>
      <w:r>
        <w:separator/>
      </w:r>
    </w:p>
  </w:endnote>
  <w:endnote w:type="continuationSeparator" w:id="0">
    <w:p w14:paraId="0F4EF729" w14:textId="77777777" w:rsidR="00A9355C" w:rsidRDefault="00A935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6B4D8" w14:textId="76FE9FD3" w:rsidR="00857BB5" w:rsidRPr="00857BB5" w:rsidRDefault="00857BB5" w:rsidP="00857BB5">
    <w:pPr>
      <w:pStyle w:val="FooterCoverPage"/>
      <w:rPr>
        <w:rFonts w:ascii="Arial" w:hAnsi="Arial" w:cs="Arial"/>
        <w:b/>
        <w:sz w:val="48"/>
      </w:rPr>
    </w:pPr>
    <w:r w:rsidRPr="00857BB5">
      <w:rPr>
        <w:rFonts w:ascii="Arial" w:hAnsi="Arial" w:cs="Arial"/>
        <w:b/>
        <w:sz w:val="48"/>
      </w:rPr>
      <w:t>EN</w:t>
    </w:r>
    <w:r w:rsidRPr="00857BB5">
      <w:rPr>
        <w:rFonts w:ascii="Arial" w:hAnsi="Arial" w:cs="Arial"/>
        <w:b/>
        <w:sz w:val="48"/>
      </w:rPr>
      <w:tab/>
    </w:r>
    <w:r w:rsidRPr="00857BB5">
      <w:rPr>
        <w:rFonts w:ascii="Arial" w:hAnsi="Arial" w:cs="Arial"/>
        <w:b/>
        <w:sz w:val="48"/>
      </w:rPr>
      <w:tab/>
    </w:r>
    <w:r w:rsidRPr="00857BB5">
      <w:tab/>
    </w:r>
    <w:r w:rsidRPr="00857BB5">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ECFA9" w14:textId="087FCBD4" w:rsidR="00857BB5" w:rsidRPr="00857BB5" w:rsidRDefault="00857BB5" w:rsidP="00857BB5">
    <w:pPr>
      <w:pStyle w:val="FooterCoverPage"/>
      <w:rPr>
        <w:rFonts w:ascii="Arial" w:hAnsi="Arial" w:cs="Arial"/>
        <w:b/>
        <w:sz w:val="48"/>
      </w:rPr>
    </w:pPr>
    <w:r w:rsidRPr="00857BB5">
      <w:rPr>
        <w:rFonts w:ascii="Arial" w:hAnsi="Arial" w:cs="Arial"/>
        <w:b/>
        <w:sz w:val="48"/>
      </w:rPr>
      <w:t>EN</w:t>
    </w:r>
    <w:r w:rsidRPr="00857BB5">
      <w:rPr>
        <w:rFonts w:ascii="Arial" w:hAnsi="Arial" w:cs="Arial"/>
        <w:b/>
        <w:sz w:val="48"/>
      </w:rPr>
      <w:tab/>
    </w:r>
    <w:r w:rsidRPr="00857BB5">
      <w:rPr>
        <w:rFonts w:ascii="Arial" w:hAnsi="Arial" w:cs="Arial"/>
        <w:b/>
        <w:sz w:val="48"/>
      </w:rPr>
      <w:tab/>
    </w:r>
    <w:r w:rsidRPr="00857BB5">
      <w:tab/>
    </w:r>
    <w:r w:rsidRPr="00857BB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388E3" w14:textId="77777777" w:rsidR="00857BB5" w:rsidRPr="00857BB5" w:rsidRDefault="00857BB5" w:rsidP="00857BB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605226"/>
      <w:docPartObj>
        <w:docPartGallery w:val="Page Numbers (Bottom of Page)"/>
        <w:docPartUnique/>
      </w:docPartObj>
    </w:sdtPr>
    <w:sdtEndPr>
      <w:rPr>
        <w:noProof/>
      </w:rPr>
    </w:sdtEndPr>
    <w:sdtContent>
      <w:p w14:paraId="5D0FE5E8" w14:textId="5728D070" w:rsidR="003633C5" w:rsidRDefault="003633C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4359537" w14:textId="3485C1A6" w:rsidR="00C827AC" w:rsidRDefault="00C827AC">
    <w:pPr>
      <w:pStyle w:val="FooterCoverPage"/>
      <w:rPr>
        <w:rFonts w:ascii="Arial" w:hAnsi="Arial" w:cs="Arial"/>
        <w:b/>
        <w:sz w:val="4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3A764" w14:textId="77777777" w:rsidR="00A9355C" w:rsidRDefault="00A9355C">
      <w:pPr>
        <w:spacing w:after="0" w:line="240" w:lineRule="auto"/>
      </w:pPr>
      <w:r>
        <w:separator/>
      </w:r>
    </w:p>
  </w:footnote>
  <w:footnote w:type="continuationSeparator" w:id="0">
    <w:p w14:paraId="11AC574D" w14:textId="77777777" w:rsidR="00A9355C" w:rsidRDefault="00A9355C">
      <w:pPr>
        <w:spacing w:after="0" w:line="240" w:lineRule="auto"/>
      </w:pPr>
      <w:r>
        <w:continuationSeparator/>
      </w:r>
    </w:p>
  </w:footnote>
  <w:footnote w:id="1">
    <w:p w14:paraId="3F64CD6F" w14:textId="77777777" w:rsidR="00C827AC" w:rsidRDefault="00A9355C">
      <w:pPr>
        <w:pStyle w:val="FootnoteText"/>
        <w:rPr>
          <w:lang w:val="en-IE"/>
        </w:rPr>
      </w:pPr>
      <w:r>
        <w:rPr>
          <w:rStyle w:val="FootnoteReference"/>
        </w:rPr>
        <w:footnoteRef/>
      </w:r>
      <w:r>
        <w:t xml:space="preserve"> </w:t>
      </w:r>
      <w:r>
        <w:rPr>
          <w:lang w:val="en-IE"/>
        </w:rPr>
        <w:t xml:space="preserve">Over 12.8 million third-country nationals were employed in the EU in 2025. </w:t>
      </w:r>
    </w:p>
  </w:footnote>
  <w:footnote w:id="2">
    <w:p w14:paraId="1929E941" w14:textId="77777777" w:rsidR="00C827AC" w:rsidRDefault="00A9355C">
      <w:pPr>
        <w:pStyle w:val="FootnoteText"/>
      </w:pPr>
      <w:r>
        <w:rPr>
          <w:rStyle w:val="FootnoteReference"/>
        </w:rPr>
        <w:footnoteRef/>
      </w:r>
      <w:r>
        <w:t xml:space="preserve"> Discounted to 2026 present values (discount rate 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AF613" w14:textId="77777777" w:rsidR="00857BB5" w:rsidRPr="00857BB5" w:rsidRDefault="00857BB5" w:rsidP="00857BB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CA16B" w14:textId="77777777" w:rsidR="00857BB5" w:rsidRPr="00857BB5" w:rsidRDefault="00857BB5" w:rsidP="00857BB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8E65D" w14:textId="77777777" w:rsidR="00857BB5" w:rsidRPr="00857BB5" w:rsidRDefault="00857BB5" w:rsidP="00857BB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D9BC3" w14:textId="2093B58F" w:rsidR="00857BB5" w:rsidRDefault="00857BB5">
    <w:pPr>
      <w:pStyle w:val="Header"/>
      <w:jc w:val="center"/>
    </w:pPr>
  </w:p>
  <w:p w14:paraId="65E39974" w14:textId="77777777" w:rsidR="00C827AC" w:rsidRDefault="00C827AC">
    <w:pPr>
      <w:pStyle w:val="HeaderCoverPa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646FA"/>
    <w:multiLevelType w:val="hybridMultilevel"/>
    <w:tmpl w:val="637025DC"/>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132ABCD"/>
    <w:multiLevelType w:val="hybridMultilevel"/>
    <w:tmpl w:val="FFFFFFFF"/>
    <w:lvl w:ilvl="0" w:tplc="097A0D22">
      <w:start w:val="1"/>
      <w:numFmt w:val="bullet"/>
      <w:lvlText w:val=""/>
      <w:lvlJc w:val="left"/>
      <w:pPr>
        <w:ind w:left="720" w:hanging="360"/>
      </w:pPr>
      <w:rPr>
        <w:rFonts w:ascii="Symbol" w:hAnsi="Symbol" w:hint="default"/>
      </w:rPr>
    </w:lvl>
    <w:lvl w:ilvl="1" w:tplc="3AFEA9E4">
      <w:start w:val="1"/>
      <w:numFmt w:val="bullet"/>
      <w:lvlText w:val="o"/>
      <w:lvlJc w:val="left"/>
      <w:pPr>
        <w:ind w:left="1440" w:hanging="360"/>
      </w:pPr>
      <w:rPr>
        <w:rFonts w:ascii="Courier New" w:hAnsi="Courier New" w:hint="default"/>
      </w:rPr>
    </w:lvl>
    <w:lvl w:ilvl="2" w:tplc="0A0EFE3C">
      <w:start w:val="1"/>
      <w:numFmt w:val="bullet"/>
      <w:lvlText w:val=""/>
      <w:lvlJc w:val="left"/>
      <w:pPr>
        <w:ind w:left="2160" w:hanging="360"/>
      </w:pPr>
      <w:rPr>
        <w:rFonts w:ascii="Wingdings" w:hAnsi="Wingdings" w:hint="default"/>
      </w:rPr>
    </w:lvl>
    <w:lvl w:ilvl="3" w:tplc="0AE68E16">
      <w:start w:val="1"/>
      <w:numFmt w:val="bullet"/>
      <w:lvlText w:val=""/>
      <w:lvlJc w:val="left"/>
      <w:pPr>
        <w:ind w:left="2880" w:hanging="360"/>
      </w:pPr>
      <w:rPr>
        <w:rFonts w:ascii="Symbol" w:hAnsi="Symbol" w:hint="default"/>
      </w:rPr>
    </w:lvl>
    <w:lvl w:ilvl="4" w:tplc="5088C750">
      <w:start w:val="1"/>
      <w:numFmt w:val="bullet"/>
      <w:lvlText w:val="o"/>
      <w:lvlJc w:val="left"/>
      <w:pPr>
        <w:ind w:left="3600" w:hanging="360"/>
      </w:pPr>
      <w:rPr>
        <w:rFonts w:ascii="Courier New" w:hAnsi="Courier New" w:hint="default"/>
      </w:rPr>
    </w:lvl>
    <w:lvl w:ilvl="5" w:tplc="EC066750">
      <w:start w:val="1"/>
      <w:numFmt w:val="bullet"/>
      <w:lvlText w:val=""/>
      <w:lvlJc w:val="left"/>
      <w:pPr>
        <w:ind w:left="4320" w:hanging="360"/>
      </w:pPr>
      <w:rPr>
        <w:rFonts w:ascii="Wingdings" w:hAnsi="Wingdings" w:hint="default"/>
      </w:rPr>
    </w:lvl>
    <w:lvl w:ilvl="6" w:tplc="03BE03F2">
      <w:start w:val="1"/>
      <w:numFmt w:val="bullet"/>
      <w:lvlText w:val=""/>
      <w:lvlJc w:val="left"/>
      <w:pPr>
        <w:ind w:left="5040" w:hanging="360"/>
      </w:pPr>
      <w:rPr>
        <w:rFonts w:ascii="Symbol" w:hAnsi="Symbol" w:hint="default"/>
      </w:rPr>
    </w:lvl>
    <w:lvl w:ilvl="7" w:tplc="AA68F6A6">
      <w:start w:val="1"/>
      <w:numFmt w:val="bullet"/>
      <w:lvlText w:val="o"/>
      <w:lvlJc w:val="left"/>
      <w:pPr>
        <w:ind w:left="5760" w:hanging="360"/>
      </w:pPr>
      <w:rPr>
        <w:rFonts w:ascii="Courier New" w:hAnsi="Courier New" w:hint="default"/>
      </w:rPr>
    </w:lvl>
    <w:lvl w:ilvl="8" w:tplc="C9A43B80">
      <w:start w:val="1"/>
      <w:numFmt w:val="bullet"/>
      <w:lvlText w:val=""/>
      <w:lvlJc w:val="left"/>
      <w:pPr>
        <w:ind w:left="6480" w:hanging="360"/>
      </w:pPr>
      <w:rPr>
        <w:rFonts w:ascii="Wingdings" w:hAnsi="Wingdings" w:hint="default"/>
      </w:rPr>
    </w:lvl>
  </w:abstractNum>
  <w:abstractNum w:abstractNumId="2" w15:restartNumberingAfterBreak="0">
    <w:nsid w:val="26484AC3"/>
    <w:multiLevelType w:val="hybridMultilevel"/>
    <w:tmpl w:val="D42A0CD2"/>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667C7AC6"/>
    <w:multiLevelType w:val="hybridMultilevel"/>
    <w:tmpl w:val="7BDACE22"/>
    <w:lvl w:ilvl="0" w:tplc="C93EFE82">
      <w:start w:val="4"/>
      <w:numFmt w:val="bullet"/>
      <w:lvlText w:val="-"/>
      <w:lvlJc w:val="left"/>
      <w:pPr>
        <w:ind w:left="720" w:hanging="360"/>
      </w:pPr>
      <w:rPr>
        <w:rFonts w:ascii="Times New Roman" w:eastAsia="Arial"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6F294C7B"/>
    <w:multiLevelType w:val="hybridMultilevel"/>
    <w:tmpl w:val="B0F2CB7C"/>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686061780">
    <w:abstractNumId w:val="1"/>
  </w:num>
  <w:num w:numId="2" w16cid:durableId="1058672346">
    <w:abstractNumId w:val="0"/>
  </w:num>
  <w:num w:numId="3" w16cid:durableId="542642297">
    <w:abstractNumId w:val="4"/>
  </w:num>
  <w:num w:numId="4" w16cid:durableId="1052389759">
    <w:abstractNumId w:val="2"/>
  </w:num>
  <w:num w:numId="5" w16cid:durableId="17131884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revisionView w:markup="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ocStatus" w:val="Green"/>
    <w:docVar w:name="LW_ACCOMPAGNANT.CP" w:val="Accompanying the document"/>
    <w:docVar w:name="LW_CORRIGENDUM" w:val="&lt;UNUSED&gt;"/>
    <w:docVar w:name="LW_COVERPAGE_EXISTS" w:val="True"/>
    <w:docVar w:name="LW_COVERPAGE_GUID" w:val="735AE398-B08C-45BA-A77F-5E41FC357A51"/>
    <w:docVar w:name="LW_COVERPAGE_TYPE" w:val="1"/>
    <w:docVar w:name="LW_CROSSREFERENCE" w:val="{COM(2026) 990 final} - {SEC(2026) 990 final} - {SWD(2026) 989 final} - {SWD(2026) 990 final}"/>
    <w:docVar w:name="LW_DocType" w:val="NORMAL"/>
    <w:docVar w:name="LW_EMISSION" w:val="15.9.2026"/>
    <w:docVar w:name="LW_EMISSION_ISODATE" w:val="2026-09-15"/>
    <w:docVar w:name="LW_EMISSION_LOCATION" w:val="STR"/>
    <w:docVar w:name="LW_EMISSION_PREFIX" w:val="Strasbourg, "/>
    <w:docVar w:name="LW_EMISSION_SUFFIX" w:val=" "/>
    <w:docVar w:name="LW_ID_DOCTYPE_NONLW" w:val="CP-027"/>
    <w:docVar w:name="LW_LANGUE" w:val="EN"/>
    <w:docVar w:name="LW_LEVEL_OF_SENSITIVITY" w:val="Standard treatment"/>
    <w:docVar w:name="LW_NOM.INST" w:val="EUROPEAN COMMISSION"/>
    <w:docVar w:name="LW_NOM.INST_JOINTDOC" w:val="&lt;EMPTY&gt;"/>
    <w:docVar w:name="LW_OBJETACTEPRINCIPAL.CP" w:val="DIRECTIVE OF THE EUROPEAN PARLIAMENT AND OF THE COUNCIL_x000d__x000b_on the recognition of qualifications of third-country nationals"/>
    <w:docVar w:name="LW_PART_NBR" w:val="1"/>
    <w:docVar w:name="LW_PART_NBR_TOTAL" w:val="1"/>
    <w:docVar w:name="LW_REF.INST.NEW" w:val="SWD"/>
    <w:docVar w:name="LW_REF.INST.NEW_ADOPTED" w:val="final"/>
    <w:docVar w:name="LW_REF.INST.NEW_TEXT" w:val="(2026) 99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Style_Marker&gt; &lt;/FMT&gt;"/>
    <w:docVar w:name="LW_TYPE.DOC.CP" w:val="COMMISSION STAFF WORKING DOCUMENT_x000b__x000b_EXECUTIVE SUMMARY OF THE IMPACT ASSESSMENT REPORT_x000b_"/>
    <w:docVar w:name="LW_TYPEACTEPRINCIPAL.CP" w:val="Proposal for a"/>
    <w:docVar w:name="LwApiVersions" w:val="LW4CoDe 1.25.1.0; LW 9.2, Build 20260702"/>
  </w:docVars>
  <w:rsids>
    <w:rsidRoot w:val="00C827AC"/>
    <w:rsid w:val="003633C5"/>
    <w:rsid w:val="004A15B7"/>
    <w:rsid w:val="00857BB5"/>
    <w:rsid w:val="00A9355C"/>
    <w:rsid w:val="00C827A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FD2FCB"/>
  <w15:chartTrackingRefBased/>
  <w15:docId w15:val="{FE1B191C-FE42-4E26-A0A5-61DF4F6D8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paragraph" w:styleId="Revision">
    <w:name w:val="Revision"/>
    <w:hidden/>
    <w:uiPriority w:val="99"/>
    <w:semiHidden/>
    <w:pPr>
      <w:spacing w:after="0" w:line="240" w:lineRule="auto"/>
    </w:pPr>
  </w:style>
  <w:style w:type="paragraph" w:styleId="ListParagraph">
    <w:name w:val="List Paragraph"/>
    <w:basedOn w:val="Normal"/>
    <w:uiPriority w:val="34"/>
    <w:qFormat/>
    <w:pPr>
      <w:ind w:left="720"/>
      <w:contextualSpacing/>
    </w:p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3-Accent1">
    <w:name w:val="List Table 3 Accent 1"/>
    <w:basedOn w:val="TableNormal"/>
    <w:uiPriority w:val="48"/>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character" w:styleId="Mention">
    <w:name w:val="Mention"/>
    <w:basedOn w:val="DefaultParagraphFont"/>
    <w:uiPriority w:val="99"/>
    <w:unhideWhenUsed/>
    <w:rPr>
      <w:color w:val="2B579A"/>
      <w:shd w:val="clear" w:color="auto" w:fill="E1DFDD"/>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paragraph" w:customStyle="1" w:styleId="Languesfaisantfoi">
    <w:name w:val="Langues faisant foi"/>
    <w:basedOn w:val="Normal"/>
    <w:next w:val="Normal"/>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1.emf"/><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9FC68A67A5314A80584FFDC40D7F55" ma:contentTypeVersion="12" ma:contentTypeDescription="Create a new document." ma:contentTypeScope="" ma:versionID="c04673ff378a8e42aa8f416ddf97fc56">
  <xsd:schema xmlns:xsd="http://www.w3.org/2001/XMLSchema" xmlns:xs="http://www.w3.org/2001/XMLSchema" xmlns:p="http://schemas.microsoft.com/office/2006/metadata/properties" xmlns:ns2="f1ed5256-d72f-4f96-83d7-30afcc04542b" xmlns:ns3="83d7a71b-c094-44f3-ba43-7eb82780a484" targetNamespace="http://schemas.microsoft.com/office/2006/metadata/properties" ma:root="true" ma:fieldsID="e1dd8b1a51844d38e31262ea984300fe" ns2:_="" ns3:_="">
    <xsd:import namespace="f1ed5256-d72f-4f96-83d7-30afcc04542b"/>
    <xsd:import namespace="83d7a71b-c094-44f3-ba43-7eb82780a4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ed5256-d72f-4f96-83d7-30afcc0454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d7a71b-c094-44f3-ba43-7eb82780a48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86fc149-4a51-4662-999d-103aba0ee631}" ma:internalName="TaxCatchAll" ma:showField="CatchAllData" ma:web="83d7a71b-c094-44f3-ba43-7eb82780a4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1ed5256-d72f-4f96-83d7-30afcc04542b">
      <Terms xmlns="http://schemas.microsoft.com/office/infopath/2007/PartnerControls"/>
    </lcf76f155ced4ddcb4097134ff3c332f>
    <TaxCatchAll xmlns="83d7a71b-c094-44f3-ba43-7eb82780a484">
      <Value>151</Value>
    </TaxCatchAll>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143A7E-413F-4F74-9E6D-FAC9ACA6D6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ed5256-d72f-4f96-83d7-30afcc04542b"/>
    <ds:schemaRef ds:uri="83d7a71b-c094-44f3-ba43-7eb82780a4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F0BE0D-2EB8-42A4-816C-E4D597C7714A}">
  <ds:schemaRefs>
    <ds:schemaRef ds:uri="http://schemas.microsoft.com/office/2006/metadata/properties"/>
    <ds:schemaRef ds:uri="http://schemas.microsoft.com/office/infopath/2007/PartnerControls"/>
    <ds:schemaRef ds:uri="f1ed5256-d72f-4f96-83d7-30afcc04542b"/>
    <ds:schemaRef ds:uri="83d7a71b-c094-44f3-ba43-7eb82780a484"/>
  </ds:schemaRefs>
</ds:datastoreItem>
</file>

<file path=customXml/itemProps3.xml><?xml version="1.0" encoding="utf-8"?>
<ds:datastoreItem xmlns:ds="http://schemas.openxmlformats.org/officeDocument/2006/customXml" ds:itemID="{859F6867-F523-4083-BAEA-3ADE2E4747DD}">
  <ds:schemaRefs>
    <ds:schemaRef ds:uri="http://schemas.openxmlformats.org/officeDocument/2006/bibliography"/>
  </ds:schemaRefs>
</ds:datastoreItem>
</file>

<file path=customXml/itemProps4.xml><?xml version="1.0" encoding="utf-8"?>
<ds:datastoreItem xmlns:ds="http://schemas.openxmlformats.org/officeDocument/2006/customXml" ds:itemID="{6943EC7C-3FB7-4E9F-9E1E-8FE2D93B982F}">
  <ds:schemaRefs>
    <ds:schemaRef ds:uri="http://schemas.microsoft.com/sharepoint/v3/contenttype/forms"/>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6</Pages>
  <Words>1797</Words>
  <Characters>11072</Characters>
  <Application>Microsoft Office Word</Application>
  <DocSecurity>0</DocSecurity>
  <Lines>615</Lines>
  <Paragraphs>292</Paragraphs>
  <ScaleCrop>false</ScaleCrop>
  <Manager/>
  <Company/>
  <LinksUpToDate>false</LinksUpToDate>
  <CharactersWithSpaces>12577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GEDEI Ottilia (SG)</cp:lastModifiedBy>
  <cp:revision>11</cp:revision>
  <dcterms:created xsi:type="dcterms:W3CDTF">2026-09-07T15:45:00Z</dcterms:created>
  <dcterms:modified xsi:type="dcterms:W3CDTF">2026-09-15T08:31:00Z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CP-027</vt:lpwstr>
  </property>
  <property fmtid="{D5CDD505-2E9C-101B-9397-08002B2CF9AE}" pid="7" name="Last edited using">
    <vt:lpwstr>LW 9.2, Build 20250828</vt:lpwstr>
  </property>
  <property fmtid="{D5CDD505-2E9C-101B-9397-08002B2CF9AE}" pid="8" name="Created using">
    <vt:lpwstr>LW 7.0.1, Build 20190916</vt:lpwstr>
  </property>
  <property fmtid="{D5CDD505-2E9C-101B-9397-08002B2CF9AE}" pid="9" name="MSIP_Label_6bd9ddd1-4d20-43f6-abfa-fc3c07406f94_Enabled">
    <vt:lpwstr>true</vt:lpwstr>
  </property>
  <property fmtid="{D5CDD505-2E9C-101B-9397-08002B2CF9AE}" pid="10" name="MSIP_Label_6bd9ddd1-4d20-43f6-abfa-fc3c07406f94_SetDate">
    <vt:lpwstr>2023-11-30T13:43:40Z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73c6ecd3-260f-4603-83cc-3393ad4b8590</vt:lpwstr>
  </property>
  <property fmtid="{D5CDD505-2E9C-101B-9397-08002B2CF9AE}" pid="15" name="MSIP_Label_6bd9ddd1-4d20-43f6-abfa-fc3c07406f94_ContentBits">
    <vt:lpwstr>0</vt:lpwstr>
  </property>
  <property fmtid="{D5CDD505-2E9C-101B-9397-08002B2CF9AE}" pid="16" name="ContentTypeId">
    <vt:lpwstr>0x010100959FC68A67A5314A80584FFDC40D7F55</vt:lpwstr>
  </property>
  <property fmtid="{D5CDD505-2E9C-101B-9397-08002B2CF9AE}" pid="17" name="TaxKeyword">
    <vt:lpwstr/>
  </property>
  <property fmtid="{D5CDD505-2E9C-101B-9397-08002B2CF9AE}" pid="18" name="MediaServiceImageTags">
    <vt:lpwstr/>
  </property>
  <property fmtid="{D5CDD505-2E9C-101B-9397-08002B2CF9AE}" pid="19" name="Responsible unit ">
    <vt:lpwstr>151;#SG.C.2|c917e1f5-7912-4eb9-962c-e792a6657685</vt:lpwstr>
  </property>
  <property fmtid="{D5CDD505-2E9C-101B-9397-08002B2CF9AE}" pid="20" name="Responsible unit">
    <vt:lpwstr>65;#SG.A.2|3cb8bfc5-e669-4eb4-a8d3-5922786e2056</vt:lpwstr>
  </property>
  <property fmtid="{D5CDD505-2E9C-101B-9397-08002B2CF9AE}" pid="21" name="Responsible_x0020_unit_x0020_">
    <vt:lpwstr>151;#SG.C.2|c917e1f5-7912-4eb9-962c-e792a6657685</vt:lpwstr>
  </property>
</Properties>
</file>