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jpeg"/>
  <Override PartName="/media/image3.bin" ContentType="image/jpe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9.xml" ContentType="application/vnd.openxmlformats-officedocument.wordprocessingml.header+xml"/>
  <Override PartName="/word/header90.xml" ContentType="application/vnd.openxmlformats-officedocument.wordprocessingml.header+xml"/>
  <Override PartName="/word/footer89.xml" ContentType="application/vnd.openxmlformats-officedocument.wordprocessingml.footer+xml"/>
  <Override PartName="/word/footer90.xml" ContentType="application/vnd.openxmlformats-officedocument.wordprocessingml.footer+xml"/>
  <Override PartName="/word/header92.xml" ContentType="application/vnd.openxmlformats-officedocument.wordprocessingml.header+xml"/>
  <Override PartName="/word/header93.xml" ContentType="application/vnd.openxmlformats-officedocument.wordprocessingml.header+xml"/>
  <Override PartName="/word/footer92.xml" ContentType="application/vnd.openxmlformats-officedocument.wordprocessingml.footer+xml"/>
  <Override PartName="/word/footer93.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98.xml" ContentType="application/vnd.openxmlformats-officedocument.wordprocessingml.header+xml"/>
  <Override PartName="/word/header99.xml" ContentType="application/vnd.openxmlformats-officedocument.wordprocessingml.header+xml"/>
  <Override PartName="/word/footer98.xml" ContentType="application/vnd.openxmlformats-officedocument.wordprocessingml.footer+xml"/>
  <Override PartName="/word/footer99.xml" ContentType="application/vnd.openxmlformats-officedocument.wordprocessingml.footer+xml"/>
  <Override PartName="/word/header101.xml" ContentType="application/vnd.openxmlformats-officedocument.wordprocessingml.header+xml"/>
  <Override PartName="/word/header102.xml" ContentType="application/vnd.openxmlformats-officedocument.wordprocessingml.header+xml"/>
  <Override PartName="/word/footer101.xml" ContentType="application/vnd.openxmlformats-officedocument.wordprocessingml.footer+xml"/>
  <Override PartName="/word/footer102.xml" ContentType="application/vnd.openxmlformats-officedocument.wordprocessingml.footer+xml"/>
  <Override PartName="/word/header104.xml" ContentType="application/vnd.openxmlformats-officedocument.wordprocessingml.header+xml"/>
  <Override PartName="/word/header105.xml" ContentType="application/vnd.openxmlformats-officedocument.wordprocessingml.header+xml"/>
  <Override PartName="/word/footer104.xml" ContentType="application/vnd.openxmlformats-officedocument.wordprocessingml.footer+xml"/>
  <Override PartName="/word/footer105.xml" ContentType="application/vnd.openxmlformats-officedocument.wordprocessingml.footer+xml"/>
  <Override PartName="/word/header107.xml" ContentType="application/vnd.openxmlformats-officedocument.wordprocessingml.header+xml"/>
  <Override PartName="/word/header108.xml" ContentType="application/vnd.openxmlformats-officedocument.wordprocessingml.header+xml"/>
  <Override PartName="/word/footer107.xml" ContentType="application/vnd.openxmlformats-officedocument.wordprocessingml.footer+xml"/>
  <Override PartName="/word/footer108.xml" ContentType="application/vnd.openxmlformats-officedocument.wordprocessingml.footer+xml"/>
  <Override PartName="/word/header110.xml" ContentType="application/vnd.openxmlformats-officedocument.wordprocessingml.header+xml"/>
  <Override PartName="/word/header111.xml" ContentType="application/vnd.openxmlformats-officedocument.wordprocessingml.header+xml"/>
  <Override PartName="/word/footer110.xml" ContentType="application/vnd.openxmlformats-officedocument.wordprocessingml.footer+xml"/>
  <Override PartName="/word/footer111.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footer113.xml" ContentType="application/vnd.openxmlformats-officedocument.wordprocessingml.footer+xml"/>
  <Override PartName="/word/footer114.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116.xml" ContentType="application/vnd.openxmlformats-officedocument.wordprocessingml.footer+xml"/>
  <Override PartName="/word/footer117.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119.xml" ContentType="application/vnd.openxmlformats-officedocument.wordprocessingml.footer+xml"/>
  <Override PartName="/word/footer120.xml" ContentType="application/vnd.openxmlformats-officedocument.wordprocessingml.footer+xml"/>
  <Override PartName="/word/numbering.xml" ContentType="application/vnd.openxmlformats-officedocument.wordprocessingml.numbering+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cb187a93284749b3" /><Relationship Type="http://schemas.openxmlformats.org/package/2006/relationships/metadata/core-properties" Target="/docProps/core.xml" Id="R0a605203cf9e4c72" /><Relationship Type="http://schemas.openxmlformats.org/officeDocument/2006/relationships/extended-properties" Target="/docProps/app.xml" Id="R665ae17132df4ea6" /><Relationship Type="http://schemas.openxmlformats.org/officeDocument/2006/relationships/custom-properties" Target="/docProps/custom.xml" Id="R7db86f40a98d4d4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1b89166dd6004174"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7 January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5096</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COH 4	POLMIL 4</w:t>
                </w:r>
              </w:p>
              <w:p>
                <w:pPr>
                  <w:pStyle w:val="TBEntRefer"/>
                  <w:tabs>
                    <w:tab w:val="left" w:pos="2265"/>
                  </w:tabs>
                </w:pPr>
                <w:r>
                  <w:t xml:space="preserve">SOC 9	FISC 4</w:t>
                </w:r>
              </w:p>
              <w:p>
                <w:pPr>
                  <w:pStyle w:val="TBEntRefer"/>
                  <w:tabs>
                    <w:tab w:val="left" w:pos="2265"/>
                  </w:tabs>
                </w:pPr>
                <w:r>
                  <w:t xml:space="preserve">ENER 4	FIN 4</w:t>
                </w:r>
              </w:p>
              <w:p>
                <w:pPr>
                  <w:pStyle w:val="TBEntRefer"/>
                  <w:tabs>
                    <w:tab w:val="left" w:pos="2265"/>
                  </w:tabs>
                </w:pPr>
                <w:r>
                  <w:t xml:space="preserve">ENV 10	ECOFIN 11</w:t>
                </w:r>
              </w:p>
              <w:p>
                <w:pPr>
                  <w:pStyle w:val="TBEntRefer"/>
                  <w:tabs>
                    <w:tab w:val="left" w:pos="2265"/>
                  </w:tabs>
                </w:pPr>
                <w:r>
                  <w:t xml:space="preserve">CADREFIN 4	UEM 9</w:t>
                </w:r>
              </w:p>
              <w:p>
                <w:pPr>
                  <w:pStyle w:val="TBEntRefer"/>
                  <w:tabs>
                    <w:tab w:val="left" w:pos="2265"/>
                  </w:tabs>
                </w:pPr>
                <w:r>
                  <w:t xml:space="preserve">CODEC 13	INST 2</w:t>
                </w:r>
              </w:p>
              <w:p>
                <w:pPr>
                  <w:pStyle w:val="TBEntRefer"/>
                  <w:tabs>
                    <w:tab w:val="left" w:pos="2265"/>
                  </w:tabs>
                </w:pPr>
                <w:r>
                  <w:t xml:space="preserve">INDEF 3	PARLNAT 2</w:t>
                </w:r>
              </w:p>
              <w:p>
                <w:pPr>
                  <w:pStyle w:val="TBEntRefer"/>
                  <w:tabs>
                    <w:tab w:val="left" w:pos="2265"/>
                  </w:tabs>
                </w:pPr>
                <w:r>
                  <w:t xml:space="preserve">COPS 6</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Files:</w:t>
                </w:r>
              </w:p>
              <w:p>
                <w:pPr>
                  <w:pStyle w:val="TBEntReferNew"/>
                  <w:pBdr>
                    <w:top w:val="double" w:color="auto" w:sz="6" w:space="2"/>
                    <w:bottom w:val="double" w:color="auto" w:sz="6" w:space="2"/>
                  </w:pBdr>
                  <w:rPr>
                    <w:sz w:val="23"/>
                    <w:szCs w:val="23"/>
                  </w:rPr>
                </w:pPr>
                <w:r>
                  <w:rPr>
                    <w:sz w:val="23"/>
                    <w:szCs w:val="23"/>
                  </w:rPr>
                  <w:t xml:space="preserve">2025/0084 (COD)</w:t>
                </w:r>
              </w:p>
              <w:p>
                <w:pPr>
                  <w:pStyle w:val="TBEntReferNew"/>
                  <w:pBdr>
                    <w:top w:val="double" w:color="auto" w:sz="6" w:space="2"/>
                    <w:bottom w:val="double" w:color="auto" w:sz="6" w:space="2"/>
                  </w:pBdr>
                  <w:rPr>
                    <w:sz w:val="23"/>
                    <w:szCs w:val="23"/>
                  </w:rPr>
                </w:pPr>
                <w:r>
                  <w:rPr>
                    <w:sz w:val="23"/>
                    <w:szCs w:val="23"/>
                  </w:rPr>
                  <w:t xml:space="preserve">2025/0122 (NLE)</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Irish parliament (Houses of the Oireachtas)</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17 December 2025</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amending Regulations (EU) 2021/1058 and (EU) 2021/1056 as regards specific measures to address strategic challenges in the context of the mid-term review</w:t>
                </w:r>
              </w:p>
              <w:p>
                <w:pPr>
                  <w:pStyle w:val="TBSubjectText"/>
                </w:pPr>
                <w:r>
                  <w:t xml:space="preserve">[7682/25 - COM(20250 123 final]</w:t>
                </w:r>
              </w:p>
              <w:p>
                <w:pPr>
                  <w:pStyle w:val="TBSubjectText"/>
                </w:pPr>
                <w:r>
                  <w:t xml:space="preserve">Proposal for a COUNCIL REGULATION establishing the Security Action for Europe (SAFE) through the reinforcement of European defence industry instrument</w:t>
                </w:r>
              </w:p>
              <w:p>
                <w:pPr>
                  <w:pStyle w:val="TBSubjectText"/>
                </w:pPr>
                <w:r>
                  <w:t xml:space="preserve">[7593/5/25 - COM(2025) 122 final]</w:t>
                </w:r>
              </w:p>
              <w:p>
                <w:pPr>
                  <w:pStyle w:val="TBSubjectText"/>
                </w:pPr>
                <w:r>
                  <w:t xml:space="preserve">-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794452" w:rsidP="00794452" w:rsidRDefault="00794452" w14:paraId="766E75F6" w14:textId="4CAA8C72">
      <w:pPr>
        <w:pStyle w:val="EntText"/>
        <w:spacing w:before="480"/>
      </w:pPr>
      <w:r w:rsidRPr="00794452">
        <w:t xml:space="preserve">Delegations will find </w:t>
      </w:r>
      <w:r w:rsidR="00381678">
        <w:t>enclosed the opinion</w:t>
      </w:r>
      <w:r w:rsidR="00381678">
        <w:rPr>
          <w:rStyle w:val="FootnoteReference"/>
        </w:rPr>
        <w:footnoteReference w:id="2"/>
      </w:r>
      <w:r w:rsidR="00381678">
        <w:t xml:space="preserve"> of the Irish parliament (Houses of the Oireachtas) on the above</w:t>
      </w:r>
      <w:r w:rsidRPr="00794452">
        <w:t>.</w:t>
      </w:r>
    </w:p>
    <w:p w:rsidR="00794452" w:rsidP="00794452" w:rsidRDefault="00794452" w14:paraId="34FE11D2" w14:textId="77777777">
      <w:pPr>
        <w:pStyle w:val="Lignefinal"/>
      </w:pPr>
    </w:p>
    <w:p w:rsidRPr="00794452" w:rsidR="00B84CED" w:rsidP="00794452" w:rsidRDefault="00B84CED" w14:paraId="086E33B3" w14:textId="787FEF16">
      <w:pPr>
        <w:pStyle w:val="pj"/>
        <w:spacing w:before="120"/>
      </w:pPr>
    </w:p>
    <w:p w:rsidR="00794452" w:rsidP="00794452" w:rsidRDefault="00794452" w14:paraId="5A7799F3" w14:textId="77777777">
      <w:pPr>
        <w:sectPr w:rsidR="00794452" w:rsidSect="00196DB0">
          <w:headerReference w:type="even" r:id="R1cd292b7f65c4606"/>
          <w:headerReference w:type="default" r:id="R7b4c1e68b4c644e5"/>
          <w:footerReference w:type="even" r:id="R49640e10046d4bd2"/>
          <w:footerReference w:type="default" r:id="R9e901e5565ce4a8d"/>
          <w:headerReference w:type="first" r:id="R71b11fef26c24fc0"/>
          <w:footerReference w:type="first" r:id="R7db387bacfa3421f"/>
          <w:pgSz w:w="11907" w:h="16839"/>
          <w:pgMar w:top="624" w:right="1134" w:bottom="1134" w:left="1134" w:header="567" w:footer="567" w:gutter="0"/>
          <w:pgNumType w:start="0"/>
          <w:cols w:space="720"/>
          <w:titlePg/>
          <w:docGrid w:linePitch="299"/>
          <w:pgSz w:w="11907" w:h="16840" w:code="9"/>
          <w:pgSz w:w="11907" w:h="16840" w:code="9"/>
          <w:pgSz w:w="11907" w:h="16840" w:code="9"/>
          <w:pgSz w:w="11907" w:h="16840" w:code="9"/>
          <w:pgSz w:w="11907" w:h="16840" w:code="9"/>
          <w:pgSz w:w="11907" w:h="16840" w:code="9"/>
          <w:pgSz w:w="11907" w:h="16840" w:code="9"/>
        </w:sectPr>
      </w:pPr>
    </w:p>
    <w:p w:rsidR="00B84CED" w:rsidRDefault="00381678" w14:paraId="06C20A6F" w14:textId="5F041381">
      <w:pPr>
        <w:pStyle w:val="BodyText"/>
        <w:rPr>
          <w:rFonts w:ascii="Times New Roman"/>
          <w:sz w:val="38"/>
        </w:rPr>
      </w:pPr>
      <w:r w:rsidRPr="00794452">
        <w:rPr>
          <w:noProof/>
        </w:rPr>
        <w:lastRenderedPageBreak/>
        <mc:AlternateContent>
          <mc:Choice Requires="wpg">
            <w:drawing>
              <wp:anchor distT="0" distB="0" distL="0" distR="0" simplePos="0" relativeHeight="251658240" behindDoc="1" locked="0" layoutInCell="1" allowOverlap="1" wp14:editId="0A77C2E1" wp14:anchorId="00E81076">
                <wp:simplePos x="0" y="0"/>
                <wp:positionH relativeFrom="page">
                  <wp:posOffset>-161925</wp:posOffset>
                </wp:positionH>
                <wp:positionV relativeFrom="page">
                  <wp:posOffset>171450</wp:posOffset>
                </wp:positionV>
                <wp:extent cx="7556500" cy="9467850"/>
                <wp:effectExtent l="0" t="0" r="6350"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9467850"/>
                          <a:chOff x="0" y="0"/>
                          <a:chExt cx="7555992" cy="10254178"/>
                        </a:xfrm>
                      </wpg:grpSpPr>
                      <pic:pic xmlns:pic="http://schemas.openxmlformats.org/drawingml/2006/picture">
                        <pic:nvPicPr>
                          <pic:cNvPr id="2" name="Image 2"/>
                          <pic:cNvPicPr/>
                        </pic:nvPicPr>
                        <pic:blipFill>
                          <a:blip r:embed="Rc5e7a7cb659b47f4" cstate="print"/>
                          <a:stretch>
                            <a:fillRect/>
                          </a:stretch>
                        </pic:blipFill>
                        <pic:spPr>
                          <a:xfrm>
                            <a:off x="0" y="0"/>
                            <a:ext cx="7555992" cy="10254178"/>
                          </a:xfrm>
                          <a:prstGeom prst="rect">
                            <a:avLst/>
                          </a:prstGeom>
                        </pic:spPr>
                      </pic:pic>
                      <wps:wsp>
                        <wps:cNvPr id="3" name="Graphic 3"/>
                        <wps:cNvSpPr/>
                        <wps:spPr>
                          <a:xfrm>
                            <a:off x="1062227" y="4901890"/>
                            <a:ext cx="5613400" cy="12700"/>
                          </a:xfrm>
                          <a:custGeom>
                            <a:avLst/>
                            <a:gdLst/>
                            <a:ahLst/>
                            <a:cxnLst/>
                            <a:rect l="l" t="t" r="r" b="b"/>
                            <a:pathLst>
                              <a:path w="5613400" h="12700">
                                <a:moveTo>
                                  <a:pt x="5612892" y="0"/>
                                </a:moveTo>
                                <a:lnTo>
                                  <a:pt x="0" y="0"/>
                                </a:lnTo>
                                <a:lnTo>
                                  <a:pt x="0" y="12191"/>
                                </a:lnTo>
                                <a:lnTo>
                                  <a:pt x="5612892" y="12191"/>
                                </a:lnTo>
                                <a:lnTo>
                                  <a:pt x="5612892" y="0"/>
                                </a:lnTo>
                                <a:close/>
                              </a:path>
                            </a:pathLst>
                          </a:custGeom>
                          <a:solidFill>
                            <a:srgbClr val="3A5C66"/>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id="Group 1" style="position:absolute;margin-left:-12.75pt;margin-top:13.5pt;width:595pt;height:745.5pt;z-index:-251658240;mso-wrap-distance-left:0;mso-wrap-distance-right:0;mso-position-horizontal-relative:page;mso-position-vertical-relative:page;mso-height-relative:margin" coordsize="75559,102541" o:spid="_x0000_s1026" w14:anchorId="2756D84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 style="position:absolute;width:75559;height:102541;visibility:visible;mso-wrap-style:square" o:spid="_x0000_s1027" type="#_x0000_t75">
                  <v:imagedata o:title="" r:id="Rc5e7a7cb659b47f4"/>
                </v:shape>
                <v:shape id="Graphic 3" style="position:absolute;left:10622;top:49018;width:56134;height:127;visibility:visible;mso-wrap-style:square;v-text-anchor:top" coordsize="5613400,12700" o:spid="_x0000_s1028" fillcolor="#3a5c66" stroked="f" path="m5612892,l,,,12191r5612892,l5612892,xe">
                  <v:path arrowok="t"/>
                </v:shape>
                <w10:wrap anchorx="page" anchory="page"/>
              </v:group>
            </w:pict>
          </mc:Fallback>
        </mc:AlternateContent>
      </w:r>
    </w:p>
    <w:p w:rsidR="00B84CED" w:rsidRDefault="00B84CED" w14:paraId="5D1704D6" w14:textId="77777777">
      <w:pPr>
        <w:pStyle w:val="BodyText"/>
        <w:rPr>
          <w:rFonts w:ascii="Times New Roman"/>
          <w:sz w:val="38"/>
        </w:rPr>
      </w:pPr>
    </w:p>
    <w:p w:rsidR="00B84CED" w:rsidRDefault="00B84CED" w14:paraId="57216EA4" w14:textId="77777777">
      <w:pPr>
        <w:pStyle w:val="BodyText"/>
        <w:spacing w:before="307"/>
        <w:rPr>
          <w:rFonts w:ascii="Times New Roman"/>
          <w:sz w:val="38"/>
        </w:rPr>
      </w:pPr>
    </w:p>
    <w:p w:rsidR="00B84CED" w:rsidRDefault="00794452" w14:paraId="389E6ECF" w14:textId="77777777">
      <w:pPr>
        <w:pStyle w:val="Title"/>
        <w:spacing w:line="340" w:lineRule="auto"/>
      </w:pPr>
      <w:r>
        <w:rPr>
          <w:color w:val="1F5A66"/>
          <w:spacing w:val="-4"/>
          <w:w w:val="110"/>
        </w:rPr>
        <w:t>An</w:t>
      </w:r>
      <w:r>
        <w:rPr>
          <w:color w:val="1F5A66"/>
          <w:spacing w:val="-15"/>
          <w:w w:val="110"/>
        </w:rPr>
        <w:t xml:space="preserve"> </w:t>
      </w:r>
      <w:r>
        <w:rPr>
          <w:color w:val="1F5A66"/>
          <w:spacing w:val="-4"/>
          <w:w w:val="110"/>
        </w:rPr>
        <w:t>Comhchoiste</w:t>
      </w:r>
      <w:r>
        <w:rPr>
          <w:color w:val="1F5A66"/>
          <w:spacing w:val="-12"/>
          <w:w w:val="110"/>
        </w:rPr>
        <w:t xml:space="preserve"> </w:t>
      </w:r>
      <w:r>
        <w:rPr>
          <w:color w:val="1F5A66"/>
          <w:spacing w:val="-4"/>
          <w:w w:val="110"/>
        </w:rPr>
        <w:t>um</w:t>
      </w:r>
      <w:r>
        <w:rPr>
          <w:color w:val="1F5A66"/>
          <w:spacing w:val="-16"/>
          <w:w w:val="110"/>
        </w:rPr>
        <w:t xml:space="preserve"> </w:t>
      </w:r>
      <w:r>
        <w:rPr>
          <w:color w:val="1F5A66"/>
          <w:spacing w:val="-4"/>
          <w:w w:val="110"/>
        </w:rPr>
        <w:t>Airgeadas,</w:t>
      </w:r>
      <w:r>
        <w:rPr>
          <w:color w:val="1F5A66"/>
          <w:spacing w:val="-12"/>
          <w:w w:val="110"/>
        </w:rPr>
        <w:t xml:space="preserve"> </w:t>
      </w:r>
      <w:r>
        <w:rPr>
          <w:color w:val="1F5A66"/>
          <w:spacing w:val="-4"/>
          <w:w w:val="110"/>
        </w:rPr>
        <w:t>Caiteachas</w:t>
      </w:r>
      <w:r>
        <w:rPr>
          <w:color w:val="1F5A66"/>
          <w:spacing w:val="-16"/>
          <w:w w:val="110"/>
        </w:rPr>
        <w:t xml:space="preserve"> </w:t>
      </w:r>
      <w:r>
        <w:rPr>
          <w:color w:val="1F5A66"/>
          <w:spacing w:val="-4"/>
          <w:w w:val="110"/>
        </w:rPr>
        <w:t xml:space="preserve">Poiblí, </w:t>
      </w:r>
      <w:r>
        <w:rPr>
          <w:color w:val="1F5A66"/>
          <w:spacing w:val="-2"/>
          <w:w w:val="110"/>
        </w:rPr>
        <w:t>Athchóiriúchán</w:t>
      </w:r>
      <w:r>
        <w:rPr>
          <w:color w:val="1F5A66"/>
          <w:spacing w:val="-13"/>
          <w:w w:val="110"/>
        </w:rPr>
        <w:t xml:space="preserve"> </w:t>
      </w:r>
      <w:r>
        <w:rPr>
          <w:color w:val="1F5A66"/>
          <w:spacing w:val="-2"/>
          <w:w w:val="110"/>
        </w:rPr>
        <w:t>Seirbhíse</w:t>
      </w:r>
      <w:r>
        <w:rPr>
          <w:color w:val="1F5A66"/>
          <w:spacing w:val="-13"/>
          <w:w w:val="110"/>
        </w:rPr>
        <w:t xml:space="preserve"> </w:t>
      </w:r>
      <w:r>
        <w:rPr>
          <w:color w:val="1F5A66"/>
          <w:spacing w:val="-2"/>
          <w:w w:val="110"/>
        </w:rPr>
        <w:t>Poiblí</w:t>
      </w:r>
      <w:r>
        <w:rPr>
          <w:color w:val="1F5A66"/>
          <w:spacing w:val="-13"/>
          <w:w w:val="110"/>
        </w:rPr>
        <w:t xml:space="preserve"> </w:t>
      </w:r>
      <w:r>
        <w:rPr>
          <w:color w:val="1F5A66"/>
          <w:spacing w:val="-2"/>
          <w:w w:val="110"/>
        </w:rPr>
        <w:t>agus</w:t>
      </w:r>
      <w:r>
        <w:rPr>
          <w:color w:val="1F5A66"/>
          <w:spacing w:val="-14"/>
          <w:w w:val="110"/>
        </w:rPr>
        <w:t xml:space="preserve"> </w:t>
      </w:r>
      <w:r>
        <w:rPr>
          <w:color w:val="1F5A66"/>
          <w:spacing w:val="-2"/>
          <w:w w:val="110"/>
        </w:rPr>
        <w:t xml:space="preserve">Digitiúchán, </w:t>
      </w:r>
      <w:r>
        <w:rPr>
          <w:color w:val="1F5A66"/>
          <w:w w:val="115"/>
        </w:rPr>
        <w:t>agus</w:t>
      </w:r>
      <w:r>
        <w:rPr>
          <w:color w:val="1F5A66"/>
          <w:spacing w:val="-26"/>
          <w:w w:val="115"/>
        </w:rPr>
        <w:t xml:space="preserve"> </w:t>
      </w:r>
      <w:r>
        <w:rPr>
          <w:color w:val="1F5A66"/>
          <w:w w:val="115"/>
        </w:rPr>
        <w:t>an</w:t>
      </w:r>
      <w:r>
        <w:rPr>
          <w:color w:val="1F5A66"/>
          <w:spacing w:val="-28"/>
          <w:w w:val="115"/>
        </w:rPr>
        <w:t xml:space="preserve"> </w:t>
      </w:r>
      <w:r>
        <w:rPr>
          <w:color w:val="1F5A66"/>
          <w:w w:val="115"/>
        </w:rPr>
        <w:t>Taoiseach</w:t>
      </w:r>
    </w:p>
    <w:p w:rsidR="00B84CED" w:rsidRDefault="00794452" w14:paraId="310DBDE3" w14:textId="77777777">
      <w:pPr>
        <w:spacing w:before="234" w:line="357" w:lineRule="auto"/>
        <w:ind w:left="284" w:right="412"/>
        <w:jc w:val="both"/>
        <w:rPr>
          <w:sz w:val="36"/>
        </w:rPr>
      </w:pPr>
      <w:r>
        <w:rPr>
          <w:color w:val="395C66"/>
          <w:spacing w:val="-10"/>
          <w:w w:val="110"/>
          <w:sz w:val="36"/>
        </w:rPr>
        <w:t>Tuarascáil</w:t>
      </w:r>
      <w:r>
        <w:rPr>
          <w:color w:val="395C66"/>
          <w:spacing w:val="-12"/>
          <w:w w:val="110"/>
          <w:sz w:val="36"/>
        </w:rPr>
        <w:t xml:space="preserve"> </w:t>
      </w:r>
      <w:r>
        <w:rPr>
          <w:color w:val="395C66"/>
          <w:spacing w:val="-10"/>
          <w:w w:val="110"/>
          <w:sz w:val="36"/>
        </w:rPr>
        <w:t>maidir</w:t>
      </w:r>
      <w:r>
        <w:rPr>
          <w:color w:val="395C66"/>
          <w:spacing w:val="-13"/>
          <w:w w:val="110"/>
          <w:sz w:val="36"/>
        </w:rPr>
        <w:t xml:space="preserve"> </w:t>
      </w:r>
      <w:r>
        <w:rPr>
          <w:color w:val="395C66"/>
          <w:spacing w:val="-10"/>
          <w:w w:val="110"/>
          <w:sz w:val="36"/>
        </w:rPr>
        <w:t>le</w:t>
      </w:r>
      <w:r>
        <w:rPr>
          <w:color w:val="395C66"/>
          <w:spacing w:val="-11"/>
          <w:w w:val="110"/>
          <w:sz w:val="36"/>
        </w:rPr>
        <w:t xml:space="preserve"> </w:t>
      </w:r>
      <w:r>
        <w:rPr>
          <w:color w:val="395C66"/>
          <w:spacing w:val="-10"/>
          <w:w w:val="110"/>
          <w:sz w:val="36"/>
        </w:rPr>
        <w:t>Tosaíocht</w:t>
      </w:r>
      <w:r>
        <w:rPr>
          <w:color w:val="395C66"/>
          <w:sz w:val="36"/>
        </w:rPr>
        <w:t xml:space="preserve"> </w:t>
      </w:r>
      <w:r>
        <w:rPr>
          <w:color w:val="395C66"/>
          <w:spacing w:val="-10"/>
          <w:w w:val="110"/>
          <w:sz w:val="36"/>
        </w:rPr>
        <w:t>a</w:t>
      </w:r>
      <w:r>
        <w:rPr>
          <w:color w:val="395C66"/>
          <w:spacing w:val="-11"/>
          <w:w w:val="110"/>
          <w:sz w:val="36"/>
        </w:rPr>
        <w:t xml:space="preserve"> </w:t>
      </w:r>
      <w:r>
        <w:rPr>
          <w:color w:val="395C66"/>
          <w:spacing w:val="-10"/>
          <w:w w:val="110"/>
          <w:sz w:val="36"/>
        </w:rPr>
        <w:t>Thabhairt do</w:t>
      </w:r>
      <w:r>
        <w:rPr>
          <w:color w:val="395C66"/>
          <w:spacing w:val="-11"/>
          <w:w w:val="110"/>
          <w:sz w:val="36"/>
        </w:rPr>
        <w:t xml:space="preserve"> </w:t>
      </w:r>
      <w:r>
        <w:rPr>
          <w:color w:val="395C66"/>
          <w:spacing w:val="-10"/>
          <w:w w:val="110"/>
          <w:sz w:val="36"/>
        </w:rPr>
        <w:t>Mhaoiniú</w:t>
      </w:r>
      <w:r>
        <w:rPr>
          <w:color w:val="395C66"/>
          <w:spacing w:val="-12"/>
          <w:w w:val="110"/>
          <w:sz w:val="36"/>
        </w:rPr>
        <w:t xml:space="preserve"> </w:t>
      </w:r>
      <w:r>
        <w:rPr>
          <w:color w:val="395C66"/>
          <w:spacing w:val="-10"/>
          <w:w w:val="110"/>
          <w:sz w:val="36"/>
        </w:rPr>
        <w:t xml:space="preserve">do </w:t>
      </w:r>
      <w:r>
        <w:rPr>
          <w:color w:val="395C66"/>
          <w:w w:val="110"/>
          <w:sz w:val="36"/>
        </w:rPr>
        <w:t>Chosaint in AE</w:t>
      </w:r>
    </w:p>
    <w:p w:rsidR="00B84CED" w:rsidRDefault="00794452" w14:paraId="773A7A43" w14:textId="77777777">
      <w:pPr>
        <w:spacing w:before="159"/>
        <w:ind w:left="284"/>
        <w:jc w:val="both"/>
        <w:rPr>
          <w:sz w:val="30"/>
        </w:rPr>
      </w:pPr>
      <w:r>
        <w:rPr>
          <w:color w:val="3A5C66"/>
          <w:spacing w:val="-6"/>
          <w:w w:val="110"/>
          <w:sz w:val="30"/>
        </w:rPr>
        <w:t>Nollaig</w:t>
      </w:r>
      <w:r>
        <w:rPr>
          <w:color w:val="3A5C66"/>
          <w:spacing w:val="-18"/>
          <w:w w:val="110"/>
          <w:sz w:val="30"/>
        </w:rPr>
        <w:t xml:space="preserve"> </w:t>
      </w:r>
      <w:r>
        <w:rPr>
          <w:color w:val="3A5C66"/>
          <w:spacing w:val="-4"/>
          <w:w w:val="115"/>
          <w:sz w:val="30"/>
        </w:rPr>
        <w:t>2025</w:t>
      </w:r>
    </w:p>
    <w:p w:rsidR="00B84CED" w:rsidRDefault="00B84CED" w14:paraId="19716383" w14:textId="77777777">
      <w:pPr>
        <w:pStyle w:val="BodyText"/>
        <w:rPr>
          <w:sz w:val="36"/>
        </w:rPr>
      </w:pPr>
    </w:p>
    <w:p w:rsidR="00B84CED" w:rsidRDefault="00B84CED" w14:paraId="2E036624" w14:textId="77777777">
      <w:pPr>
        <w:pStyle w:val="BodyText"/>
        <w:spacing w:before="96"/>
        <w:rPr>
          <w:sz w:val="36"/>
        </w:rPr>
      </w:pPr>
    </w:p>
    <w:p w:rsidR="00B84CED" w:rsidRDefault="00794452" w14:paraId="53724CD7" w14:textId="77777777">
      <w:pPr>
        <w:spacing w:line="304" w:lineRule="auto"/>
        <w:ind w:left="284" w:right="459"/>
        <w:rPr>
          <w:rFonts w:ascii="Century Gothic"/>
          <w:b/>
          <w:sz w:val="36"/>
        </w:rPr>
      </w:pPr>
      <w:r>
        <w:rPr>
          <w:rFonts w:ascii="Century Gothic"/>
          <w:b/>
          <w:color w:val="3A5C66"/>
          <w:spacing w:val="-12"/>
          <w:sz w:val="36"/>
        </w:rPr>
        <w:t>Joint</w:t>
      </w:r>
      <w:r>
        <w:rPr>
          <w:rFonts w:ascii="Century Gothic"/>
          <w:b/>
          <w:color w:val="3A5C66"/>
          <w:spacing w:val="-35"/>
          <w:sz w:val="36"/>
        </w:rPr>
        <w:t xml:space="preserve"> </w:t>
      </w:r>
      <w:r>
        <w:rPr>
          <w:rFonts w:ascii="Century Gothic"/>
          <w:b/>
          <w:color w:val="3A5C66"/>
          <w:spacing w:val="-12"/>
          <w:sz w:val="36"/>
        </w:rPr>
        <w:t>Committee</w:t>
      </w:r>
      <w:r>
        <w:rPr>
          <w:rFonts w:ascii="Century Gothic"/>
          <w:b/>
          <w:color w:val="3A5C66"/>
          <w:spacing w:val="-35"/>
          <w:sz w:val="36"/>
        </w:rPr>
        <w:t xml:space="preserve"> </w:t>
      </w:r>
      <w:r>
        <w:rPr>
          <w:rFonts w:ascii="Century Gothic"/>
          <w:b/>
          <w:color w:val="3A5C66"/>
          <w:spacing w:val="-12"/>
          <w:sz w:val="36"/>
        </w:rPr>
        <w:t>on</w:t>
      </w:r>
      <w:r>
        <w:rPr>
          <w:rFonts w:ascii="Century Gothic"/>
          <w:b/>
          <w:color w:val="3A5C66"/>
          <w:spacing w:val="-35"/>
          <w:sz w:val="36"/>
        </w:rPr>
        <w:t xml:space="preserve"> </w:t>
      </w:r>
      <w:r>
        <w:rPr>
          <w:rFonts w:ascii="Century Gothic"/>
          <w:b/>
          <w:color w:val="3A5C66"/>
          <w:spacing w:val="-12"/>
          <w:sz w:val="36"/>
        </w:rPr>
        <w:t>Finance,</w:t>
      </w:r>
      <w:r>
        <w:rPr>
          <w:rFonts w:ascii="Century Gothic"/>
          <w:b/>
          <w:color w:val="3A5C66"/>
          <w:spacing w:val="-33"/>
          <w:sz w:val="36"/>
        </w:rPr>
        <w:t xml:space="preserve"> </w:t>
      </w:r>
      <w:r>
        <w:rPr>
          <w:rFonts w:ascii="Century Gothic"/>
          <w:b/>
          <w:color w:val="3A5C66"/>
          <w:spacing w:val="-12"/>
          <w:sz w:val="36"/>
        </w:rPr>
        <w:t>Public</w:t>
      </w:r>
      <w:r>
        <w:rPr>
          <w:rFonts w:ascii="Century Gothic"/>
          <w:b/>
          <w:color w:val="3A5C66"/>
          <w:spacing w:val="-33"/>
          <w:sz w:val="36"/>
        </w:rPr>
        <w:t xml:space="preserve"> </w:t>
      </w:r>
      <w:r>
        <w:rPr>
          <w:rFonts w:ascii="Century Gothic"/>
          <w:b/>
          <w:color w:val="3A5C66"/>
          <w:spacing w:val="-12"/>
          <w:sz w:val="36"/>
        </w:rPr>
        <w:t xml:space="preserve">Expenditure, </w:t>
      </w:r>
      <w:r>
        <w:rPr>
          <w:rFonts w:ascii="Century Gothic"/>
          <w:b/>
          <w:color w:val="3A5C66"/>
          <w:spacing w:val="-6"/>
          <w:sz w:val="36"/>
        </w:rPr>
        <w:t>Public</w:t>
      </w:r>
      <w:r>
        <w:rPr>
          <w:rFonts w:ascii="Century Gothic"/>
          <w:b/>
          <w:color w:val="3A5C66"/>
          <w:spacing w:val="-35"/>
          <w:sz w:val="36"/>
        </w:rPr>
        <w:t xml:space="preserve"> </w:t>
      </w:r>
      <w:r>
        <w:rPr>
          <w:rFonts w:ascii="Century Gothic"/>
          <w:b/>
          <w:color w:val="3A5C66"/>
          <w:spacing w:val="-6"/>
          <w:sz w:val="36"/>
        </w:rPr>
        <w:t>Services</w:t>
      </w:r>
      <w:r>
        <w:rPr>
          <w:rFonts w:ascii="Century Gothic"/>
          <w:b/>
          <w:color w:val="3A5C66"/>
          <w:spacing w:val="-38"/>
          <w:sz w:val="36"/>
        </w:rPr>
        <w:t xml:space="preserve"> </w:t>
      </w:r>
      <w:r>
        <w:rPr>
          <w:rFonts w:ascii="Century Gothic"/>
          <w:b/>
          <w:color w:val="3A5C66"/>
          <w:spacing w:val="-6"/>
          <w:sz w:val="36"/>
        </w:rPr>
        <w:t>Reform</w:t>
      </w:r>
      <w:r>
        <w:rPr>
          <w:rFonts w:ascii="Century Gothic"/>
          <w:b/>
          <w:color w:val="3A5C66"/>
          <w:spacing w:val="-37"/>
          <w:sz w:val="36"/>
        </w:rPr>
        <w:t xml:space="preserve"> </w:t>
      </w:r>
      <w:r>
        <w:rPr>
          <w:rFonts w:ascii="Century Gothic"/>
          <w:b/>
          <w:color w:val="3A5C66"/>
          <w:spacing w:val="-6"/>
          <w:sz w:val="36"/>
        </w:rPr>
        <w:t>and</w:t>
      </w:r>
      <w:r>
        <w:rPr>
          <w:rFonts w:ascii="Century Gothic"/>
          <w:b/>
          <w:color w:val="3A5C66"/>
          <w:spacing w:val="-37"/>
          <w:sz w:val="36"/>
        </w:rPr>
        <w:t xml:space="preserve"> </w:t>
      </w:r>
      <w:r>
        <w:rPr>
          <w:rFonts w:ascii="Century Gothic"/>
          <w:b/>
          <w:color w:val="3A5C66"/>
          <w:spacing w:val="-6"/>
          <w:sz w:val="36"/>
        </w:rPr>
        <w:t>Digitalisation,</w:t>
      </w:r>
      <w:r>
        <w:rPr>
          <w:rFonts w:ascii="Century Gothic"/>
          <w:b/>
          <w:color w:val="3A5C66"/>
          <w:spacing w:val="-35"/>
          <w:sz w:val="36"/>
        </w:rPr>
        <w:t xml:space="preserve"> </w:t>
      </w:r>
      <w:r>
        <w:rPr>
          <w:rFonts w:ascii="Century Gothic"/>
          <w:b/>
          <w:color w:val="3A5C66"/>
          <w:spacing w:val="-6"/>
          <w:sz w:val="36"/>
        </w:rPr>
        <w:t xml:space="preserve">and </w:t>
      </w:r>
      <w:r>
        <w:rPr>
          <w:rFonts w:ascii="Century Gothic"/>
          <w:b/>
          <w:color w:val="3A5C66"/>
          <w:spacing w:val="-2"/>
          <w:sz w:val="36"/>
        </w:rPr>
        <w:t>Taoiseach</w:t>
      </w:r>
    </w:p>
    <w:p w:rsidR="00B84CED" w:rsidRDefault="00794452" w14:paraId="62FAC52C" w14:textId="77777777">
      <w:pPr>
        <w:spacing w:before="263"/>
        <w:ind w:left="284"/>
        <w:rPr>
          <w:sz w:val="36"/>
        </w:rPr>
      </w:pPr>
      <w:r>
        <w:rPr>
          <w:color w:val="3A5C66"/>
          <w:sz w:val="36"/>
        </w:rPr>
        <w:t>Report</w:t>
      </w:r>
      <w:r>
        <w:rPr>
          <w:color w:val="3A5C66"/>
          <w:spacing w:val="11"/>
          <w:sz w:val="36"/>
        </w:rPr>
        <w:t xml:space="preserve"> </w:t>
      </w:r>
      <w:r>
        <w:rPr>
          <w:color w:val="3A5C66"/>
          <w:sz w:val="36"/>
        </w:rPr>
        <w:t>on</w:t>
      </w:r>
      <w:r>
        <w:rPr>
          <w:color w:val="3A5C66"/>
          <w:spacing w:val="10"/>
          <w:sz w:val="36"/>
        </w:rPr>
        <w:t xml:space="preserve"> </w:t>
      </w:r>
      <w:r>
        <w:rPr>
          <w:color w:val="3A5C66"/>
          <w:sz w:val="36"/>
        </w:rPr>
        <w:t>the</w:t>
      </w:r>
      <w:r>
        <w:rPr>
          <w:color w:val="3A5C66"/>
          <w:spacing w:val="9"/>
          <w:sz w:val="36"/>
        </w:rPr>
        <w:t xml:space="preserve"> </w:t>
      </w:r>
      <w:r>
        <w:rPr>
          <w:color w:val="3A5C66"/>
          <w:sz w:val="36"/>
        </w:rPr>
        <w:t>Prioritisation</w:t>
      </w:r>
      <w:r>
        <w:rPr>
          <w:color w:val="3A5C66"/>
          <w:spacing w:val="11"/>
          <w:sz w:val="36"/>
        </w:rPr>
        <w:t xml:space="preserve"> </w:t>
      </w:r>
      <w:r>
        <w:rPr>
          <w:color w:val="3A5C66"/>
          <w:sz w:val="36"/>
        </w:rPr>
        <w:t>of</w:t>
      </w:r>
      <w:r>
        <w:rPr>
          <w:color w:val="3A5C66"/>
          <w:spacing w:val="11"/>
          <w:sz w:val="36"/>
        </w:rPr>
        <w:t xml:space="preserve"> </w:t>
      </w:r>
      <w:r>
        <w:rPr>
          <w:color w:val="3A5C66"/>
          <w:sz w:val="36"/>
        </w:rPr>
        <w:t>Defence</w:t>
      </w:r>
      <w:r>
        <w:rPr>
          <w:color w:val="3A5C66"/>
          <w:spacing w:val="9"/>
          <w:sz w:val="36"/>
        </w:rPr>
        <w:t xml:space="preserve"> </w:t>
      </w:r>
      <w:r>
        <w:rPr>
          <w:color w:val="3A5C66"/>
          <w:sz w:val="36"/>
        </w:rPr>
        <w:t>Funding</w:t>
      </w:r>
      <w:r>
        <w:rPr>
          <w:color w:val="3A5C66"/>
          <w:spacing w:val="10"/>
          <w:sz w:val="36"/>
        </w:rPr>
        <w:t xml:space="preserve"> </w:t>
      </w:r>
      <w:r>
        <w:rPr>
          <w:color w:val="3A5C66"/>
          <w:sz w:val="36"/>
        </w:rPr>
        <w:t>in</w:t>
      </w:r>
      <w:r>
        <w:rPr>
          <w:color w:val="3A5C66"/>
          <w:spacing w:val="11"/>
          <w:sz w:val="36"/>
        </w:rPr>
        <w:t xml:space="preserve"> </w:t>
      </w:r>
      <w:r>
        <w:rPr>
          <w:color w:val="3A5C66"/>
          <w:sz w:val="36"/>
        </w:rPr>
        <w:t>the</w:t>
      </w:r>
      <w:r>
        <w:rPr>
          <w:color w:val="3A5C66"/>
          <w:spacing w:val="8"/>
          <w:sz w:val="36"/>
        </w:rPr>
        <w:t xml:space="preserve"> </w:t>
      </w:r>
      <w:r>
        <w:rPr>
          <w:color w:val="3A5C66"/>
          <w:spacing w:val="-5"/>
          <w:sz w:val="36"/>
        </w:rPr>
        <w:t>EU</w:t>
      </w:r>
    </w:p>
    <w:p w:rsidR="00B84CED" w:rsidRDefault="00794452" w14:paraId="496B067F" w14:textId="77777777">
      <w:pPr>
        <w:spacing w:before="359"/>
        <w:ind w:left="284"/>
        <w:rPr>
          <w:sz w:val="30"/>
        </w:rPr>
      </w:pPr>
      <w:r>
        <w:rPr>
          <w:color w:val="3A5C66"/>
          <w:spacing w:val="-8"/>
          <w:w w:val="110"/>
          <w:sz w:val="30"/>
        </w:rPr>
        <w:t>December</w:t>
      </w:r>
      <w:r>
        <w:rPr>
          <w:color w:val="3A5C66"/>
          <w:spacing w:val="-15"/>
          <w:w w:val="110"/>
          <w:sz w:val="30"/>
        </w:rPr>
        <w:t xml:space="preserve"> </w:t>
      </w:r>
      <w:r>
        <w:rPr>
          <w:color w:val="3A5C66"/>
          <w:spacing w:val="-4"/>
          <w:w w:val="115"/>
          <w:sz w:val="30"/>
        </w:rPr>
        <w:t>2025</w:t>
      </w:r>
    </w:p>
    <w:p w:rsidR="00B84CED" w:rsidRDefault="00B84CED" w14:paraId="29E503FD" w14:textId="77777777">
      <w:pPr>
        <w:pStyle w:val="BodyText"/>
        <w:rPr>
          <w:sz w:val="30"/>
        </w:rPr>
      </w:pPr>
    </w:p>
    <w:p w:rsidR="00B84CED" w:rsidRDefault="00B84CED" w14:paraId="51D6D02F" w14:textId="77777777">
      <w:pPr>
        <w:pStyle w:val="BodyText"/>
        <w:rPr>
          <w:sz w:val="30"/>
        </w:rPr>
      </w:pPr>
    </w:p>
    <w:p w:rsidR="00B84CED" w:rsidRDefault="00B84CED" w14:paraId="38FD7BA8" w14:textId="77777777">
      <w:pPr>
        <w:pStyle w:val="BodyText"/>
        <w:rPr>
          <w:sz w:val="30"/>
        </w:rPr>
      </w:pPr>
    </w:p>
    <w:p w:rsidR="00B84CED" w:rsidRDefault="00B84CED" w14:paraId="6F7DBB0A" w14:textId="77777777">
      <w:pPr>
        <w:pStyle w:val="BodyText"/>
        <w:rPr>
          <w:sz w:val="30"/>
        </w:rPr>
      </w:pPr>
    </w:p>
    <w:p w:rsidR="00B84CED" w:rsidRDefault="00B84CED" w14:paraId="457D54C3" w14:textId="77777777">
      <w:pPr>
        <w:pStyle w:val="BodyText"/>
        <w:spacing w:before="344"/>
        <w:rPr>
          <w:sz w:val="30"/>
        </w:rPr>
      </w:pPr>
    </w:p>
    <w:p w:rsidR="00B84CED" w:rsidRDefault="00794452" w14:paraId="7429867E" w14:textId="77777777">
      <w:pPr>
        <w:pStyle w:val="BodyText"/>
        <w:ind w:left="851"/>
      </w:pPr>
      <w:r>
        <w:rPr>
          <w:color w:val="3A5C66"/>
          <w:spacing w:val="-2"/>
          <w:w w:val="115"/>
        </w:rPr>
        <w:t>34/F/03</w:t>
      </w:r>
    </w:p>
    <w:p w:rsidR="00B84CED" w:rsidRDefault="00B84CED" w14:paraId="78197ED0" w14:textId="77777777">
      <w:pPr>
        <w:pStyle w:val="BodyText"/>
        <w:sectPr w:rsidR="00B84CED" w:rsidSect="00196DB0">
          <w:footerReference w:type="even" r:id="R6bede7fef7d0411e"/>
          <w:footerReference w:type="first" r:id="R06e16208b11e4d7e"/>
          <w:headerReference w:type="even" r:id="R07a4052465604aa0"/>
          <w:headerReference w:type="first" r:id="Rcedcc65e0f91410e"/>
          <w:headerReference w:type="default" r:id="R285171b042a74f14"/>
          <w:pgSz w:w="11907" w:h="16839"/>
          <w:pgMar w:top="1134" w:right="1134" w:bottom="1134" w:left="1134" w:header="567" w:footer="567" w:gutter="0"/>
          <w:cols w:space="720"/>
          <w:docGrid w:linePitch="299"/>
        </w:sectPr>
      </w:pPr>
    </w:p>
    <w:p w:rsidR="00B84CED" w:rsidRDefault="00B84CED" w14:paraId="0522F943" w14:textId="77777777">
      <w:pPr>
        <w:pStyle w:val="BodyText"/>
        <w:spacing w:before="4"/>
        <w:rPr>
          <w:sz w:val="16"/>
        </w:rPr>
      </w:pPr>
    </w:p>
    <w:p w:rsidR="00B84CED" w:rsidRDefault="00B84CED" w14:paraId="29C13105" w14:textId="77777777">
      <w:pPr>
        <w:pStyle w:val="BodyText"/>
        <w:rPr>
          <w:sz w:val="16"/>
        </w:rPr>
        <w:sectPr w:rsidR="00B84CED" w:rsidSect="00196DB0">
          <w:footerReference w:type="even" r:id="Re50592c477a240a9"/>
          <w:footerReference w:type="first" r:id="Rec926a38b46440db"/>
          <w:headerReference w:type="even" r:id="R92d9b70fe8714f83"/>
          <w:headerReference w:type="first" r:id="R1eff921cb0774f96"/>
          <w:pgSz w:w="11907" w:h="16839"/>
          <w:pgMar w:top="1134" w:right="1134" w:bottom="1134" w:left="1134" w:header="567" w:footer="567" w:gutter="0"/>
          <w:cols w:space="720"/>
          <w:docGrid w:linePitch="299"/>
        </w:sectPr>
      </w:pPr>
    </w:p>
    <w:p w:rsidR="00B84CED" w:rsidRDefault="00794452" w14:paraId="738250B3" w14:textId="77777777">
      <w:pPr>
        <w:spacing w:before="258"/>
        <w:ind w:left="1"/>
        <w:rPr>
          <w:rFonts w:ascii="Century Gothic"/>
          <w:b/>
          <w:sz w:val="31"/>
        </w:rPr>
      </w:pPr>
      <w:r>
        <w:rPr>
          <w:rFonts w:ascii="Century Gothic"/>
          <w:b/>
          <w:color w:val="3A5C66"/>
          <w:spacing w:val="-2"/>
          <w:sz w:val="31"/>
        </w:rPr>
        <w:lastRenderedPageBreak/>
        <w:t>Contents</w:t>
      </w:r>
    </w:p>
    <w:sdt>
      <w:sdtPr>
        <w:id w:val="400019887"/>
        <w:docPartObj>
          <w:docPartGallery w:val="Table of Contents"/>
          <w:docPartUnique/>
        </w:docPartObj>
      </w:sdtPr>
      <w:sdtEndPr/>
      <w:sdtContent>
        <w:p w:rsidR="00B84CED" w:rsidRDefault="00794452" w14:paraId="695ED298" w14:textId="77777777">
          <w:pPr>
            <w:pStyle w:val="TOC1"/>
            <w:tabs>
              <w:tab w:val="right" w:leader="dot" w:pos="9054"/>
            </w:tabs>
            <w:spacing w:before="174"/>
          </w:pPr>
          <w:hyperlink w:history="1" w:anchor="_bookmark0">
            <w:r>
              <w:rPr>
                <w:spacing w:val="-4"/>
              </w:rPr>
              <w:t>Related</w:t>
            </w:r>
            <w:r>
              <w:rPr>
                <w:spacing w:val="-2"/>
              </w:rPr>
              <w:t xml:space="preserve"> information</w:t>
            </w:r>
            <w:r>
              <w:tab/>
            </w:r>
            <w:r>
              <w:rPr>
                <w:spacing w:val="-10"/>
              </w:rPr>
              <w:t>4</w:t>
            </w:r>
          </w:hyperlink>
        </w:p>
        <w:p w:rsidR="00B84CED" w:rsidRDefault="00794452" w14:paraId="75C1FCE3" w14:textId="77777777">
          <w:pPr>
            <w:pStyle w:val="TOC1"/>
            <w:tabs>
              <w:tab w:val="right" w:leader="dot" w:pos="9054"/>
            </w:tabs>
            <w:spacing w:before="230"/>
          </w:pPr>
          <w:hyperlink w:history="1" w:anchor="_bookmark1">
            <w:r>
              <w:rPr>
                <w:spacing w:val="-8"/>
              </w:rPr>
              <w:t>Committee</w:t>
            </w:r>
            <w:r>
              <w:t xml:space="preserve"> </w:t>
            </w:r>
            <w:r>
              <w:rPr>
                <w:spacing w:val="-2"/>
              </w:rPr>
              <w:t>Membership</w:t>
            </w:r>
            <w:r>
              <w:tab/>
            </w:r>
            <w:r>
              <w:rPr>
                <w:spacing w:val="-10"/>
              </w:rPr>
              <w:t>5</w:t>
            </w:r>
          </w:hyperlink>
        </w:p>
        <w:p w:rsidR="00B84CED" w:rsidRDefault="00794452" w14:paraId="2E0F9158" w14:textId="77777777">
          <w:pPr>
            <w:pStyle w:val="TOC1"/>
            <w:tabs>
              <w:tab w:val="right" w:leader="dot" w:pos="9054"/>
            </w:tabs>
            <w:spacing w:before="231"/>
          </w:pPr>
          <w:hyperlink w:history="1" w:anchor="_bookmark2">
            <w:r>
              <w:rPr>
                <w:spacing w:val="-2"/>
              </w:rPr>
              <w:t>Forward</w:t>
            </w:r>
            <w:r>
              <w:tab/>
            </w:r>
            <w:r>
              <w:rPr>
                <w:spacing w:val="-10"/>
              </w:rPr>
              <w:t>6</w:t>
            </w:r>
          </w:hyperlink>
        </w:p>
        <w:p w:rsidR="00B84CED" w:rsidRDefault="00794452" w14:paraId="2647A0A2" w14:textId="77777777">
          <w:pPr>
            <w:pStyle w:val="TOC1"/>
            <w:tabs>
              <w:tab w:val="right" w:leader="dot" w:pos="9054"/>
            </w:tabs>
            <w:spacing w:before="230"/>
          </w:pPr>
          <w:hyperlink w:history="1" w:anchor="_bookmark3">
            <w:r>
              <w:rPr>
                <w:spacing w:val="-2"/>
              </w:rPr>
              <w:t>Opinion</w:t>
            </w:r>
            <w:r>
              <w:rPr>
                <w:spacing w:val="-8"/>
              </w:rPr>
              <w:t xml:space="preserve"> </w:t>
            </w:r>
            <w:r>
              <w:rPr>
                <w:spacing w:val="-2"/>
              </w:rPr>
              <w:t>of</w:t>
            </w:r>
            <w:r>
              <w:rPr>
                <w:spacing w:val="-7"/>
              </w:rPr>
              <w:t xml:space="preserve"> </w:t>
            </w:r>
            <w:r>
              <w:rPr>
                <w:spacing w:val="-2"/>
              </w:rPr>
              <w:t>the</w:t>
            </w:r>
            <w:r>
              <w:rPr>
                <w:spacing w:val="-6"/>
              </w:rPr>
              <w:t xml:space="preserve"> </w:t>
            </w:r>
            <w:r>
              <w:rPr>
                <w:spacing w:val="-2"/>
              </w:rPr>
              <w:t>Joint</w:t>
            </w:r>
            <w:r>
              <w:rPr>
                <w:spacing w:val="-7"/>
              </w:rPr>
              <w:t xml:space="preserve"> </w:t>
            </w:r>
            <w:r>
              <w:rPr>
                <w:spacing w:val="-2"/>
              </w:rPr>
              <w:t>Committee</w:t>
            </w:r>
            <w:r>
              <w:tab/>
            </w:r>
            <w:r>
              <w:rPr>
                <w:spacing w:val="-10"/>
              </w:rPr>
              <w:t>8</w:t>
            </w:r>
          </w:hyperlink>
        </w:p>
        <w:p w:rsidR="00B84CED" w:rsidRDefault="00794452" w14:paraId="24EA1B27" w14:textId="77777777">
          <w:pPr>
            <w:pStyle w:val="TOC1"/>
            <w:tabs>
              <w:tab w:val="right" w:leader="dot" w:pos="9054"/>
            </w:tabs>
            <w:spacing w:before="232"/>
          </w:pPr>
          <w:hyperlink w:history="1" w:anchor="_bookmark5">
            <w:r>
              <w:rPr>
                <w:spacing w:val="-2"/>
              </w:rPr>
              <w:t>Introduction</w:t>
            </w:r>
            <w:r>
              <w:tab/>
            </w:r>
            <w:r>
              <w:rPr>
                <w:spacing w:val="-5"/>
              </w:rPr>
              <w:t>12</w:t>
            </w:r>
          </w:hyperlink>
        </w:p>
        <w:p w:rsidR="00B84CED" w:rsidRDefault="00794452" w14:paraId="442078C4" w14:textId="77777777">
          <w:pPr>
            <w:pStyle w:val="TOC1"/>
            <w:tabs>
              <w:tab w:val="right" w:leader="dot" w:pos="9054"/>
            </w:tabs>
            <w:spacing w:before="229"/>
          </w:pPr>
          <w:hyperlink w:history="1" w:anchor="_bookmark6">
            <w:r>
              <w:rPr>
                <w:spacing w:val="-4"/>
              </w:rPr>
              <w:t>Background:</w:t>
            </w:r>
            <w:r>
              <w:rPr>
                <w:spacing w:val="4"/>
              </w:rPr>
              <w:t xml:space="preserve"> </w:t>
            </w:r>
            <w:r>
              <w:rPr>
                <w:spacing w:val="-4"/>
              </w:rPr>
              <w:t>ReArm</w:t>
            </w:r>
            <w:r>
              <w:rPr>
                <w:spacing w:val="1"/>
              </w:rPr>
              <w:t xml:space="preserve"> </w:t>
            </w:r>
            <w:r>
              <w:rPr>
                <w:spacing w:val="-4"/>
              </w:rPr>
              <w:t>Europe</w:t>
            </w:r>
            <w:r>
              <w:rPr>
                <w:spacing w:val="5"/>
              </w:rPr>
              <w:t xml:space="preserve"> </w:t>
            </w:r>
            <w:r>
              <w:rPr>
                <w:spacing w:val="-4"/>
              </w:rPr>
              <w:t>Plan/Readiness</w:t>
            </w:r>
            <w:r>
              <w:rPr>
                <w:spacing w:val="4"/>
              </w:rPr>
              <w:t xml:space="preserve"> </w:t>
            </w:r>
            <w:r>
              <w:rPr>
                <w:spacing w:val="-4"/>
              </w:rPr>
              <w:t>2030</w:t>
            </w:r>
            <w:r>
              <w:tab/>
            </w:r>
            <w:r>
              <w:rPr>
                <w:spacing w:val="-5"/>
              </w:rPr>
              <w:t>13</w:t>
            </w:r>
          </w:hyperlink>
        </w:p>
        <w:p w:rsidR="00B84CED" w:rsidRDefault="00794452" w14:paraId="2CC5C9A0" w14:textId="77777777">
          <w:pPr>
            <w:pStyle w:val="TOC1"/>
            <w:tabs>
              <w:tab w:val="right" w:leader="dot" w:pos="9054"/>
            </w:tabs>
            <w:spacing w:before="232"/>
          </w:pPr>
          <w:hyperlink w:history="1" w:anchor="_bookmark9">
            <w:r>
              <w:t>COM(2025)122:</w:t>
            </w:r>
            <w:r>
              <w:rPr>
                <w:spacing w:val="-6"/>
              </w:rPr>
              <w:t xml:space="preserve"> </w:t>
            </w:r>
            <w:r>
              <w:t>the</w:t>
            </w:r>
            <w:r>
              <w:rPr>
                <w:spacing w:val="-4"/>
              </w:rPr>
              <w:t xml:space="preserve"> </w:t>
            </w:r>
            <w:r>
              <w:t>SAFE</w:t>
            </w:r>
            <w:r>
              <w:rPr>
                <w:spacing w:val="-5"/>
              </w:rPr>
              <w:t xml:space="preserve"> </w:t>
            </w:r>
            <w:r>
              <w:rPr>
                <w:spacing w:val="-2"/>
              </w:rPr>
              <w:t>Regulation</w:t>
            </w:r>
            <w:r>
              <w:tab/>
            </w:r>
            <w:r>
              <w:rPr>
                <w:spacing w:val="-5"/>
              </w:rPr>
              <w:t>14</w:t>
            </w:r>
          </w:hyperlink>
        </w:p>
        <w:p w:rsidR="00B84CED" w:rsidRDefault="00794452" w14:paraId="3AD4D179" w14:textId="77777777">
          <w:pPr>
            <w:pStyle w:val="TOC2"/>
            <w:tabs>
              <w:tab w:val="right" w:leader="dot" w:pos="9054"/>
            </w:tabs>
            <w:spacing w:before="241"/>
          </w:pPr>
          <w:hyperlink w:history="1" w:anchor="_bookmark10">
            <w:r>
              <w:rPr>
                <w:w w:val="115"/>
              </w:rPr>
              <w:t>Key</w:t>
            </w:r>
            <w:r>
              <w:rPr>
                <w:spacing w:val="-15"/>
                <w:w w:val="115"/>
              </w:rPr>
              <w:t xml:space="preserve"> </w:t>
            </w:r>
            <w:r>
              <w:rPr>
                <w:w w:val="115"/>
              </w:rPr>
              <w:t>issues</w:t>
            </w:r>
            <w:r>
              <w:rPr>
                <w:spacing w:val="-14"/>
                <w:w w:val="115"/>
              </w:rPr>
              <w:t xml:space="preserve"> </w:t>
            </w:r>
            <w:r>
              <w:rPr>
                <w:w w:val="115"/>
              </w:rPr>
              <w:t>raised</w:t>
            </w:r>
            <w:r>
              <w:rPr>
                <w:spacing w:val="-13"/>
                <w:w w:val="115"/>
              </w:rPr>
              <w:t xml:space="preserve"> </w:t>
            </w:r>
            <w:r>
              <w:rPr>
                <w:w w:val="115"/>
              </w:rPr>
              <w:t>in</w:t>
            </w:r>
            <w:r>
              <w:rPr>
                <w:spacing w:val="-14"/>
                <w:w w:val="115"/>
              </w:rPr>
              <w:t xml:space="preserve"> </w:t>
            </w:r>
            <w:r>
              <w:rPr>
                <w:spacing w:val="-2"/>
                <w:w w:val="115"/>
              </w:rPr>
              <w:t>submissions</w:t>
            </w:r>
            <w:r>
              <w:tab/>
            </w:r>
            <w:r>
              <w:rPr>
                <w:spacing w:val="-5"/>
                <w:w w:val="115"/>
              </w:rPr>
              <w:t>15</w:t>
            </w:r>
          </w:hyperlink>
        </w:p>
        <w:p w:rsidR="00B84CED" w:rsidRDefault="00794452" w14:paraId="1174DA57" w14:textId="77777777">
          <w:pPr>
            <w:pStyle w:val="TOC2"/>
            <w:tabs>
              <w:tab w:val="right" w:leader="dot" w:pos="9054"/>
            </w:tabs>
            <w:spacing w:before="133"/>
          </w:pPr>
          <w:hyperlink w:history="1" w:anchor="_bookmark11">
            <w:r>
              <w:rPr>
                <w:w w:val="110"/>
              </w:rPr>
              <w:t>The</w:t>
            </w:r>
            <w:r>
              <w:rPr>
                <w:spacing w:val="-2"/>
                <w:w w:val="110"/>
              </w:rPr>
              <w:t xml:space="preserve"> </w:t>
            </w:r>
            <w:r>
              <w:rPr>
                <w:w w:val="110"/>
              </w:rPr>
              <w:t>use</w:t>
            </w:r>
            <w:r>
              <w:rPr>
                <w:spacing w:val="-4"/>
                <w:w w:val="110"/>
              </w:rPr>
              <w:t xml:space="preserve"> </w:t>
            </w:r>
            <w:r>
              <w:rPr>
                <w:w w:val="110"/>
              </w:rPr>
              <w:t>of</w:t>
            </w:r>
            <w:r>
              <w:rPr>
                <w:spacing w:val="1"/>
                <w:w w:val="110"/>
              </w:rPr>
              <w:t xml:space="preserve"> </w:t>
            </w:r>
            <w:r>
              <w:rPr>
                <w:w w:val="110"/>
              </w:rPr>
              <w:t>Article</w:t>
            </w:r>
            <w:r>
              <w:rPr>
                <w:spacing w:val="-2"/>
                <w:w w:val="110"/>
              </w:rPr>
              <w:t xml:space="preserve"> </w:t>
            </w:r>
            <w:r>
              <w:rPr>
                <w:w w:val="110"/>
              </w:rPr>
              <w:t>122</w:t>
            </w:r>
            <w:r>
              <w:rPr>
                <w:spacing w:val="-2"/>
                <w:w w:val="110"/>
              </w:rPr>
              <w:t xml:space="preserve"> </w:t>
            </w:r>
            <w:r>
              <w:rPr>
                <w:w w:val="110"/>
              </w:rPr>
              <w:t>of</w:t>
            </w:r>
            <w:r>
              <w:rPr>
                <w:spacing w:val="-2"/>
                <w:w w:val="110"/>
              </w:rPr>
              <w:t xml:space="preserve"> </w:t>
            </w:r>
            <w:r>
              <w:rPr>
                <w:w w:val="110"/>
              </w:rPr>
              <w:t>the</w:t>
            </w:r>
            <w:r>
              <w:rPr>
                <w:spacing w:val="-1"/>
                <w:w w:val="110"/>
              </w:rPr>
              <w:t xml:space="preserve"> </w:t>
            </w:r>
            <w:r>
              <w:rPr>
                <w:spacing w:val="-4"/>
                <w:w w:val="110"/>
              </w:rPr>
              <w:t>TFEU</w:t>
            </w:r>
            <w:r>
              <w:tab/>
            </w:r>
            <w:r>
              <w:rPr>
                <w:spacing w:val="-7"/>
                <w:w w:val="105"/>
              </w:rPr>
              <w:t>15</w:t>
            </w:r>
          </w:hyperlink>
        </w:p>
        <w:p w:rsidR="00B84CED" w:rsidRDefault="00794452" w14:paraId="4AE8E4BE" w14:textId="77777777">
          <w:pPr>
            <w:pStyle w:val="TOC1"/>
            <w:tabs>
              <w:tab w:val="right" w:leader="dot" w:pos="9054"/>
            </w:tabs>
            <w:spacing w:before="218"/>
          </w:pPr>
          <w:hyperlink w:history="1" w:anchor="_bookmark14">
            <w:r>
              <w:rPr>
                <w:spacing w:val="-4"/>
              </w:rPr>
              <w:t>COM(2025)123:</w:t>
            </w:r>
            <w:r>
              <w:rPr>
                <w:spacing w:val="-6"/>
              </w:rPr>
              <w:t xml:space="preserve"> </w:t>
            </w:r>
            <w:r>
              <w:rPr>
                <w:spacing w:val="-4"/>
              </w:rPr>
              <w:t>Mid-term</w:t>
            </w:r>
            <w:r>
              <w:rPr>
                <w:spacing w:val="-5"/>
              </w:rPr>
              <w:t xml:space="preserve"> </w:t>
            </w:r>
            <w:r>
              <w:rPr>
                <w:spacing w:val="-4"/>
              </w:rPr>
              <w:t>review</w:t>
            </w:r>
            <w:r>
              <w:rPr>
                <w:spacing w:val="-5"/>
              </w:rPr>
              <w:t xml:space="preserve"> </w:t>
            </w:r>
            <w:r>
              <w:rPr>
                <w:spacing w:val="-4"/>
              </w:rPr>
              <w:t>of</w:t>
            </w:r>
            <w:r>
              <w:rPr>
                <w:spacing w:val="-8"/>
              </w:rPr>
              <w:t xml:space="preserve"> </w:t>
            </w:r>
            <w:r>
              <w:rPr>
                <w:spacing w:val="-4"/>
              </w:rPr>
              <w:t>Cohesion</w:t>
            </w:r>
            <w:r>
              <w:rPr>
                <w:spacing w:val="-6"/>
              </w:rPr>
              <w:t xml:space="preserve"> </w:t>
            </w:r>
            <w:r>
              <w:rPr>
                <w:spacing w:val="-4"/>
              </w:rPr>
              <w:t>Policy</w:t>
            </w:r>
            <w:r>
              <w:tab/>
            </w:r>
            <w:r>
              <w:rPr>
                <w:spacing w:val="-5"/>
              </w:rPr>
              <w:t>17</w:t>
            </w:r>
          </w:hyperlink>
        </w:p>
        <w:p w:rsidR="00B84CED" w:rsidRDefault="00794452" w14:paraId="639C1C25" w14:textId="77777777">
          <w:pPr>
            <w:pStyle w:val="TOC2"/>
            <w:tabs>
              <w:tab w:val="right" w:leader="dot" w:pos="9054"/>
            </w:tabs>
            <w:spacing w:before="244"/>
          </w:pPr>
          <w:hyperlink w:history="1" w:anchor="_bookmark15">
            <w:r>
              <w:rPr>
                <w:w w:val="110"/>
              </w:rPr>
              <w:t>Background</w:t>
            </w:r>
            <w:r>
              <w:rPr>
                <w:spacing w:val="-4"/>
                <w:w w:val="110"/>
              </w:rPr>
              <w:t xml:space="preserve"> </w:t>
            </w:r>
            <w:r>
              <w:rPr>
                <w:w w:val="110"/>
              </w:rPr>
              <w:t>to</w:t>
            </w:r>
            <w:r>
              <w:rPr>
                <w:spacing w:val="-1"/>
                <w:w w:val="110"/>
              </w:rPr>
              <w:t xml:space="preserve"> </w:t>
            </w:r>
            <w:r>
              <w:rPr>
                <w:spacing w:val="-2"/>
                <w:w w:val="110"/>
              </w:rPr>
              <w:t>proposal</w:t>
            </w:r>
            <w:r>
              <w:tab/>
            </w:r>
            <w:r>
              <w:rPr>
                <w:spacing w:val="-5"/>
                <w:w w:val="105"/>
              </w:rPr>
              <w:t>17</w:t>
            </w:r>
          </w:hyperlink>
        </w:p>
        <w:p w:rsidR="00B84CED" w:rsidRDefault="00794452" w14:paraId="76F0B073" w14:textId="77777777">
          <w:pPr>
            <w:pStyle w:val="TOC2"/>
            <w:tabs>
              <w:tab w:val="right" w:leader="dot" w:pos="9054"/>
            </w:tabs>
          </w:pPr>
          <w:hyperlink w:history="1" w:anchor="_bookmark16">
            <w:r>
              <w:rPr>
                <w:w w:val="115"/>
              </w:rPr>
              <w:t>Key</w:t>
            </w:r>
            <w:r>
              <w:rPr>
                <w:spacing w:val="-15"/>
                <w:w w:val="115"/>
              </w:rPr>
              <w:t xml:space="preserve"> </w:t>
            </w:r>
            <w:r>
              <w:rPr>
                <w:w w:val="115"/>
              </w:rPr>
              <w:t>issues</w:t>
            </w:r>
            <w:r>
              <w:rPr>
                <w:spacing w:val="-14"/>
                <w:w w:val="115"/>
              </w:rPr>
              <w:t xml:space="preserve"> </w:t>
            </w:r>
            <w:r>
              <w:rPr>
                <w:w w:val="115"/>
              </w:rPr>
              <w:t>raised</w:t>
            </w:r>
            <w:r>
              <w:rPr>
                <w:spacing w:val="-13"/>
                <w:w w:val="115"/>
              </w:rPr>
              <w:t xml:space="preserve"> </w:t>
            </w:r>
            <w:r>
              <w:rPr>
                <w:w w:val="115"/>
              </w:rPr>
              <w:t>in</w:t>
            </w:r>
            <w:r>
              <w:rPr>
                <w:spacing w:val="-14"/>
                <w:w w:val="115"/>
              </w:rPr>
              <w:t xml:space="preserve"> </w:t>
            </w:r>
            <w:r>
              <w:rPr>
                <w:spacing w:val="-2"/>
                <w:w w:val="115"/>
              </w:rPr>
              <w:t>submissions</w:t>
            </w:r>
            <w:r>
              <w:tab/>
            </w:r>
            <w:r>
              <w:rPr>
                <w:spacing w:val="-5"/>
                <w:w w:val="115"/>
              </w:rPr>
              <w:t>18</w:t>
            </w:r>
          </w:hyperlink>
        </w:p>
        <w:p w:rsidR="00B84CED" w:rsidRDefault="00794452" w14:paraId="0AAE1308" w14:textId="77777777">
          <w:pPr>
            <w:pStyle w:val="TOC1"/>
            <w:tabs>
              <w:tab w:val="right" w:leader="dot" w:pos="9054"/>
            </w:tabs>
          </w:pPr>
          <w:hyperlink w:history="1" w:anchor="_bookmark17">
            <w:r>
              <w:rPr>
                <w:spacing w:val="-2"/>
              </w:rPr>
              <w:t>Evidence</w:t>
            </w:r>
            <w:r>
              <w:rPr>
                <w:spacing w:val="-14"/>
              </w:rPr>
              <w:t xml:space="preserve"> </w:t>
            </w:r>
            <w:r>
              <w:rPr>
                <w:spacing w:val="-2"/>
              </w:rPr>
              <w:t>from</w:t>
            </w:r>
            <w:r>
              <w:rPr>
                <w:spacing w:val="-13"/>
              </w:rPr>
              <w:t xml:space="preserve"> </w:t>
            </w:r>
            <w:r>
              <w:rPr>
                <w:spacing w:val="-2"/>
              </w:rPr>
              <w:t>Public</w:t>
            </w:r>
            <w:r>
              <w:rPr>
                <w:spacing w:val="-14"/>
              </w:rPr>
              <w:t xml:space="preserve"> </w:t>
            </w:r>
            <w:r>
              <w:rPr>
                <w:spacing w:val="-2"/>
              </w:rPr>
              <w:t>sessions</w:t>
            </w:r>
            <w:r>
              <w:tab/>
            </w:r>
            <w:r>
              <w:rPr>
                <w:spacing w:val="-5"/>
              </w:rPr>
              <w:t>20</w:t>
            </w:r>
          </w:hyperlink>
        </w:p>
        <w:p w:rsidR="00B84CED" w:rsidRDefault="00794452" w14:paraId="531CD912" w14:textId="77777777">
          <w:pPr>
            <w:pStyle w:val="TOC2"/>
            <w:tabs>
              <w:tab w:val="right" w:leader="dot" w:pos="9054"/>
            </w:tabs>
            <w:spacing w:before="244"/>
          </w:pPr>
          <w:hyperlink w:history="1" w:anchor="_bookmark18">
            <w:r>
              <w:rPr>
                <w:w w:val="110"/>
              </w:rPr>
              <w:t>Redirection</w:t>
            </w:r>
            <w:r>
              <w:rPr>
                <w:spacing w:val="-12"/>
                <w:w w:val="110"/>
              </w:rPr>
              <w:t xml:space="preserve"> </w:t>
            </w:r>
            <w:r>
              <w:rPr>
                <w:w w:val="110"/>
              </w:rPr>
              <w:t>of</w:t>
            </w:r>
            <w:r>
              <w:rPr>
                <w:spacing w:val="-11"/>
                <w:w w:val="110"/>
              </w:rPr>
              <w:t xml:space="preserve"> </w:t>
            </w:r>
            <w:r>
              <w:rPr>
                <w:w w:val="110"/>
              </w:rPr>
              <w:t>existing</w:t>
            </w:r>
            <w:r>
              <w:rPr>
                <w:spacing w:val="-11"/>
                <w:w w:val="110"/>
              </w:rPr>
              <w:t xml:space="preserve"> </w:t>
            </w:r>
            <w:r>
              <w:rPr>
                <w:w w:val="110"/>
              </w:rPr>
              <w:t>funding</w:t>
            </w:r>
            <w:r>
              <w:rPr>
                <w:spacing w:val="-8"/>
                <w:w w:val="110"/>
              </w:rPr>
              <w:t xml:space="preserve"> </w:t>
            </w:r>
            <w:r>
              <w:rPr>
                <w:w w:val="110"/>
              </w:rPr>
              <w:t>from</w:t>
            </w:r>
            <w:r>
              <w:rPr>
                <w:spacing w:val="-10"/>
                <w:w w:val="110"/>
              </w:rPr>
              <w:t xml:space="preserve"> </w:t>
            </w:r>
            <w:r>
              <w:rPr>
                <w:w w:val="110"/>
              </w:rPr>
              <w:t>intended</w:t>
            </w:r>
            <w:r>
              <w:rPr>
                <w:spacing w:val="-12"/>
                <w:w w:val="110"/>
              </w:rPr>
              <w:t xml:space="preserve"> </w:t>
            </w:r>
            <w:r>
              <w:rPr>
                <w:spacing w:val="-2"/>
                <w:w w:val="110"/>
              </w:rPr>
              <w:t>objectives</w:t>
            </w:r>
            <w:r>
              <w:tab/>
            </w:r>
            <w:r>
              <w:rPr>
                <w:spacing w:val="-5"/>
                <w:w w:val="110"/>
              </w:rPr>
              <w:t>20</w:t>
            </w:r>
          </w:hyperlink>
        </w:p>
        <w:p w:rsidR="00B84CED" w:rsidRDefault="00794452" w14:paraId="14C0661A" w14:textId="77777777">
          <w:pPr>
            <w:pStyle w:val="TOC2"/>
            <w:tabs>
              <w:tab w:val="right" w:leader="dot" w:pos="9054"/>
            </w:tabs>
          </w:pPr>
          <w:hyperlink w:history="1" w:anchor="_bookmark24">
            <w:r>
              <w:rPr>
                <w:w w:val="110"/>
              </w:rPr>
              <w:t>Environmental</w:t>
            </w:r>
            <w:r>
              <w:rPr>
                <w:spacing w:val="-4"/>
                <w:w w:val="110"/>
              </w:rPr>
              <w:t xml:space="preserve"> </w:t>
            </w:r>
            <w:r>
              <w:rPr>
                <w:w w:val="110"/>
              </w:rPr>
              <w:t>and</w:t>
            </w:r>
            <w:r>
              <w:rPr>
                <w:spacing w:val="-4"/>
                <w:w w:val="110"/>
              </w:rPr>
              <w:t xml:space="preserve"> </w:t>
            </w:r>
            <w:r>
              <w:rPr>
                <w:w w:val="110"/>
              </w:rPr>
              <w:t>Societal</w:t>
            </w:r>
            <w:r>
              <w:rPr>
                <w:spacing w:val="-2"/>
                <w:w w:val="110"/>
              </w:rPr>
              <w:t xml:space="preserve"> </w:t>
            </w:r>
            <w:r>
              <w:rPr>
                <w:w w:val="110"/>
              </w:rPr>
              <w:t>impacts</w:t>
            </w:r>
            <w:r>
              <w:rPr>
                <w:spacing w:val="-3"/>
                <w:w w:val="110"/>
              </w:rPr>
              <w:t xml:space="preserve"> </w:t>
            </w:r>
            <w:r>
              <w:rPr>
                <w:w w:val="110"/>
              </w:rPr>
              <w:t>of</w:t>
            </w:r>
            <w:r>
              <w:rPr>
                <w:spacing w:val="-2"/>
                <w:w w:val="110"/>
              </w:rPr>
              <w:t xml:space="preserve"> </w:t>
            </w:r>
            <w:r>
              <w:rPr>
                <w:w w:val="110"/>
              </w:rPr>
              <w:t>increased</w:t>
            </w:r>
            <w:r>
              <w:rPr>
                <w:spacing w:val="-7"/>
                <w:w w:val="110"/>
              </w:rPr>
              <w:t xml:space="preserve"> </w:t>
            </w:r>
            <w:r>
              <w:rPr>
                <w:w w:val="110"/>
              </w:rPr>
              <w:t>military</w:t>
            </w:r>
            <w:r>
              <w:rPr>
                <w:spacing w:val="-5"/>
                <w:w w:val="110"/>
              </w:rPr>
              <w:t xml:space="preserve"> </w:t>
            </w:r>
            <w:r>
              <w:rPr>
                <w:spacing w:val="-2"/>
                <w:w w:val="110"/>
              </w:rPr>
              <w:t>expenditure</w:t>
            </w:r>
            <w:r>
              <w:tab/>
            </w:r>
            <w:r>
              <w:rPr>
                <w:spacing w:val="-5"/>
                <w:w w:val="110"/>
              </w:rPr>
              <w:t>22</w:t>
            </w:r>
          </w:hyperlink>
        </w:p>
        <w:p w:rsidR="00B84CED" w:rsidRDefault="00794452" w14:paraId="3419AFC3" w14:textId="77777777">
          <w:pPr>
            <w:pStyle w:val="TOC2"/>
            <w:tabs>
              <w:tab w:val="right" w:leader="dot" w:pos="9054"/>
            </w:tabs>
            <w:spacing w:before="130"/>
          </w:pPr>
          <w:hyperlink w:history="1" w:anchor="_bookmark27">
            <w:r>
              <w:rPr>
                <w:w w:val="110"/>
              </w:rPr>
              <w:t>Military</w:t>
            </w:r>
            <w:r>
              <w:rPr>
                <w:spacing w:val="-13"/>
                <w:w w:val="110"/>
              </w:rPr>
              <w:t xml:space="preserve"> </w:t>
            </w:r>
            <w:r>
              <w:rPr>
                <w:w w:val="110"/>
              </w:rPr>
              <w:t>investment</w:t>
            </w:r>
            <w:r>
              <w:rPr>
                <w:spacing w:val="-10"/>
                <w:w w:val="110"/>
              </w:rPr>
              <w:t xml:space="preserve"> </w:t>
            </w:r>
            <w:r>
              <w:rPr>
                <w:w w:val="110"/>
              </w:rPr>
              <w:t>as</w:t>
            </w:r>
            <w:r>
              <w:rPr>
                <w:spacing w:val="-10"/>
                <w:w w:val="110"/>
              </w:rPr>
              <w:t xml:space="preserve"> </w:t>
            </w:r>
            <w:r>
              <w:rPr>
                <w:w w:val="110"/>
              </w:rPr>
              <w:t>a</w:t>
            </w:r>
            <w:r>
              <w:rPr>
                <w:spacing w:val="-12"/>
                <w:w w:val="110"/>
              </w:rPr>
              <w:t xml:space="preserve"> </w:t>
            </w:r>
            <w:r>
              <w:rPr>
                <w:spacing w:val="-2"/>
                <w:w w:val="110"/>
              </w:rPr>
              <w:t>deterrent</w:t>
            </w:r>
            <w:r>
              <w:tab/>
            </w:r>
            <w:r>
              <w:rPr>
                <w:spacing w:val="-7"/>
                <w:w w:val="105"/>
              </w:rPr>
              <w:t>23</w:t>
            </w:r>
          </w:hyperlink>
        </w:p>
        <w:p w:rsidR="00B84CED" w:rsidRDefault="00794452" w14:paraId="5878AE25" w14:textId="77777777">
          <w:pPr>
            <w:pStyle w:val="TOC2"/>
            <w:tabs>
              <w:tab w:val="right" w:leader="dot" w:pos="9054"/>
            </w:tabs>
          </w:pPr>
          <w:hyperlink w:history="1" w:anchor="_bookmark29">
            <w:r>
              <w:rPr>
                <w:w w:val="110"/>
              </w:rPr>
              <w:t>Legal</w:t>
            </w:r>
            <w:r>
              <w:rPr>
                <w:spacing w:val="5"/>
                <w:w w:val="110"/>
              </w:rPr>
              <w:t xml:space="preserve"> </w:t>
            </w:r>
            <w:r>
              <w:rPr>
                <w:w w:val="110"/>
              </w:rPr>
              <w:t>basis</w:t>
            </w:r>
            <w:r>
              <w:rPr>
                <w:spacing w:val="6"/>
                <w:w w:val="110"/>
              </w:rPr>
              <w:t xml:space="preserve"> </w:t>
            </w:r>
            <w:r>
              <w:rPr>
                <w:w w:val="110"/>
              </w:rPr>
              <w:t>for</w:t>
            </w:r>
            <w:r>
              <w:rPr>
                <w:spacing w:val="6"/>
                <w:w w:val="110"/>
              </w:rPr>
              <w:t xml:space="preserve"> </w:t>
            </w:r>
            <w:r>
              <w:rPr>
                <w:w w:val="110"/>
              </w:rPr>
              <w:t>the</w:t>
            </w:r>
            <w:r>
              <w:rPr>
                <w:spacing w:val="10"/>
                <w:w w:val="110"/>
              </w:rPr>
              <w:t xml:space="preserve"> </w:t>
            </w:r>
            <w:r>
              <w:rPr>
                <w:w w:val="110"/>
              </w:rPr>
              <w:t>SAFE</w:t>
            </w:r>
            <w:r>
              <w:rPr>
                <w:spacing w:val="7"/>
                <w:w w:val="110"/>
              </w:rPr>
              <w:t xml:space="preserve"> </w:t>
            </w:r>
            <w:r>
              <w:rPr>
                <w:spacing w:val="-2"/>
                <w:w w:val="110"/>
              </w:rPr>
              <w:t>Regulation</w:t>
            </w:r>
            <w:r>
              <w:tab/>
            </w:r>
            <w:r>
              <w:rPr>
                <w:spacing w:val="-7"/>
                <w:w w:val="105"/>
              </w:rPr>
              <w:t>24</w:t>
            </w:r>
          </w:hyperlink>
        </w:p>
        <w:p w:rsidR="00B84CED" w:rsidRDefault="00794452" w14:paraId="28BDA745" w14:textId="77777777">
          <w:pPr>
            <w:pStyle w:val="TOC2"/>
            <w:tabs>
              <w:tab w:val="right" w:leader="dot" w:pos="9054"/>
            </w:tabs>
          </w:pPr>
          <w:hyperlink w:history="1" w:anchor="_bookmark37">
            <w:r>
              <w:rPr>
                <w:w w:val="110"/>
              </w:rPr>
              <w:t>Use</w:t>
            </w:r>
            <w:r>
              <w:rPr>
                <w:spacing w:val="-2"/>
                <w:w w:val="110"/>
              </w:rPr>
              <w:t xml:space="preserve"> </w:t>
            </w:r>
            <w:r>
              <w:rPr>
                <w:w w:val="110"/>
              </w:rPr>
              <w:t>of</w:t>
            </w:r>
            <w:r>
              <w:rPr>
                <w:spacing w:val="-2"/>
                <w:w w:val="110"/>
              </w:rPr>
              <w:t xml:space="preserve"> </w:t>
            </w:r>
            <w:r>
              <w:rPr>
                <w:w w:val="110"/>
              </w:rPr>
              <w:t>EU</w:t>
            </w:r>
            <w:r>
              <w:rPr>
                <w:spacing w:val="-1"/>
                <w:w w:val="110"/>
              </w:rPr>
              <w:t xml:space="preserve"> </w:t>
            </w:r>
            <w:r>
              <w:rPr>
                <w:w w:val="110"/>
              </w:rPr>
              <w:t>Budget to</w:t>
            </w:r>
            <w:r>
              <w:rPr>
                <w:spacing w:val="-2"/>
                <w:w w:val="110"/>
              </w:rPr>
              <w:t xml:space="preserve"> </w:t>
            </w:r>
            <w:r>
              <w:rPr>
                <w:w w:val="110"/>
              </w:rPr>
              <w:t>guarantee</w:t>
            </w:r>
            <w:r>
              <w:rPr>
                <w:spacing w:val="2"/>
                <w:w w:val="110"/>
              </w:rPr>
              <w:t xml:space="preserve"> </w:t>
            </w:r>
            <w:r>
              <w:rPr>
                <w:w w:val="110"/>
              </w:rPr>
              <w:t>SAFE</w:t>
            </w:r>
            <w:r>
              <w:rPr>
                <w:spacing w:val="-2"/>
                <w:w w:val="110"/>
              </w:rPr>
              <w:t xml:space="preserve"> </w:t>
            </w:r>
            <w:r>
              <w:rPr>
                <w:spacing w:val="-4"/>
                <w:w w:val="110"/>
              </w:rPr>
              <w:t>Loans</w:t>
            </w:r>
            <w:r>
              <w:tab/>
            </w:r>
            <w:r>
              <w:rPr>
                <w:spacing w:val="-7"/>
                <w:w w:val="105"/>
              </w:rPr>
              <w:t>26</w:t>
            </w:r>
          </w:hyperlink>
        </w:p>
        <w:p w:rsidR="00B84CED" w:rsidRDefault="00794452" w14:paraId="0EC6D624" w14:textId="77777777">
          <w:pPr>
            <w:pStyle w:val="TOC2"/>
            <w:tabs>
              <w:tab w:val="right" w:leader="dot" w:pos="9054"/>
            </w:tabs>
            <w:spacing w:before="133"/>
          </w:pPr>
          <w:hyperlink w:history="1" w:anchor="_bookmark39">
            <w:r>
              <w:rPr>
                <w:w w:val="110"/>
              </w:rPr>
              <w:t>Structure</w:t>
            </w:r>
            <w:r>
              <w:rPr>
                <w:spacing w:val="-1"/>
                <w:w w:val="110"/>
              </w:rPr>
              <w:t xml:space="preserve"> </w:t>
            </w:r>
            <w:r>
              <w:rPr>
                <w:w w:val="110"/>
              </w:rPr>
              <w:t>of</w:t>
            </w:r>
            <w:r>
              <w:rPr>
                <w:spacing w:val="1"/>
                <w:w w:val="110"/>
              </w:rPr>
              <w:t xml:space="preserve"> </w:t>
            </w:r>
            <w:r>
              <w:rPr>
                <w:w w:val="110"/>
              </w:rPr>
              <w:t>SAFE</w:t>
            </w:r>
            <w:r>
              <w:rPr>
                <w:spacing w:val="1"/>
                <w:w w:val="110"/>
              </w:rPr>
              <w:t xml:space="preserve"> </w:t>
            </w:r>
            <w:r>
              <w:rPr>
                <w:w w:val="110"/>
              </w:rPr>
              <w:t>Loans</w:t>
            </w:r>
            <w:r>
              <w:rPr>
                <w:spacing w:val="-1"/>
                <w:w w:val="110"/>
              </w:rPr>
              <w:t xml:space="preserve"> </w:t>
            </w:r>
            <w:r>
              <w:rPr>
                <w:w w:val="110"/>
              </w:rPr>
              <w:t>and European</w:t>
            </w:r>
            <w:r>
              <w:rPr>
                <w:spacing w:val="-2"/>
                <w:w w:val="110"/>
              </w:rPr>
              <w:t xml:space="preserve"> </w:t>
            </w:r>
            <w:r>
              <w:rPr>
                <w:w w:val="110"/>
              </w:rPr>
              <w:t xml:space="preserve">debt </w:t>
            </w:r>
            <w:r>
              <w:rPr>
                <w:spacing w:val="-2"/>
                <w:w w:val="110"/>
              </w:rPr>
              <w:t>levels</w:t>
            </w:r>
            <w:r>
              <w:tab/>
            </w:r>
            <w:r>
              <w:rPr>
                <w:spacing w:val="-7"/>
                <w:w w:val="105"/>
              </w:rPr>
              <w:t>27</w:t>
            </w:r>
          </w:hyperlink>
        </w:p>
        <w:p w:rsidR="00B84CED" w:rsidRDefault="00794452" w14:paraId="7D11CEE8" w14:textId="77777777">
          <w:pPr>
            <w:pStyle w:val="TOC2"/>
            <w:tabs>
              <w:tab w:val="right" w:leader="dot" w:pos="9054"/>
            </w:tabs>
          </w:pPr>
          <w:hyperlink w:history="1" w:anchor="_bookmark43">
            <w:r>
              <w:rPr>
                <w:w w:val="110"/>
              </w:rPr>
              <w:t>Rule</w:t>
            </w:r>
            <w:r>
              <w:rPr>
                <w:spacing w:val="-3"/>
                <w:w w:val="110"/>
              </w:rPr>
              <w:t xml:space="preserve"> </w:t>
            </w:r>
            <w:r>
              <w:rPr>
                <w:w w:val="110"/>
              </w:rPr>
              <w:t>of</w:t>
            </w:r>
            <w:r>
              <w:rPr>
                <w:spacing w:val="-2"/>
                <w:w w:val="110"/>
              </w:rPr>
              <w:t xml:space="preserve"> </w:t>
            </w:r>
            <w:r>
              <w:rPr>
                <w:w w:val="110"/>
              </w:rPr>
              <w:t>Law</w:t>
            </w:r>
            <w:r>
              <w:rPr>
                <w:spacing w:val="-2"/>
                <w:w w:val="110"/>
              </w:rPr>
              <w:t xml:space="preserve"> concerns</w:t>
            </w:r>
            <w:r>
              <w:tab/>
            </w:r>
            <w:r>
              <w:rPr>
                <w:spacing w:val="-7"/>
                <w:w w:val="105"/>
              </w:rPr>
              <w:t>29</w:t>
            </w:r>
          </w:hyperlink>
        </w:p>
        <w:p w:rsidR="00B84CED" w:rsidRDefault="00794452" w14:paraId="2F3BA473" w14:textId="77777777">
          <w:pPr>
            <w:pStyle w:val="TOC2"/>
            <w:tabs>
              <w:tab w:val="right" w:leader="dot" w:pos="9054"/>
            </w:tabs>
          </w:pPr>
          <w:hyperlink w:history="1" w:anchor="_bookmark46">
            <w:r>
              <w:rPr>
                <w:w w:val="110"/>
              </w:rPr>
              <w:t>Ensuring</w:t>
            </w:r>
            <w:r>
              <w:rPr>
                <w:spacing w:val="-3"/>
                <w:w w:val="110"/>
              </w:rPr>
              <w:t xml:space="preserve"> </w:t>
            </w:r>
            <w:r>
              <w:rPr>
                <w:w w:val="110"/>
              </w:rPr>
              <w:t>transparency</w:t>
            </w:r>
            <w:r>
              <w:rPr>
                <w:spacing w:val="-6"/>
                <w:w w:val="110"/>
              </w:rPr>
              <w:t xml:space="preserve"> </w:t>
            </w:r>
            <w:r>
              <w:rPr>
                <w:w w:val="110"/>
              </w:rPr>
              <w:t>of</w:t>
            </w:r>
            <w:r>
              <w:rPr>
                <w:spacing w:val="-4"/>
                <w:w w:val="110"/>
              </w:rPr>
              <w:t xml:space="preserve"> </w:t>
            </w:r>
            <w:r>
              <w:rPr>
                <w:spacing w:val="-2"/>
                <w:w w:val="110"/>
              </w:rPr>
              <w:t>expenditure</w:t>
            </w:r>
            <w:r>
              <w:tab/>
            </w:r>
            <w:r>
              <w:rPr>
                <w:spacing w:val="-7"/>
                <w:w w:val="105"/>
              </w:rPr>
              <w:t>30</w:t>
            </w:r>
          </w:hyperlink>
        </w:p>
        <w:p w:rsidR="00B84CED" w:rsidRDefault="00794452" w14:paraId="1E20A785" w14:textId="77777777">
          <w:pPr>
            <w:pStyle w:val="TOC1"/>
            <w:tabs>
              <w:tab w:val="right" w:leader="dot" w:pos="9054"/>
            </w:tabs>
          </w:pPr>
          <w:hyperlink w:history="1" w:anchor="_bookmark53">
            <w:r>
              <w:rPr>
                <w:spacing w:val="-2"/>
              </w:rPr>
              <w:t>Opinion</w:t>
            </w:r>
            <w:r>
              <w:rPr>
                <w:spacing w:val="-8"/>
              </w:rPr>
              <w:t xml:space="preserve"> </w:t>
            </w:r>
            <w:r>
              <w:rPr>
                <w:spacing w:val="-2"/>
              </w:rPr>
              <w:t>of</w:t>
            </w:r>
            <w:r>
              <w:rPr>
                <w:spacing w:val="-7"/>
              </w:rPr>
              <w:t xml:space="preserve"> </w:t>
            </w:r>
            <w:r>
              <w:rPr>
                <w:spacing w:val="-2"/>
              </w:rPr>
              <w:t>the</w:t>
            </w:r>
            <w:r>
              <w:rPr>
                <w:spacing w:val="-6"/>
              </w:rPr>
              <w:t xml:space="preserve"> </w:t>
            </w:r>
            <w:r>
              <w:rPr>
                <w:spacing w:val="-2"/>
              </w:rPr>
              <w:t>Joint</w:t>
            </w:r>
            <w:r>
              <w:rPr>
                <w:spacing w:val="-7"/>
              </w:rPr>
              <w:t xml:space="preserve"> </w:t>
            </w:r>
            <w:r>
              <w:rPr>
                <w:spacing w:val="-2"/>
              </w:rPr>
              <w:t>Committee</w:t>
            </w:r>
            <w:r>
              <w:tab/>
            </w:r>
            <w:r>
              <w:rPr>
                <w:spacing w:val="-5"/>
              </w:rPr>
              <w:t>32</w:t>
            </w:r>
          </w:hyperlink>
        </w:p>
      </w:sdtContent>
    </w:sdt>
    <w:p w:rsidR="00B84CED" w:rsidRDefault="00B84CED" w14:paraId="65C767B0" w14:textId="77777777">
      <w:pPr>
        <w:pStyle w:val="TOC1"/>
        <w:sectPr w:rsidR="00B84CED" w:rsidSect="00196DB0">
          <w:footerReference w:type="even" r:id="Rda1a63e70b324b9b"/>
          <w:footerReference w:type="first" r:id="R0785e4ac7f334f16"/>
          <w:headerReference w:type="even" r:id="R404ca6dcf3b64082"/>
          <w:headerReference w:type="first" r:id="Raface73536f34633"/>
          <w:pgSz w:w="11907" w:h="16839"/>
          <w:pgMar w:top="1134" w:right="1134" w:bottom="1134" w:left="1134" w:header="567" w:footer="567" w:gutter="0"/>
          <w:cols w:space="720"/>
          <w:docGrid w:linePitch="299"/>
        </w:sectPr>
      </w:pPr>
    </w:p>
    <w:p w:rsidR="00B84CED" w:rsidRDefault="00B84CED" w14:paraId="2DE1CAFE" w14:textId="77777777">
      <w:pPr>
        <w:pStyle w:val="BodyText"/>
        <w:rPr>
          <w:rFonts w:ascii="Century Gothic"/>
          <w:b/>
          <w:sz w:val="31"/>
        </w:rPr>
      </w:pPr>
    </w:p>
    <w:p w:rsidR="00B84CED" w:rsidRDefault="00B84CED" w14:paraId="4A353602" w14:textId="77777777">
      <w:pPr>
        <w:pStyle w:val="BodyText"/>
        <w:spacing w:before="60"/>
        <w:rPr>
          <w:rFonts w:ascii="Century Gothic"/>
          <w:b/>
          <w:sz w:val="31"/>
        </w:rPr>
      </w:pPr>
    </w:p>
    <w:p w:rsidR="00B84CED" w:rsidRDefault="00794452" w14:paraId="7665CC5B" w14:textId="77777777">
      <w:pPr>
        <w:pStyle w:val="Heading1"/>
      </w:pPr>
      <w:bookmarkStart w:name="Related_information" w:id="2"/>
      <w:bookmarkStart w:name="_bookmark0" w:id="3"/>
      <w:bookmarkEnd w:id="2"/>
      <w:bookmarkEnd w:id="3"/>
      <w:r>
        <w:rPr>
          <w:color w:val="3A5C66"/>
          <w:spacing w:val="-5"/>
        </w:rPr>
        <w:t>Related</w:t>
      </w:r>
      <w:r>
        <w:rPr>
          <w:color w:val="3A5C66"/>
          <w:spacing w:val="-8"/>
        </w:rPr>
        <w:t xml:space="preserve"> </w:t>
      </w:r>
      <w:r>
        <w:rPr>
          <w:color w:val="3A5C66"/>
          <w:spacing w:val="-2"/>
        </w:rPr>
        <w:t>information</w:t>
      </w:r>
    </w:p>
    <w:p w:rsidR="00B84CED" w:rsidRDefault="00794452" w14:paraId="3A5DB2E6" w14:textId="77777777">
      <w:pPr>
        <w:pStyle w:val="BodyText"/>
        <w:spacing w:before="154"/>
        <w:ind w:left="1"/>
      </w:pPr>
      <w:bookmarkStart w:name="Publications" w:id="4"/>
      <w:bookmarkEnd w:id="4"/>
      <w:r>
        <w:rPr>
          <w:color w:val="3A5C66"/>
          <w:spacing w:val="-2"/>
          <w:w w:val="110"/>
        </w:rPr>
        <w:t>Publications</w:t>
      </w:r>
    </w:p>
    <w:p w:rsidR="00B84CED" w:rsidRDefault="00794452" w14:paraId="37A4F480" w14:textId="77777777">
      <w:pPr>
        <w:pStyle w:val="BodyText"/>
        <w:spacing w:before="132"/>
        <w:ind w:left="1"/>
      </w:pPr>
      <w:r>
        <w:rPr>
          <w:noProof/>
        </w:rPr>
        <mc:AlternateContent>
          <mc:Choice Requires="wps">
            <w:drawing>
              <wp:anchor distT="0" distB="0" distL="0" distR="0" simplePos="0" relativeHeight="15729152" behindDoc="0" locked="0" layoutInCell="1" allowOverlap="1" wp14:editId="2A3F52D1" wp14:anchorId="6FEB2034">
                <wp:simplePos x="0" y="0"/>
                <wp:positionH relativeFrom="page">
                  <wp:posOffset>5580888</wp:posOffset>
                </wp:positionH>
                <wp:positionV relativeFrom="paragraph">
                  <wp:posOffset>230972</wp:posOffset>
                </wp:positionV>
                <wp:extent cx="323215" cy="9525"/>
                <wp:effectExtent l="0" t="0" r="0" b="0"/>
                <wp:wrapNone/>
                <wp:docPr id="3"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215" cy="9525"/>
                        </a:xfrm>
                        <a:custGeom>
                          <a:avLst/>
                          <a:gdLst/>
                          <a:ahLst/>
                          <a:cxnLst/>
                          <a:rect l="l" t="t" r="r" b="b"/>
                          <a:pathLst>
                            <a:path w="323215" h="9525">
                              <a:moveTo>
                                <a:pt x="323075" y="0"/>
                              </a:moveTo>
                              <a:lnTo>
                                <a:pt x="0" y="0"/>
                              </a:lnTo>
                              <a:lnTo>
                                <a:pt x="0" y="9144"/>
                              </a:lnTo>
                              <a:lnTo>
                                <a:pt x="323075" y="9144"/>
                              </a:lnTo>
                              <a:lnTo>
                                <a:pt x="3230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id="Graphic 10" style="position:absolute;margin-left:439.45pt;margin-top:18.2pt;width:25.45pt;height:.75pt;z-index:15729152;visibility:visible;mso-wrap-style:square;mso-wrap-distance-left:0;mso-wrap-distance-top:0;mso-wrap-distance-right:0;mso-wrap-distance-bottom:0;mso-position-horizontal:absolute;mso-position-horizontal-relative:page;mso-position-vertical:absolute;mso-position-vertical-relative:text;v-text-anchor:top" coordsize="323215,9525" o:spid="_x0000_s1026" fillcolor="blue" stroked="f" path="m323075,l,,,9144r323075,l323075,xe" w14:anchorId="14508039">
                <v:path arrowok="t"/>
                <w10:wrap anchorx="page"/>
              </v:shape>
            </w:pict>
          </mc:Fallback>
        </mc:AlternateContent>
      </w:r>
      <w:r>
        <w:rPr>
          <w:w w:val="110"/>
        </w:rPr>
        <w:t>All</w:t>
      </w:r>
      <w:r>
        <w:rPr>
          <w:spacing w:val="-6"/>
          <w:w w:val="110"/>
        </w:rPr>
        <w:t xml:space="preserve"> </w:t>
      </w:r>
      <w:r>
        <w:rPr>
          <w:w w:val="110"/>
        </w:rPr>
        <w:t>publications</w:t>
      </w:r>
      <w:r>
        <w:rPr>
          <w:spacing w:val="-7"/>
          <w:w w:val="110"/>
        </w:rPr>
        <w:t xml:space="preserve"> </w:t>
      </w:r>
      <w:r>
        <w:rPr>
          <w:w w:val="110"/>
        </w:rPr>
        <w:t>for</w:t>
      </w:r>
      <w:r>
        <w:rPr>
          <w:spacing w:val="-6"/>
          <w:w w:val="110"/>
        </w:rPr>
        <w:t xml:space="preserve"> </w:t>
      </w:r>
      <w:r>
        <w:rPr>
          <w:w w:val="110"/>
        </w:rPr>
        <w:t>this</w:t>
      </w:r>
      <w:r>
        <w:rPr>
          <w:spacing w:val="-5"/>
          <w:w w:val="110"/>
        </w:rPr>
        <w:t xml:space="preserve"> </w:t>
      </w:r>
      <w:r>
        <w:rPr>
          <w:w w:val="110"/>
        </w:rPr>
        <w:t>committee</w:t>
      </w:r>
      <w:r>
        <w:rPr>
          <w:spacing w:val="-5"/>
          <w:w w:val="110"/>
        </w:rPr>
        <w:t xml:space="preserve"> </w:t>
      </w:r>
      <w:r>
        <w:rPr>
          <w:w w:val="110"/>
        </w:rPr>
        <w:t>are</w:t>
      </w:r>
      <w:r>
        <w:rPr>
          <w:spacing w:val="-7"/>
          <w:w w:val="110"/>
        </w:rPr>
        <w:t xml:space="preserve"> </w:t>
      </w:r>
      <w:r>
        <w:rPr>
          <w:w w:val="110"/>
        </w:rPr>
        <w:t>available</w:t>
      </w:r>
      <w:r>
        <w:rPr>
          <w:spacing w:val="-8"/>
          <w:w w:val="110"/>
        </w:rPr>
        <w:t xml:space="preserve"> </w:t>
      </w:r>
      <w:r>
        <w:rPr>
          <w:w w:val="110"/>
        </w:rPr>
        <w:t>on</w:t>
      </w:r>
      <w:r>
        <w:rPr>
          <w:spacing w:val="-6"/>
          <w:w w:val="110"/>
        </w:rPr>
        <w:t xml:space="preserve"> </w:t>
      </w:r>
      <w:r>
        <w:rPr>
          <w:w w:val="110"/>
        </w:rPr>
        <w:t>the</w:t>
      </w:r>
      <w:r>
        <w:rPr>
          <w:spacing w:val="-4"/>
          <w:w w:val="110"/>
        </w:rPr>
        <w:t xml:space="preserve"> </w:t>
      </w:r>
      <w:r>
        <w:rPr>
          <w:w w:val="110"/>
        </w:rPr>
        <w:t>Oireachtas</w:t>
      </w:r>
      <w:r>
        <w:rPr>
          <w:spacing w:val="-8"/>
          <w:w w:val="110"/>
        </w:rPr>
        <w:t xml:space="preserve"> </w:t>
      </w:r>
      <w:r>
        <w:rPr>
          <w:w w:val="110"/>
        </w:rPr>
        <w:t>website</w:t>
      </w:r>
      <w:r>
        <w:rPr>
          <w:spacing w:val="-7"/>
          <w:w w:val="110"/>
        </w:rPr>
        <w:t xml:space="preserve"> </w:t>
      </w:r>
      <w:hyperlink r:id="rId1">
        <w:r>
          <w:rPr>
            <w:color w:val="0000FF"/>
            <w:spacing w:val="-2"/>
            <w:w w:val="110"/>
          </w:rPr>
          <w:t>here.</w:t>
        </w:r>
      </w:hyperlink>
    </w:p>
    <w:p w:rsidR="00B84CED" w:rsidRDefault="00794452" w14:paraId="4E44AF43" w14:textId="77777777">
      <w:pPr>
        <w:pStyle w:val="BodyText"/>
        <w:spacing w:before="200"/>
        <w:ind w:left="1"/>
      </w:pPr>
      <w:bookmarkStart w:name="Committee_videos" w:id="5"/>
      <w:bookmarkEnd w:id="5"/>
      <w:r>
        <w:rPr>
          <w:color w:val="3A5C66"/>
          <w:spacing w:val="-2"/>
          <w:w w:val="110"/>
        </w:rPr>
        <w:t>Committee</w:t>
      </w:r>
      <w:r>
        <w:rPr>
          <w:color w:val="3A5C66"/>
          <w:spacing w:val="1"/>
          <w:w w:val="110"/>
        </w:rPr>
        <w:t xml:space="preserve"> </w:t>
      </w:r>
      <w:r>
        <w:rPr>
          <w:color w:val="3A5C66"/>
          <w:spacing w:val="-2"/>
          <w:w w:val="110"/>
        </w:rPr>
        <w:t>videos</w:t>
      </w:r>
    </w:p>
    <w:p w:rsidR="00B84CED" w:rsidRDefault="00794452" w14:paraId="3C04723C" w14:textId="77777777">
      <w:pPr>
        <w:pStyle w:val="BodyText"/>
        <w:spacing w:before="132"/>
        <w:ind w:left="1"/>
      </w:pPr>
      <w:r>
        <w:rPr>
          <w:noProof/>
        </w:rPr>
        <mc:AlternateContent>
          <mc:Choice Requires="wps">
            <w:drawing>
              <wp:anchor distT="0" distB="0" distL="0" distR="0" simplePos="0" relativeHeight="15729664" behindDoc="0" locked="0" layoutInCell="1" allowOverlap="1" wp14:editId="217D3604" wp14:anchorId="5A58F35E">
                <wp:simplePos x="0" y="0"/>
                <wp:positionH relativeFrom="page">
                  <wp:posOffset>5914644</wp:posOffset>
                </wp:positionH>
                <wp:positionV relativeFrom="paragraph">
                  <wp:posOffset>230776</wp:posOffset>
                </wp:positionV>
                <wp:extent cx="321945" cy="9525"/>
                <wp:effectExtent l="0" t="0" r="0" b="0"/>
                <wp:wrapNone/>
                <wp:docPr id="4"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1945" cy="9525"/>
                        </a:xfrm>
                        <a:custGeom>
                          <a:avLst/>
                          <a:gdLst/>
                          <a:ahLst/>
                          <a:cxnLst/>
                          <a:rect l="l" t="t" r="r" b="b"/>
                          <a:pathLst>
                            <a:path w="321945" h="9525">
                              <a:moveTo>
                                <a:pt x="321563" y="0"/>
                              </a:moveTo>
                              <a:lnTo>
                                <a:pt x="0" y="0"/>
                              </a:lnTo>
                              <a:lnTo>
                                <a:pt x="0" y="9144"/>
                              </a:lnTo>
                              <a:lnTo>
                                <a:pt x="321563" y="9144"/>
                              </a:lnTo>
                              <a:lnTo>
                                <a:pt x="321563"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id="Graphic 11" style="position:absolute;margin-left:465.7pt;margin-top:18.15pt;width:25.35pt;height:.75pt;z-index:15729664;visibility:visible;mso-wrap-style:square;mso-wrap-distance-left:0;mso-wrap-distance-top:0;mso-wrap-distance-right:0;mso-wrap-distance-bottom:0;mso-position-horizontal:absolute;mso-position-horizontal-relative:page;mso-position-vertical:absolute;mso-position-vertical-relative:text;v-text-anchor:top" coordsize="321945,9525" o:spid="_x0000_s1026" fillcolor="blue" stroked="f" path="m321563,l,,,9144r321563,l321563,xe" w14:anchorId="4548F83C">
                <v:path arrowok="t"/>
                <w10:wrap anchorx="page"/>
              </v:shape>
            </w:pict>
          </mc:Fallback>
        </mc:AlternateContent>
      </w:r>
      <w:r>
        <w:rPr>
          <w:w w:val="110"/>
        </w:rPr>
        <w:t>Footage</w:t>
      </w:r>
      <w:r>
        <w:rPr>
          <w:spacing w:val="-10"/>
          <w:w w:val="110"/>
        </w:rPr>
        <w:t xml:space="preserve"> </w:t>
      </w:r>
      <w:r>
        <w:rPr>
          <w:w w:val="110"/>
        </w:rPr>
        <w:t>of</w:t>
      </w:r>
      <w:r>
        <w:rPr>
          <w:spacing w:val="-8"/>
          <w:w w:val="110"/>
        </w:rPr>
        <w:t xml:space="preserve"> </w:t>
      </w:r>
      <w:r>
        <w:rPr>
          <w:w w:val="110"/>
        </w:rPr>
        <w:t>Committee</w:t>
      </w:r>
      <w:r>
        <w:rPr>
          <w:spacing w:val="-7"/>
          <w:w w:val="110"/>
        </w:rPr>
        <w:t xml:space="preserve"> </w:t>
      </w:r>
      <w:r>
        <w:rPr>
          <w:w w:val="110"/>
        </w:rPr>
        <w:t>proceedings</w:t>
      </w:r>
      <w:r>
        <w:rPr>
          <w:spacing w:val="-7"/>
          <w:w w:val="110"/>
        </w:rPr>
        <w:t xml:space="preserve"> </w:t>
      </w:r>
      <w:r>
        <w:rPr>
          <w:w w:val="110"/>
        </w:rPr>
        <w:t>can</w:t>
      </w:r>
      <w:r>
        <w:rPr>
          <w:spacing w:val="-9"/>
          <w:w w:val="110"/>
        </w:rPr>
        <w:t xml:space="preserve"> </w:t>
      </w:r>
      <w:r>
        <w:rPr>
          <w:w w:val="110"/>
        </w:rPr>
        <w:t>be</w:t>
      </w:r>
      <w:r>
        <w:rPr>
          <w:spacing w:val="-7"/>
          <w:w w:val="110"/>
        </w:rPr>
        <w:t xml:space="preserve"> </w:t>
      </w:r>
      <w:r>
        <w:rPr>
          <w:w w:val="110"/>
        </w:rPr>
        <w:t>found</w:t>
      </w:r>
      <w:r>
        <w:rPr>
          <w:spacing w:val="-11"/>
          <w:w w:val="110"/>
        </w:rPr>
        <w:t xml:space="preserve"> </w:t>
      </w:r>
      <w:r>
        <w:rPr>
          <w:w w:val="110"/>
        </w:rPr>
        <w:t>on</w:t>
      </w:r>
      <w:r>
        <w:rPr>
          <w:spacing w:val="-9"/>
          <w:w w:val="110"/>
        </w:rPr>
        <w:t xml:space="preserve"> </w:t>
      </w:r>
      <w:r>
        <w:rPr>
          <w:w w:val="110"/>
        </w:rPr>
        <w:t>the</w:t>
      </w:r>
      <w:r>
        <w:rPr>
          <w:spacing w:val="-9"/>
          <w:w w:val="110"/>
        </w:rPr>
        <w:t xml:space="preserve"> </w:t>
      </w:r>
      <w:r>
        <w:rPr>
          <w:w w:val="110"/>
        </w:rPr>
        <w:t>Committee</w:t>
      </w:r>
      <w:r>
        <w:rPr>
          <w:spacing w:val="-7"/>
          <w:w w:val="110"/>
        </w:rPr>
        <w:t xml:space="preserve"> </w:t>
      </w:r>
      <w:r>
        <w:rPr>
          <w:w w:val="110"/>
        </w:rPr>
        <w:t>videos</w:t>
      </w:r>
      <w:r>
        <w:rPr>
          <w:spacing w:val="-8"/>
          <w:w w:val="110"/>
        </w:rPr>
        <w:t xml:space="preserve"> </w:t>
      </w:r>
      <w:r>
        <w:rPr>
          <w:w w:val="110"/>
        </w:rPr>
        <w:t>page</w:t>
      </w:r>
      <w:r>
        <w:rPr>
          <w:spacing w:val="-7"/>
          <w:w w:val="110"/>
        </w:rPr>
        <w:t xml:space="preserve"> </w:t>
      </w:r>
      <w:hyperlink r:id="rId2">
        <w:r>
          <w:rPr>
            <w:color w:val="0000FF"/>
            <w:spacing w:val="-2"/>
            <w:w w:val="110"/>
          </w:rPr>
          <w:t>here.</w:t>
        </w:r>
      </w:hyperlink>
    </w:p>
    <w:p w:rsidR="00B84CED" w:rsidRDefault="00794452" w14:paraId="119F39EC" w14:textId="77777777">
      <w:pPr>
        <w:pStyle w:val="BodyText"/>
        <w:spacing w:before="199"/>
        <w:ind w:left="1"/>
      </w:pPr>
      <w:bookmarkStart w:name="Committee_debates" w:id="6"/>
      <w:bookmarkEnd w:id="6"/>
      <w:r>
        <w:rPr>
          <w:color w:val="3A5C66"/>
          <w:spacing w:val="-2"/>
          <w:w w:val="110"/>
        </w:rPr>
        <w:t>Committee</w:t>
      </w:r>
      <w:r>
        <w:rPr>
          <w:color w:val="3A5C66"/>
          <w:spacing w:val="1"/>
          <w:w w:val="110"/>
        </w:rPr>
        <w:t xml:space="preserve"> </w:t>
      </w:r>
      <w:r>
        <w:rPr>
          <w:color w:val="3A5C66"/>
          <w:spacing w:val="-2"/>
          <w:w w:val="110"/>
        </w:rPr>
        <w:t>debates</w:t>
      </w:r>
    </w:p>
    <w:p w:rsidR="00B84CED" w:rsidRDefault="00794452" w14:paraId="247DC936" w14:textId="77777777">
      <w:pPr>
        <w:pStyle w:val="BodyText"/>
        <w:spacing w:before="133"/>
        <w:ind w:left="1"/>
      </w:pPr>
      <w:r>
        <w:rPr>
          <w:w w:val="110"/>
        </w:rPr>
        <w:t>Transcripts</w:t>
      </w:r>
      <w:r>
        <w:rPr>
          <w:spacing w:val="-7"/>
          <w:w w:val="110"/>
        </w:rPr>
        <w:t xml:space="preserve"> </w:t>
      </w:r>
      <w:r>
        <w:rPr>
          <w:w w:val="110"/>
        </w:rPr>
        <w:t>of</w:t>
      </w:r>
      <w:r>
        <w:rPr>
          <w:spacing w:val="-5"/>
          <w:w w:val="110"/>
        </w:rPr>
        <w:t xml:space="preserve"> </w:t>
      </w:r>
      <w:r>
        <w:rPr>
          <w:w w:val="110"/>
        </w:rPr>
        <w:t>Committee</w:t>
      </w:r>
      <w:r>
        <w:rPr>
          <w:spacing w:val="-5"/>
          <w:w w:val="110"/>
        </w:rPr>
        <w:t xml:space="preserve"> </w:t>
      </w:r>
      <w:r>
        <w:rPr>
          <w:w w:val="110"/>
        </w:rPr>
        <w:t>debates</w:t>
      </w:r>
      <w:r>
        <w:rPr>
          <w:spacing w:val="-6"/>
          <w:w w:val="110"/>
        </w:rPr>
        <w:t xml:space="preserve"> </w:t>
      </w:r>
      <w:r>
        <w:rPr>
          <w:w w:val="110"/>
        </w:rPr>
        <w:t>can</w:t>
      </w:r>
      <w:r>
        <w:rPr>
          <w:spacing w:val="-6"/>
          <w:w w:val="110"/>
        </w:rPr>
        <w:t xml:space="preserve"> </w:t>
      </w:r>
      <w:r>
        <w:rPr>
          <w:w w:val="110"/>
        </w:rPr>
        <w:t>be</w:t>
      </w:r>
      <w:r>
        <w:rPr>
          <w:spacing w:val="-7"/>
          <w:w w:val="110"/>
        </w:rPr>
        <w:t xml:space="preserve"> </w:t>
      </w:r>
      <w:r>
        <w:rPr>
          <w:w w:val="110"/>
        </w:rPr>
        <w:t>found</w:t>
      </w:r>
      <w:r>
        <w:rPr>
          <w:spacing w:val="-9"/>
          <w:w w:val="110"/>
        </w:rPr>
        <w:t xml:space="preserve"> </w:t>
      </w:r>
      <w:r>
        <w:rPr>
          <w:w w:val="110"/>
        </w:rPr>
        <w:t>on</w:t>
      </w:r>
      <w:r>
        <w:rPr>
          <w:spacing w:val="-6"/>
          <w:w w:val="110"/>
        </w:rPr>
        <w:t xml:space="preserve"> </w:t>
      </w:r>
      <w:r>
        <w:rPr>
          <w:w w:val="110"/>
        </w:rPr>
        <w:t>the</w:t>
      </w:r>
      <w:r>
        <w:rPr>
          <w:spacing w:val="-7"/>
          <w:w w:val="110"/>
        </w:rPr>
        <w:t xml:space="preserve"> </w:t>
      </w:r>
      <w:r>
        <w:rPr>
          <w:w w:val="110"/>
        </w:rPr>
        <w:t>Committee</w:t>
      </w:r>
      <w:r>
        <w:rPr>
          <w:spacing w:val="-4"/>
          <w:w w:val="110"/>
        </w:rPr>
        <w:t xml:space="preserve"> </w:t>
      </w:r>
      <w:r>
        <w:rPr>
          <w:w w:val="110"/>
        </w:rPr>
        <w:t>debates</w:t>
      </w:r>
      <w:r>
        <w:rPr>
          <w:spacing w:val="-5"/>
          <w:w w:val="110"/>
        </w:rPr>
        <w:t xml:space="preserve"> </w:t>
      </w:r>
      <w:r>
        <w:rPr>
          <w:w w:val="110"/>
        </w:rPr>
        <w:t>page</w:t>
      </w:r>
      <w:r>
        <w:rPr>
          <w:spacing w:val="-4"/>
          <w:w w:val="110"/>
        </w:rPr>
        <w:t xml:space="preserve"> </w:t>
      </w:r>
      <w:hyperlink r:id="rId3">
        <w:r>
          <w:rPr>
            <w:color w:val="0000FF"/>
            <w:spacing w:val="-2"/>
            <w:w w:val="110"/>
            <w:u w:val="single" w:color="0000FF"/>
          </w:rPr>
          <w:t>here</w:t>
        </w:r>
      </w:hyperlink>
      <w:r>
        <w:rPr>
          <w:spacing w:val="-2"/>
          <w:w w:val="110"/>
        </w:rPr>
        <w:t>.</w:t>
      </w:r>
    </w:p>
    <w:p w:rsidR="00B84CED" w:rsidRDefault="00B84CED" w14:paraId="089CD21F" w14:textId="77777777">
      <w:pPr>
        <w:pStyle w:val="BodyText"/>
        <w:spacing w:before="22"/>
      </w:pPr>
    </w:p>
    <w:p w:rsidR="00B84CED" w:rsidRDefault="00794452" w14:paraId="033596E7" w14:textId="77777777">
      <w:pPr>
        <w:pStyle w:val="BodyText"/>
        <w:ind w:left="1"/>
      </w:pPr>
      <w:bookmarkStart w:name="Contact_details" w:id="7"/>
      <w:bookmarkEnd w:id="7"/>
      <w:r>
        <w:rPr>
          <w:color w:val="3A5C66"/>
          <w:w w:val="110"/>
        </w:rPr>
        <w:t>Contact</w:t>
      </w:r>
      <w:r>
        <w:rPr>
          <w:color w:val="3A5C66"/>
          <w:spacing w:val="-6"/>
          <w:w w:val="110"/>
        </w:rPr>
        <w:t xml:space="preserve"> </w:t>
      </w:r>
      <w:r>
        <w:rPr>
          <w:color w:val="3A5C66"/>
          <w:spacing w:val="-2"/>
          <w:w w:val="110"/>
        </w:rPr>
        <w:t>details</w:t>
      </w:r>
    </w:p>
    <w:p w:rsidR="00B84CED" w:rsidRDefault="00794452" w14:paraId="39EAD2C4" w14:textId="77777777">
      <w:pPr>
        <w:pStyle w:val="BodyText"/>
        <w:spacing w:before="132"/>
        <w:ind w:left="1"/>
      </w:pPr>
      <w:r>
        <w:rPr>
          <w:w w:val="110"/>
        </w:rPr>
        <w:t>The</w:t>
      </w:r>
      <w:r>
        <w:rPr>
          <w:spacing w:val="-10"/>
          <w:w w:val="110"/>
        </w:rPr>
        <w:t xml:space="preserve"> </w:t>
      </w:r>
      <w:r>
        <w:rPr>
          <w:w w:val="110"/>
        </w:rPr>
        <w:t>contact</w:t>
      </w:r>
      <w:r>
        <w:rPr>
          <w:spacing w:val="-9"/>
          <w:w w:val="110"/>
        </w:rPr>
        <w:t xml:space="preserve"> </w:t>
      </w:r>
      <w:r>
        <w:rPr>
          <w:w w:val="110"/>
        </w:rPr>
        <w:t>details</w:t>
      </w:r>
      <w:r>
        <w:rPr>
          <w:spacing w:val="-10"/>
          <w:w w:val="110"/>
        </w:rPr>
        <w:t xml:space="preserve"> </w:t>
      </w:r>
      <w:r>
        <w:rPr>
          <w:w w:val="110"/>
        </w:rPr>
        <w:t>for</w:t>
      </w:r>
      <w:r>
        <w:rPr>
          <w:spacing w:val="-8"/>
          <w:w w:val="110"/>
        </w:rPr>
        <w:t xml:space="preserve"> </w:t>
      </w:r>
      <w:r>
        <w:rPr>
          <w:w w:val="110"/>
        </w:rPr>
        <w:t>the</w:t>
      </w:r>
      <w:r>
        <w:rPr>
          <w:spacing w:val="-7"/>
          <w:w w:val="110"/>
        </w:rPr>
        <w:t xml:space="preserve"> </w:t>
      </w:r>
      <w:r>
        <w:rPr>
          <w:w w:val="110"/>
        </w:rPr>
        <w:t>Committee</w:t>
      </w:r>
      <w:r>
        <w:rPr>
          <w:spacing w:val="-7"/>
          <w:w w:val="110"/>
        </w:rPr>
        <w:t xml:space="preserve"> </w:t>
      </w:r>
      <w:r>
        <w:rPr>
          <w:w w:val="110"/>
        </w:rPr>
        <w:t>can</w:t>
      </w:r>
      <w:r>
        <w:rPr>
          <w:spacing w:val="-8"/>
          <w:w w:val="110"/>
        </w:rPr>
        <w:t xml:space="preserve"> </w:t>
      </w:r>
      <w:r>
        <w:rPr>
          <w:w w:val="110"/>
        </w:rPr>
        <w:t>be</w:t>
      </w:r>
      <w:r>
        <w:rPr>
          <w:spacing w:val="-7"/>
          <w:w w:val="110"/>
        </w:rPr>
        <w:t xml:space="preserve"> </w:t>
      </w:r>
      <w:r>
        <w:rPr>
          <w:w w:val="110"/>
        </w:rPr>
        <w:t>found</w:t>
      </w:r>
      <w:r>
        <w:rPr>
          <w:spacing w:val="-9"/>
          <w:w w:val="110"/>
        </w:rPr>
        <w:t xml:space="preserve"> </w:t>
      </w:r>
      <w:r>
        <w:rPr>
          <w:w w:val="110"/>
        </w:rPr>
        <w:t>on</w:t>
      </w:r>
      <w:r>
        <w:rPr>
          <w:spacing w:val="-9"/>
          <w:w w:val="110"/>
        </w:rPr>
        <w:t xml:space="preserve"> </w:t>
      </w:r>
      <w:r>
        <w:rPr>
          <w:w w:val="110"/>
        </w:rPr>
        <w:t>the</w:t>
      </w:r>
      <w:r>
        <w:rPr>
          <w:spacing w:val="-10"/>
          <w:w w:val="110"/>
        </w:rPr>
        <w:t xml:space="preserve"> </w:t>
      </w:r>
      <w:r>
        <w:rPr>
          <w:w w:val="110"/>
        </w:rPr>
        <w:t>Committee</w:t>
      </w:r>
      <w:r>
        <w:rPr>
          <w:spacing w:val="-7"/>
          <w:w w:val="110"/>
        </w:rPr>
        <w:t xml:space="preserve"> </w:t>
      </w:r>
      <w:r>
        <w:rPr>
          <w:w w:val="110"/>
        </w:rPr>
        <w:t>page</w:t>
      </w:r>
      <w:r>
        <w:rPr>
          <w:spacing w:val="-9"/>
          <w:w w:val="110"/>
        </w:rPr>
        <w:t xml:space="preserve"> </w:t>
      </w:r>
      <w:hyperlink r:id="rId4">
        <w:r>
          <w:rPr>
            <w:color w:val="0000FF"/>
            <w:spacing w:val="-4"/>
            <w:w w:val="110"/>
            <w:u w:val="single" w:color="0000FF"/>
          </w:rPr>
          <w:t>here</w:t>
        </w:r>
      </w:hyperlink>
    </w:p>
    <w:p w:rsidR="00B84CED" w:rsidRDefault="00794452" w14:paraId="00A4818D" w14:textId="77777777">
      <w:pPr>
        <w:pStyle w:val="BodyText"/>
        <w:spacing w:before="202"/>
        <w:ind w:left="1"/>
      </w:pPr>
      <w:bookmarkStart w:name="Orders_of_Reference" w:id="8"/>
      <w:bookmarkEnd w:id="8"/>
      <w:r>
        <w:rPr>
          <w:color w:val="3A5C66"/>
          <w:w w:val="110"/>
        </w:rPr>
        <w:t>Orders</w:t>
      </w:r>
      <w:r>
        <w:rPr>
          <w:color w:val="3A5C66"/>
          <w:spacing w:val="-10"/>
          <w:w w:val="110"/>
        </w:rPr>
        <w:t xml:space="preserve"> </w:t>
      </w:r>
      <w:r>
        <w:rPr>
          <w:color w:val="3A5C66"/>
          <w:w w:val="110"/>
        </w:rPr>
        <w:t>of</w:t>
      </w:r>
      <w:r>
        <w:rPr>
          <w:color w:val="3A5C66"/>
          <w:spacing w:val="-9"/>
          <w:w w:val="110"/>
        </w:rPr>
        <w:t xml:space="preserve"> </w:t>
      </w:r>
      <w:r>
        <w:rPr>
          <w:color w:val="3A5C66"/>
          <w:spacing w:val="-2"/>
          <w:w w:val="110"/>
        </w:rPr>
        <w:t>Reference</w:t>
      </w:r>
    </w:p>
    <w:p w:rsidR="00B84CED" w:rsidRDefault="00794452" w14:paraId="420AA842" w14:textId="77777777">
      <w:pPr>
        <w:pStyle w:val="BodyText"/>
        <w:spacing w:before="130"/>
        <w:ind w:left="1"/>
      </w:pPr>
      <w:r>
        <w:rPr>
          <w:w w:val="110"/>
        </w:rPr>
        <w:t>Read</w:t>
      </w:r>
      <w:r>
        <w:rPr>
          <w:spacing w:val="-8"/>
          <w:w w:val="110"/>
        </w:rPr>
        <w:t xml:space="preserve"> </w:t>
      </w:r>
      <w:r>
        <w:rPr>
          <w:w w:val="110"/>
        </w:rPr>
        <w:t>the</w:t>
      </w:r>
      <w:r>
        <w:rPr>
          <w:spacing w:val="-6"/>
          <w:w w:val="110"/>
        </w:rPr>
        <w:t xml:space="preserve"> </w:t>
      </w:r>
      <w:hyperlink r:id="rId5">
        <w:r>
          <w:rPr>
            <w:color w:val="0000FF"/>
            <w:w w:val="110"/>
            <w:u w:val="single" w:color="0000FF"/>
          </w:rPr>
          <w:t>Orders</w:t>
        </w:r>
        <w:r>
          <w:rPr>
            <w:color w:val="0000FF"/>
            <w:spacing w:val="-9"/>
            <w:w w:val="110"/>
            <w:u w:val="single" w:color="0000FF"/>
          </w:rPr>
          <w:t xml:space="preserve"> </w:t>
        </w:r>
        <w:r>
          <w:rPr>
            <w:color w:val="0000FF"/>
            <w:w w:val="110"/>
            <w:u w:val="single" w:color="0000FF"/>
          </w:rPr>
          <w:t>of</w:t>
        </w:r>
        <w:r>
          <w:rPr>
            <w:color w:val="0000FF"/>
            <w:spacing w:val="-8"/>
            <w:w w:val="110"/>
            <w:u w:val="single" w:color="0000FF"/>
          </w:rPr>
          <w:t xml:space="preserve"> </w:t>
        </w:r>
        <w:r>
          <w:rPr>
            <w:color w:val="0000FF"/>
            <w:w w:val="110"/>
            <w:u w:val="single" w:color="0000FF"/>
          </w:rPr>
          <w:t>Reference</w:t>
        </w:r>
      </w:hyperlink>
      <w:r>
        <w:rPr>
          <w:color w:val="0000FF"/>
          <w:spacing w:val="-9"/>
          <w:w w:val="110"/>
        </w:rPr>
        <w:t xml:space="preserve"> </w:t>
      </w:r>
      <w:r>
        <w:rPr>
          <w:w w:val="110"/>
        </w:rPr>
        <w:t>for</w:t>
      </w:r>
      <w:r>
        <w:rPr>
          <w:spacing w:val="-7"/>
          <w:w w:val="110"/>
        </w:rPr>
        <w:t xml:space="preserve"> </w:t>
      </w:r>
      <w:r>
        <w:rPr>
          <w:w w:val="110"/>
        </w:rPr>
        <w:t>the</w:t>
      </w:r>
      <w:r>
        <w:rPr>
          <w:spacing w:val="-6"/>
          <w:w w:val="110"/>
        </w:rPr>
        <w:t xml:space="preserve"> </w:t>
      </w:r>
      <w:r>
        <w:rPr>
          <w:spacing w:val="-2"/>
          <w:w w:val="110"/>
        </w:rPr>
        <w:t>Committee.</w:t>
      </w:r>
    </w:p>
    <w:p w:rsidR="00B84CED" w:rsidRDefault="00B84CED" w14:paraId="2DE5C1FF" w14:textId="77777777">
      <w:pPr>
        <w:pStyle w:val="BodyText"/>
        <w:sectPr w:rsidR="00B84CED" w:rsidSect="00196DB0">
          <w:footerReference w:type="even" r:id="R9f31f3d0e1274292"/>
          <w:footerReference w:type="first" r:id="R392a8e5502f44929"/>
          <w:headerReference w:type="even" r:id="R077236c20a9c4916"/>
          <w:headerReference w:type="first" r:id="R4bb95d0f351440c2"/>
          <w:pgSz w:w="11907" w:h="16839"/>
          <w:pgMar w:top="1134" w:right="1134" w:bottom="1134" w:left="1134" w:header="567" w:footer="567" w:gutter="0"/>
          <w:cols w:space="720"/>
          <w:docGrid w:linePitch="299"/>
        </w:sectPr>
      </w:pPr>
    </w:p>
    <w:p w:rsidR="00B84CED" w:rsidRDefault="00794452" w14:paraId="625026A8" w14:textId="77777777">
      <w:pPr>
        <w:pStyle w:val="Heading1"/>
        <w:spacing w:before="98"/>
      </w:pPr>
      <w:bookmarkStart w:name="Committee_Membership" w:id="9"/>
      <w:bookmarkStart w:name="_bookmark1" w:id="10"/>
      <w:bookmarkEnd w:id="9"/>
      <w:bookmarkEnd w:id="10"/>
      <w:r>
        <w:rPr>
          <w:color w:val="3A5C66"/>
          <w:spacing w:val="-11"/>
        </w:rPr>
        <w:lastRenderedPageBreak/>
        <w:t>Committee</w:t>
      </w:r>
      <w:r>
        <w:rPr>
          <w:color w:val="3A5C66"/>
          <w:spacing w:val="-6"/>
        </w:rPr>
        <w:t xml:space="preserve"> </w:t>
      </w:r>
      <w:r>
        <w:rPr>
          <w:color w:val="3A5C66"/>
          <w:spacing w:val="-2"/>
        </w:rPr>
        <w:t>Membership</w:t>
      </w:r>
    </w:p>
    <w:p w:rsidR="00B84CED" w:rsidRDefault="00794452" w14:paraId="37E7DEC3" w14:textId="77777777">
      <w:pPr>
        <w:spacing w:before="236"/>
        <w:ind w:left="1"/>
        <w:rPr>
          <w:sz w:val="26"/>
        </w:rPr>
      </w:pPr>
      <w:bookmarkStart w:name="Cathaoirleach" w:id="11"/>
      <w:bookmarkEnd w:id="11"/>
      <w:r>
        <w:rPr>
          <w:color w:val="3A5C66"/>
          <w:spacing w:val="-2"/>
          <w:w w:val="110"/>
          <w:sz w:val="26"/>
        </w:rPr>
        <w:t>Cathaoirleach</w:t>
      </w:r>
    </w:p>
    <w:p w:rsidR="00B84CED" w:rsidRDefault="00794452" w14:paraId="5559AF9D" w14:textId="77777777">
      <w:pPr>
        <w:pStyle w:val="BodyText"/>
        <w:spacing w:before="126"/>
        <w:ind w:left="1"/>
      </w:pPr>
      <w:hyperlink r:id="rId6">
        <w:r>
          <w:rPr>
            <w:color w:val="0000FF"/>
            <w:w w:val="110"/>
            <w:u w:val="single" w:color="0000FF"/>
          </w:rPr>
          <w:t>Mairéad</w:t>
        </w:r>
        <w:r>
          <w:rPr>
            <w:color w:val="0000FF"/>
            <w:spacing w:val="-6"/>
            <w:w w:val="110"/>
            <w:u w:val="single" w:color="0000FF"/>
          </w:rPr>
          <w:t xml:space="preserve"> </w:t>
        </w:r>
        <w:r>
          <w:rPr>
            <w:color w:val="0000FF"/>
            <w:w w:val="110"/>
            <w:u w:val="single" w:color="0000FF"/>
          </w:rPr>
          <w:t>Farrell</w:t>
        </w:r>
        <w:r>
          <w:rPr>
            <w:color w:val="0000FF"/>
            <w:spacing w:val="-8"/>
            <w:w w:val="110"/>
            <w:u w:val="single" w:color="0000FF"/>
          </w:rPr>
          <w:t xml:space="preserve"> </w:t>
        </w:r>
        <w:r>
          <w:rPr>
            <w:color w:val="0000FF"/>
            <w:w w:val="110"/>
            <w:u w:val="single" w:color="0000FF"/>
          </w:rPr>
          <w:t>TD</w:t>
        </w:r>
      </w:hyperlink>
      <w:r>
        <w:rPr>
          <w:w w:val="110"/>
        </w:rPr>
        <w:t>,</w:t>
      </w:r>
      <w:r>
        <w:rPr>
          <w:spacing w:val="-5"/>
          <w:w w:val="110"/>
        </w:rPr>
        <w:t xml:space="preserve"> </w:t>
      </w:r>
      <w:r>
        <w:rPr>
          <w:w w:val="110"/>
        </w:rPr>
        <w:t>Sinn</w:t>
      </w:r>
      <w:r>
        <w:rPr>
          <w:spacing w:val="-9"/>
          <w:w w:val="110"/>
        </w:rPr>
        <w:t xml:space="preserve"> </w:t>
      </w:r>
      <w:r>
        <w:rPr>
          <w:spacing w:val="-4"/>
          <w:w w:val="110"/>
        </w:rPr>
        <w:t>Féin</w:t>
      </w:r>
    </w:p>
    <w:p w:rsidR="00B84CED" w:rsidRDefault="00B84CED" w14:paraId="6CB2EC87" w14:textId="77777777">
      <w:pPr>
        <w:pStyle w:val="BodyText"/>
        <w:spacing w:before="66"/>
      </w:pPr>
    </w:p>
    <w:p w:rsidR="00B84CED" w:rsidRDefault="00794452" w14:paraId="2728F6B9" w14:textId="77777777">
      <w:pPr>
        <w:ind w:left="1"/>
        <w:rPr>
          <w:sz w:val="26"/>
        </w:rPr>
      </w:pPr>
      <w:bookmarkStart w:name="Leas-Cathaoirleach" w:id="12"/>
      <w:bookmarkEnd w:id="12"/>
      <w:r>
        <w:rPr>
          <w:color w:val="3A5C66"/>
          <w:w w:val="115"/>
          <w:sz w:val="26"/>
        </w:rPr>
        <w:t>Leas-</w:t>
      </w:r>
      <w:r>
        <w:rPr>
          <w:color w:val="3A5C66"/>
          <w:spacing w:val="-2"/>
          <w:w w:val="115"/>
          <w:sz w:val="26"/>
        </w:rPr>
        <w:t>Cathaoirleach</w:t>
      </w:r>
    </w:p>
    <w:p w:rsidR="00B84CED" w:rsidRDefault="00794452" w14:paraId="698DDE76" w14:textId="77777777">
      <w:pPr>
        <w:pStyle w:val="BodyText"/>
        <w:spacing w:before="124"/>
        <w:ind w:left="1"/>
      </w:pPr>
      <w:hyperlink r:id="rId7">
        <w:r>
          <w:rPr>
            <w:color w:val="0000FF"/>
            <w:w w:val="110"/>
            <w:u w:val="single" w:color="0000FF"/>
          </w:rPr>
          <w:t>Edward</w:t>
        </w:r>
        <w:r>
          <w:rPr>
            <w:color w:val="0000FF"/>
            <w:spacing w:val="-2"/>
            <w:w w:val="110"/>
            <w:u w:val="single" w:color="0000FF"/>
          </w:rPr>
          <w:t xml:space="preserve"> </w:t>
        </w:r>
        <w:r>
          <w:rPr>
            <w:color w:val="0000FF"/>
            <w:w w:val="110"/>
            <w:u w:val="single" w:color="0000FF"/>
          </w:rPr>
          <w:t>Timmins</w:t>
        </w:r>
        <w:r>
          <w:rPr>
            <w:color w:val="0000FF"/>
            <w:spacing w:val="2"/>
            <w:w w:val="110"/>
            <w:u w:val="single" w:color="0000FF"/>
          </w:rPr>
          <w:t xml:space="preserve"> </w:t>
        </w:r>
        <w:r>
          <w:rPr>
            <w:color w:val="0000FF"/>
            <w:w w:val="110"/>
            <w:u w:val="single" w:color="0000FF"/>
          </w:rPr>
          <w:t>TD</w:t>
        </w:r>
      </w:hyperlink>
      <w:r>
        <w:rPr>
          <w:w w:val="110"/>
        </w:rPr>
        <w:t>,</w:t>
      </w:r>
      <w:r>
        <w:rPr>
          <w:spacing w:val="3"/>
          <w:w w:val="110"/>
        </w:rPr>
        <w:t xml:space="preserve"> </w:t>
      </w:r>
      <w:r>
        <w:rPr>
          <w:w w:val="110"/>
        </w:rPr>
        <w:t>Fine</w:t>
      </w:r>
      <w:r>
        <w:rPr>
          <w:spacing w:val="3"/>
          <w:w w:val="110"/>
        </w:rPr>
        <w:t xml:space="preserve"> </w:t>
      </w:r>
      <w:r>
        <w:rPr>
          <w:spacing w:val="-4"/>
          <w:w w:val="110"/>
        </w:rPr>
        <w:t>Gael</w:t>
      </w:r>
    </w:p>
    <w:p w:rsidR="00B84CED" w:rsidRDefault="00B84CED" w14:paraId="029C4B1C" w14:textId="77777777">
      <w:pPr>
        <w:pStyle w:val="BodyText"/>
        <w:spacing w:before="67"/>
      </w:pPr>
    </w:p>
    <w:p w:rsidR="00B84CED" w:rsidRDefault="00794452" w14:paraId="40FA1669" w14:textId="77777777">
      <w:pPr>
        <w:spacing w:before="1"/>
        <w:ind w:left="1"/>
        <w:rPr>
          <w:sz w:val="26"/>
        </w:rPr>
      </w:pPr>
      <w:bookmarkStart w:name="Members" w:id="13"/>
      <w:bookmarkEnd w:id="13"/>
      <w:r>
        <w:rPr>
          <w:color w:val="3A5C66"/>
          <w:spacing w:val="-2"/>
          <w:w w:val="110"/>
          <w:sz w:val="26"/>
        </w:rPr>
        <w:t>Members</w:t>
      </w:r>
    </w:p>
    <w:p w:rsidR="00B84CED" w:rsidRDefault="00794452" w14:paraId="553A9E8D" w14:textId="77777777">
      <w:pPr>
        <w:pStyle w:val="BodyText"/>
        <w:spacing w:before="124" w:line="501" w:lineRule="auto"/>
        <w:ind w:left="1" w:right="6365"/>
      </w:pPr>
      <w:hyperlink r:id="rId8">
        <w:r>
          <w:rPr>
            <w:color w:val="0000FF"/>
            <w:w w:val="110"/>
            <w:u w:val="single" w:color="0000FF"/>
          </w:rPr>
          <w:t>Shay Brennan TD</w:t>
        </w:r>
      </w:hyperlink>
      <w:r>
        <w:rPr>
          <w:w w:val="110"/>
        </w:rPr>
        <w:t xml:space="preserve">, Fianna Fáil </w:t>
      </w:r>
      <w:hyperlink r:id="rId9">
        <w:r>
          <w:rPr>
            <w:color w:val="0000FF"/>
            <w:w w:val="110"/>
            <w:u w:val="single" w:color="0000FF"/>
          </w:rPr>
          <w:t>Colm Burke TD</w:t>
        </w:r>
      </w:hyperlink>
      <w:r>
        <w:rPr>
          <w:w w:val="110"/>
        </w:rPr>
        <w:t xml:space="preserve">, Fine Gael </w:t>
      </w:r>
      <w:hyperlink r:id="rId10">
        <w:r>
          <w:rPr>
            <w:color w:val="0000FF"/>
            <w:w w:val="110"/>
            <w:u w:val="single" w:color="0000FF"/>
          </w:rPr>
          <w:t>Pearse Doherty TD</w:t>
        </w:r>
      </w:hyperlink>
      <w:r>
        <w:rPr>
          <w:w w:val="110"/>
        </w:rPr>
        <w:t xml:space="preserve">, Sinn Féin </w:t>
      </w:r>
      <w:hyperlink r:id="rId11">
        <w:r>
          <w:rPr>
            <w:color w:val="0000FF"/>
            <w:w w:val="110"/>
            <w:u w:val="single" w:color="0000FF"/>
          </w:rPr>
          <w:t>Erin</w:t>
        </w:r>
        <w:r>
          <w:rPr>
            <w:color w:val="0000FF"/>
            <w:spacing w:val="-10"/>
            <w:w w:val="110"/>
            <w:u w:val="single" w:color="0000FF"/>
          </w:rPr>
          <w:t xml:space="preserve"> </w:t>
        </w:r>
        <w:r>
          <w:rPr>
            <w:color w:val="0000FF"/>
            <w:w w:val="110"/>
            <w:u w:val="single" w:color="0000FF"/>
          </w:rPr>
          <w:t>McGreehan</w:t>
        </w:r>
        <w:r>
          <w:rPr>
            <w:color w:val="0000FF"/>
            <w:spacing w:val="-10"/>
            <w:w w:val="110"/>
            <w:u w:val="single" w:color="0000FF"/>
          </w:rPr>
          <w:t xml:space="preserve"> </w:t>
        </w:r>
        <w:r>
          <w:rPr>
            <w:color w:val="0000FF"/>
            <w:w w:val="110"/>
            <w:u w:val="single" w:color="0000FF"/>
          </w:rPr>
          <w:t>TD</w:t>
        </w:r>
      </w:hyperlink>
      <w:r>
        <w:rPr>
          <w:w w:val="110"/>
        </w:rPr>
        <w:t>,</w:t>
      </w:r>
      <w:r>
        <w:rPr>
          <w:spacing w:val="-8"/>
          <w:w w:val="110"/>
        </w:rPr>
        <w:t xml:space="preserve"> </w:t>
      </w:r>
      <w:r>
        <w:rPr>
          <w:w w:val="110"/>
        </w:rPr>
        <w:t>Fianna</w:t>
      </w:r>
      <w:r>
        <w:rPr>
          <w:spacing w:val="-8"/>
          <w:w w:val="110"/>
        </w:rPr>
        <w:t xml:space="preserve"> </w:t>
      </w:r>
      <w:r>
        <w:rPr>
          <w:w w:val="110"/>
        </w:rPr>
        <w:t>Fáil</w:t>
      </w:r>
    </w:p>
    <w:p w:rsidR="00B84CED" w:rsidRDefault="00794452" w14:paraId="44E160FD" w14:textId="77777777">
      <w:pPr>
        <w:pStyle w:val="BodyText"/>
        <w:spacing w:line="501" w:lineRule="auto"/>
        <w:ind w:left="1" w:right="6145"/>
      </w:pPr>
      <w:hyperlink r:id="rId12">
        <w:r>
          <w:rPr>
            <w:color w:val="0000FF"/>
            <w:w w:val="110"/>
            <w:u w:val="single" w:color="0000FF"/>
          </w:rPr>
          <w:t>Aindrias</w:t>
        </w:r>
        <w:r>
          <w:rPr>
            <w:color w:val="0000FF"/>
            <w:spacing w:val="-10"/>
            <w:w w:val="110"/>
            <w:u w:val="single" w:color="0000FF"/>
          </w:rPr>
          <w:t xml:space="preserve"> </w:t>
        </w:r>
        <w:r>
          <w:rPr>
            <w:color w:val="0000FF"/>
            <w:w w:val="110"/>
            <w:u w:val="single" w:color="0000FF"/>
          </w:rPr>
          <w:t>Moynihan</w:t>
        </w:r>
        <w:r>
          <w:rPr>
            <w:color w:val="0000FF"/>
            <w:spacing w:val="-12"/>
            <w:w w:val="110"/>
            <w:u w:val="single" w:color="0000FF"/>
          </w:rPr>
          <w:t xml:space="preserve"> </w:t>
        </w:r>
        <w:r>
          <w:rPr>
            <w:color w:val="0000FF"/>
            <w:w w:val="110"/>
            <w:u w:val="single" w:color="0000FF"/>
          </w:rPr>
          <w:t>TD</w:t>
        </w:r>
      </w:hyperlink>
      <w:r>
        <w:rPr>
          <w:w w:val="110"/>
        </w:rPr>
        <w:t>,</w:t>
      </w:r>
      <w:r>
        <w:rPr>
          <w:spacing w:val="-11"/>
          <w:w w:val="110"/>
        </w:rPr>
        <w:t xml:space="preserve"> </w:t>
      </w:r>
      <w:r>
        <w:rPr>
          <w:w w:val="110"/>
        </w:rPr>
        <w:t>Fianna</w:t>
      </w:r>
      <w:r>
        <w:rPr>
          <w:spacing w:val="-10"/>
          <w:w w:val="110"/>
        </w:rPr>
        <w:t xml:space="preserve"> </w:t>
      </w:r>
      <w:r>
        <w:rPr>
          <w:w w:val="110"/>
        </w:rPr>
        <w:t xml:space="preserve">Fáil </w:t>
      </w:r>
      <w:hyperlink r:id="rId13">
        <w:r>
          <w:rPr>
            <w:color w:val="0000FF"/>
            <w:w w:val="110"/>
            <w:u w:val="single" w:color="0000FF"/>
          </w:rPr>
          <w:t>Ged Nash TD</w:t>
        </w:r>
      </w:hyperlink>
      <w:r>
        <w:rPr>
          <w:w w:val="110"/>
        </w:rPr>
        <w:t>, Labour</w:t>
      </w:r>
    </w:p>
    <w:p w:rsidR="00B84CED" w:rsidRDefault="00794452" w14:paraId="1552949E" w14:textId="77777777">
      <w:pPr>
        <w:pStyle w:val="BodyText"/>
        <w:spacing w:line="501" w:lineRule="auto"/>
        <w:ind w:left="1" w:right="5638"/>
      </w:pPr>
      <w:hyperlink r:id="rId14">
        <w:r>
          <w:rPr>
            <w:color w:val="0000FF"/>
            <w:w w:val="110"/>
            <w:u w:val="single" w:color="0000FF"/>
          </w:rPr>
          <w:t>Cian O'Callaghan TD</w:t>
        </w:r>
      </w:hyperlink>
      <w:r>
        <w:rPr>
          <w:w w:val="110"/>
        </w:rPr>
        <w:t xml:space="preserve">, Social Democrats </w:t>
      </w:r>
      <w:hyperlink r:id="rId15">
        <w:r>
          <w:rPr>
            <w:color w:val="0000FF"/>
            <w:w w:val="110"/>
            <w:u w:val="single" w:color="0000FF"/>
          </w:rPr>
          <w:t>Senator Cathal Byrne</w:t>
        </w:r>
      </w:hyperlink>
      <w:r>
        <w:rPr>
          <w:w w:val="110"/>
        </w:rPr>
        <w:t xml:space="preserve">, Fine Gael </w:t>
      </w:r>
      <w:hyperlink r:id="rId16">
        <w:r>
          <w:rPr>
            <w:color w:val="0000FF"/>
            <w:w w:val="110"/>
            <w:u w:val="single" w:color="0000FF"/>
          </w:rPr>
          <w:t>Senator Pat Casey</w:t>
        </w:r>
      </w:hyperlink>
      <w:r>
        <w:rPr>
          <w:w w:val="110"/>
        </w:rPr>
        <w:t>, Fianna Fáil</w:t>
      </w:r>
    </w:p>
    <w:p w:rsidR="00B84CED" w:rsidRDefault="00794452" w14:paraId="1C1C288C" w14:textId="77777777">
      <w:pPr>
        <w:pStyle w:val="BodyText"/>
        <w:spacing w:line="499" w:lineRule="auto"/>
        <w:ind w:left="1" w:right="4712"/>
      </w:pPr>
      <w:hyperlink r:id="rId17">
        <w:r>
          <w:rPr>
            <w:color w:val="0000FF"/>
            <w:w w:val="110"/>
            <w:u w:val="single" w:color="0000FF"/>
          </w:rPr>
          <w:t>Senator</w:t>
        </w:r>
        <w:r>
          <w:rPr>
            <w:color w:val="0000FF"/>
            <w:spacing w:val="-2"/>
            <w:w w:val="110"/>
            <w:u w:val="single" w:color="0000FF"/>
          </w:rPr>
          <w:t xml:space="preserve"> </w:t>
        </w:r>
        <w:r>
          <w:rPr>
            <w:color w:val="0000FF"/>
            <w:w w:val="110"/>
            <w:u w:val="single" w:color="0000FF"/>
          </w:rPr>
          <w:t>Alice-Mary</w:t>
        </w:r>
        <w:r>
          <w:rPr>
            <w:color w:val="0000FF"/>
            <w:spacing w:val="-3"/>
            <w:w w:val="110"/>
            <w:u w:val="single" w:color="0000FF"/>
          </w:rPr>
          <w:t xml:space="preserve"> </w:t>
        </w:r>
        <w:r>
          <w:rPr>
            <w:color w:val="0000FF"/>
            <w:w w:val="110"/>
            <w:u w:val="single" w:color="0000FF"/>
          </w:rPr>
          <w:t>Higgins</w:t>
        </w:r>
      </w:hyperlink>
      <w:r>
        <w:rPr>
          <w:w w:val="110"/>
        </w:rPr>
        <w:t xml:space="preserve">, Independent </w:t>
      </w:r>
      <w:hyperlink r:id="rId18">
        <w:r>
          <w:rPr>
            <w:color w:val="0000FF"/>
            <w:w w:val="110"/>
            <w:u w:val="single" w:color="0000FF"/>
          </w:rPr>
          <w:t>Senator Conor Murphy</w:t>
        </w:r>
      </w:hyperlink>
      <w:r>
        <w:rPr>
          <w:w w:val="110"/>
        </w:rPr>
        <w:t>, Sinn Féin</w:t>
      </w:r>
    </w:p>
    <w:p w:rsidR="00B84CED" w:rsidRDefault="00794452" w14:paraId="7F4C50B5" w14:textId="77777777">
      <w:pPr>
        <w:pStyle w:val="BodyText"/>
        <w:ind w:left="1"/>
      </w:pPr>
      <w:hyperlink r:id="rId19">
        <w:r>
          <w:rPr>
            <w:color w:val="0000FF"/>
            <w:w w:val="110"/>
            <w:u w:val="single" w:color="0000FF"/>
          </w:rPr>
          <w:t>Senator</w:t>
        </w:r>
        <w:r>
          <w:rPr>
            <w:color w:val="0000FF"/>
            <w:spacing w:val="5"/>
            <w:w w:val="110"/>
            <w:u w:val="single" w:color="0000FF"/>
          </w:rPr>
          <w:t xml:space="preserve"> </w:t>
        </w:r>
        <w:r>
          <w:rPr>
            <w:color w:val="0000FF"/>
            <w:w w:val="110"/>
            <w:u w:val="single" w:color="0000FF"/>
          </w:rPr>
          <w:t>Joe</w:t>
        </w:r>
        <w:r>
          <w:rPr>
            <w:color w:val="0000FF"/>
            <w:spacing w:val="6"/>
            <w:w w:val="110"/>
            <w:u w:val="single" w:color="0000FF"/>
          </w:rPr>
          <w:t xml:space="preserve"> </w:t>
        </w:r>
        <w:r>
          <w:rPr>
            <w:color w:val="0000FF"/>
            <w:w w:val="110"/>
            <w:u w:val="single" w:color="0000FF"/>
          </w:rPr>
          <w:t>O'Reilly</w:t>
        </w:r>
      </w:hyperlink>
      <w:r>
        <w:rPr>
          <w:w w:val="110"/>
        </w:rPr>
        <w:t>,</w:t>
      </w:r>
      <w:r>
        <w:rPr>
          <w:spacing w:val="7"/>
          <w:w w:val="110"/>
        </w:rPr>
        <w:t xml:space="preserve"> </w:t>
      </w:r>
      <w:r>
        <w:rPr>
          <w:w w:val="110"/>
        </w:rPr>
        <w:t>Fine</w:t>
      </w:r>
      <w:r>
        <w:rPr>
          <w:spacing w:val="9"/>
          <w:w w:val="110"/>
        </w:rPr>
        <w:t xml:space="preserve"> </w:t>
      </w:r>
      <w:r>
        <w:rPr>
          <w:spacing w:val="-4"/>
          <w:w w:val="110"/>
        </w:rPr>
        <w:t>Gael</w:t>
      </w:r>
    </w:p>
    <w:p w:rsidR="00B84CED" w:rsidRDefault="00B84CED" w14:paraId="2DC12565" w14:textId="77777777">
      <w:pPr>
        <w:pStyle w:val="BodyText"/>
        <w:sectPr w:rsidR="00B84CED" w:rsidSect="00196DB0">
          <w:footerReference w:type="even" r:id="Rdc720041ae254b36"/>
          <w:footerReference w:type="first" r:id="R30c9f19a86844c34"/>
          <w:headerReference w:type="even" r:id="Rc7d833e67d4b47be"/>
          <w:headerReference w:type="first" r:id="R4da17e6d5d1343d2"/>
          <w:pgSz w:w="11907" w:h="16839"/>
          <w:pgMar w:top="1134" w:right="1134" w:bottom="1134" w:left="1134" w:header="567" w:footer="567" w:gutter="0"/>
          <w:cols w:space="720"/>
          <w:docGrid w:linePitch="299"/>
        </w:sectPr>
      </w:pPr>
    </w:p>
    <w:p w:rsidR="00B84CED" w:rsidRDefault="00794452" w14:paraId="65C44E0F" w14:textId="77777777">
      <w:pPr>
        <w:pStyle w:val="Heading1"/>
        <w:spacing w:before="98"/>
      </w:pPr>
      <w:bookmarkStart w:name="Forward" w:id="14"/>
      <w:bookmarkStart w:name="_bookmark2" w:id="15"/>
      <w:bookmarkEnd w:id="14"/>
      <w:bookmarkEnd w:id="15"/>
      <w:r>
        <w:rPr>
          <w:color w:val="3A5C66"/>
          <w:spacing w:val="-2"/>
          <w:w w:val="105"/>
        </w:rPr>
        <w:lastRenderedPageBreak/>
        <w:t>Forward</w:t>
      </w:r>
    </w:p>
    <w:p w:rsidR="00B84CED" w:rsidRDefault="00794452" w14:paraId="36F38265" w14:textId="77777777">
      <w:pPr>
        <w:pStyle w:val="BodyText"/>
        <w:spacing w:before="154" w:line="384" w:lineRule="auto"/>
        <w:ind w:left="1" w:right="591"/>
      </w:pPr>
      <w:r>
        <w:rPr>
          <w:w w:val="110"/>
        </w:rPr>
        <w:t>As part of its remit, the Joint Committee on Finance, Public</w:t>
      </w:r>
      <w:r>
        <w:rPr>
          <w:spacing w:val="-1"/>
          <w:w w:val="110"/>
        </w:rPr>
        <w:t xml:space="preserve"> </w:t>
      </w:r>
      <w:r>
        <w:rPr>
          <w:w w:val="110"/>
        </w:rPr>
        <w:t>Expenditure, Public Services Reform</w:t>
      </w:r>
      <w:r>
        <w:rPr>
          <w:spacing w:val="-2"/>
          <w:w w:val="110"/>
        </w:rPr>
        <w:t xml:space="preserve"> </w:t>
      </w:r>
      <w:r>
        <w:rPr>
          <w:w w:val="110"/>
        </w:rPr>
        <w:t>and Digitalisation, and Taoiseach (‘the Joint Committee’) undertakes scrutiny</w:t>
      </w:r>
      <w:r>
        <w:rPr>
          <w:spacing w:val="-1"/>
          <w:w w:val="110"/>
        </w:rPr>
        <w:t xml:space="preserve"> </w:t>
      </w:r>
      <w:r>
        <w:rPr>
          <w:w w:val="110"/>
        </w:rPr>
        <w:t>of European Union Commission legislative proposals (COMs). This report examines two legislative proposals which have been assigned to the Joint Committee for scrutiny.</w:t>
      </w:r>
    </w:p>
    <w:p w:rsidR="00B84CED" w:rsidRDefault="00B84CED" w14:paraId="36DE3A94" w14:textId="77777777">
      <w:pPr>
        <w:pStyle w:val="BodyText"/>
        <w:spacing w:before="156"/>
      </w:pPr>
    </w:p>
    <w:p w:rsidR="00B84CED" w:rsidRDefault="00794452" w14:paraId="067A0A19" w14:textId="77777777">
      <w:pPr>
        <w:pStyle w:val="BodyText"/>
        <w:spacing w:line="384" w:lineRule="auto"/>
        <w:ind w:left="1" w:right="591"/>
      </w:pPr>
      <w:r>
        <w:rPr>
          <w:w w:val="110"/>
        </w:rPr>
        <w:t>The first of these is COM(2025)122 a proposal for Council Regulation establishing the Security Action for Europe (SAFE) through the reinforcement of the European defence industry Instrument. This proposal represents one pillar of the ReArm Europe plan and seeks to provide</w:t>
      </w:r>
      <w:r>
        <w:rPr>
          <w:spacing w:val="-2"/>
          <w:w w:val="110"/>
        </w:rPr>
        <w:t xml:space="preserve"> </w:t>
      </w:r>
      <w:r>
        <w:rPr>
          <w:w w:val="110"/>
        </w:rPr>
        <w:t>a</w:t>
      </w:r>
      <w:r>
        <w:rPr>
          <w:spacing w:val="-1"/>
          <w:w w:val="110"/>
        </w:rPr>
        <w:t xml:space="preserve"> </w:t>
      </w:r>
      <w:r>
        <w:rPr>
          <w:w w:val="110"/>
        </w:rPr>
        <w:t>new</w:t>
      </w:r>
      <w:r>
        <w:rPr>
          <w:spacing w:val="-2"/>
          <w:w w:val="110"/>
        </w:rPr>
        <w:t xml:space="preserve"> </w:t>
      </w:r>
      <w:r>
        <w:rPr>
          <w:w w:val="110"/>
        </w:rPr>
        <w:t>EU</w:t>
      </w:r>
      <w:r>
        <w:rPr>
          <w:spacing w:val="-1"/>
          <w:w w:val="110"/>
        </w:rPr>
        <w:t xml:space="preserve"> </w:t>
      </w:r>
      <w:r>
        <w:rPr>
          <w:w w:val="110"/>
        </w:rPr>
        <w:t>financial instrument</w:t>
      </w:r>
      <w:r>
        <w:rPr>
          <w:spacing w:val="-1"/>
          <w:w w:val="110"/>
        </w:rPr>
        <w:t xml:space="preserve"> </w:t>
      </w:r>
      <w:r>
        <w:rPr>
          <w:w w:val="110"/>
        </w:rPr>
        <w:t>–</w:t>
      </w:r>
      <w:r>
        <w:rPr>
          <w:spacing w:val="-5"/>
          <w:w w:val="110"/>
        </w:rPr>
        <w:t xml:space="preserve"> </w:t>
      </w:r>
      <w:r>
        <w:rPr>
          <w:w w:val="110"/>
        </w:rPr>
        <w:t>the Regulation</w:t>
      </w:r>
      <w:r>
        <w:rPr>
          <w:spacing w:val="-4"/>
          <w:w w:val="110"/>
        </w:rPr>
        <w:t xml:space="preserve"> </w:t>
      </w:r>
      <w:r>
        <w:rPr>
          <w:w w:val="110"/>
        </w:rPr>
        <w:t>establishing the</w:t>
      </w:r>
      <w:r>
        <w:rPr>
          <w:spacing w:val="-2"/>
          <w:w w:val="110"/>
        </w:rPr>
        <w:t xml:space="preserve"> </w:t>
      </w:r>
      <w:r>
        <w:rPr>
          <w:w w:val="110"/>
        </w:rPr>
        <w:t>Security Action for Europe (SAFE) - to raise up to €150 billion in capital markets to support and accelerate national investments through the reinforcement of the European defence industry Instrument.</w:t>
      </w:r>
    </w:p>
    <w:p w:rsidR="00B84CED" w:rsidRDefault="00B84CED" w14:paraId="12E21BC1" w14:textId="77777777">
      <w:pPr>
        <w:pStyle w:val="BodyText"/>
        <w:spacing w:before="156"/>
      </w:pPr>
    </w:p>
    <w:p w:rsidR="00B84CED" w:rsidRDefault="00794452" w14:paraId="074F7736" w14:textId="77777777">
      <w:pPr>
        <w:pStyle w:val="BodyText"/>
        <w:spacing w:line="384" w:lineRule="auto"/>
        <w:ind w:left="1" w:right="440"/>
      </w:pPr>
      <w:r>
        <w:rPr>
          <w:w w:val="110"/>
        </w:rPr>
        <w:t>The</w:t>
      </w:r>
      <w:r>
        <w:rPr>
          <w:spacing w:val="-2"/>
          <w:w w:val="110"/>
        </w:rPr>
        <w:t xml:space="preserve"> </w:t>
      </w:r>
      <w:r>
        <w:rPr>
          <w:w w:val="110"/>
        </w:rPr>
        <w:t>second</w:t>
      </w:r>
      <w:r>
        <w:rPr>
          <w:spacing w:val="-1"/>
          <w:w w:val="110"/>
        </w:rPr>
        <w:t xml:space="preserve"> </w:t>
      </w:r>
      <w:r>
        <w:rPr>
          <w:w w:val="110"/>
        </w:rPr>
        <w:t>is COM(2025)123,</w:t>
      </w:r>
      <w:r>
        <w:rPr>
          <w:spacing w:val="-1"/>
          <w:w w:val="110"/>
        </w:rPr>
        <w:t xml:space="preserve"> </w:t>
      </w:r>
      <w:r>
        <w:rPr>
          <w:w w:val="110"/>
        </w:rPr>
        <w:t>a</w:t>
      </w:r>
      <w:r>
        <w:rPr>
          <w:spacing w:val="-1"/>
          <w:w w:val="110"/>
        </w:rPr>
        <w:t xml:space="preserve"> </w:t>
      </w:r>
      <w:r>
        <w:rPr>
          <w:w w:val="110"/>
        </w:rPr>
        <w:t>proposal</w:t>
      </w:r>
      <w:r>
        <w:rPr>
          <w:spacing w:val="-3"/>
          <w:w w:val="110"/>
        </w:rPr>
        <w:t xml:space="preserve"> </w:t>
      </w:r>
      <w:r>
        <w:rPr>
          <w:w w:val="110"/>
        </w:rPr>
        <w:t>for a</w:t>
      </w:r>
      <w:r>
        <w:rPr>
          <w:spacing w:val="-3"/>
          <w:w w:val="110"/>
        </w:rPr>
        <w:t xml:space="preserve"> </w:t>
      </w:r>
      <w:r>
        <w:rPr>
          <w:w w:val="110"/>
        </w:rPr>
        <w:t>regulation</w:t>
      </w:r>
      <w:r>
        <w:rPr>
          <w:spacing w:val="-4"/>
          <w:w w:val="110"/>
        </w:rPr>
        <w:t xml:space="preserve"> </w:t>
      </w:r>
      <w:r>
        <w:rPr>
          <w:w w:val="110"/>
        </w:rPr>
        <w:t>of</w:t>
      </w:r>
      <w:r>
        <w:rPr>
          <w:spacing w:val="-2"/>
          <w:w w:val="110"/>
        </w:rPr>
        <w:t xml:space="preserve"> </w:t>
      </w:r>
      <w:r>
        <w:rPr>
          <w:w w:val="110"/>
        </w:rPr>
        <w:t>the</w:t>
      </w:r>
      <w:r>
        <w:rPr>
          <w:spacing w:val="-2"/>
          <w:w w:val="110"/>
        </w:rPr>
        <w:t xml:space="preserve"> </w:t>
      </w:r>
      <w:r>
        <w:rPr>
          <w:w w:val="110"/>
        </w:rPr>
        <w:t>European</w:t>
      </w:r>
      <w:r>
        <w:rPr>
          <w:spacing w:val="-1"/>
          <w:w w:val="110"/>
        </w:rPr>
        <w:t xml:space="preserve"> </w:t>
      </w:r>
      <w:r>
        <w:rPr>
          <w:w w:val="110"/>
        </w:rPr>
        <w:t>Parliament</w:t>
      </w:r>
      <w:r>
        <w:rPr>
          <w:spacing w:val="-1"/>
          <w:w w:val="110"/>
        </w:rPr>
        <w:t xml:space="preserve"> </w:t>
      </w:r>
      <w:r>
        <w:rPr>
          <w:w w:val="110"/>
        </w:rPr>
        <w:t>and</w:t>
      </w:r>
      <w:r>
        <w:rPr>
          <w:spacing w:val="-4"/>
          <w:w w:val="110"/>
        </w:rPr>
        <w:t xml:space="preserve"> </w:t>
      </w:r>
      <w:r>
        <w:rPr>
          <w:w w:val="110"/>
        </w:rPr>
        <w:t>of the Council amending Regulations (EU) 2021/1058 and (EU) 2021/1056 as regards specific measures to address strategic challenges in the context of the mid-term review. The legal framework for the cohesion policy programmes provides for a mid-term review in 2025, offering member states the option to redirect resources from the 2021-2027 period</w:t>
      </w:r>
      <w:r>
        <w:rPr>
          <w:spacing w:val="40"/>
          <w:w w:val="110"/>
        </w:rPr>
        <w:t xml:space="preserve"> </w:t>
      </w:r>
      <w:r>
        <w:rPr>
          <w:w w:val="110"/>
        </w:rPr>
        <w:t xml:space="preserve">towards investment in areas such as EU defence capabilities, competitiveness and other emerging priorities, by submitting corresponding programme amendments to the </w:t>
      </w:r>
      <w:r>
        <w:rPr>
          <w:spacing w:val="-2"/>
          <w:w w:val="110"/>
        </w:rPr>
        <w:t>Commission.</w:t>
      </w:r>
    </w:p>
    <w:p w:rsidR="00B84CED" w:rsidRDefault="00B84CED" w14:paraId="0E9CF9A8" w14:textId="77777777">
      <w:pPr>
        <w:pStyle w:val="BodyText"/>
        <w:spacing w:before="156"/>
      </w:pPr>
    </w:p>
    <w:p w:rsidR="00B84CED" w:rsidRDefault="00794452" w14:paraId="37226DDC" w14:textId="77777777">
      <w:pPr>
        <w:pStyle w:val="BodyText"/>
        <w:spacing w:line="384" w:lineRule="auto"/>
        <w:ind w:left="1" w:right="591"/>
      </w:pPr>
      <w:r>
        <w:rPr>
          <w:w w:val="110"/>
        </w:rPr>
        <w:t>COM(2025)122, the SAFE Regulation, has been adopted under the Non Legislative procedure which prohibits the issuing of a Political Contribution in the usual way.</w:t>
      </w:r>
    </w:p>
    <w:p w:rsidR="00B84CED" w:rsidRDefault="00B84CED" w14:paraId="3EDD63DE" w14:textId="77777777">
      <w:pPr>
        <w:pStyle w:val="BodyText"/>
        <w:spacing w:before="159"/>
      </w:pPr>
    </w:p>
    <w:p w:rsidR="00B84CED" w:rsidRDefault="00794452" w14:paraId="4E4D1869" w14:textId="77777777">
      <w:pPr>
        <w:pStyle w:val="BodyText"/>
        <w:spacing w:line="384" w:lineRule="auto"/>
        <w:ind w:left="1" w:right="448"/>
        <w:jc w:val="both"/>
      </w:pPr>
      <w:r>
        <w:rPr>
          <w:w w:val="110"/>
        </w:rPr>
        <w:t>As a</w:t>
      </w:r>
      <w:r>
        <w:rPr>
          <w:spacing w:val="-1"/>
          <w:w w:val="110"/>
        </w:rPr>
        <w:t xml:space="preserve"> </w:t>
      </w:r>
      <w:r>
        <w:rPr>
          <w:w w:val="110"/>
        </w:rPr>
        <w:t>result</w:t>
      </w:r>
      <w:r>
        <w:rPr>
          <w:spacing w:val="-2"/>
          <w:w w:val="110"/>
        </w:rPr>
        <w:t xml:space="preserve"> </w:t>
      </w:r>
      <w:r>
        <w:rPr>
          <w:w w:val="110"/>
        </w:rPr>
        <w:t>of its examination</w:t>
      </w:r>
      <w:r>
        <w:rPr>
          <w:spacing w:val="-1"/>
          <w:w w:val="110"/>
        </w:rPr>
        <w:t xml:space="preserve"> </w:t>
      </w:r>
      <w:r>
        <w:rPr>
          <w:w w:val="110"/>
        </w:rPr>
        <w:t>of these proposals,</w:t>
      </w:r>
      <w:r>
        <w:rPr>
          <w:spacing w:val="-1"/>
          <w:w w:val="110"/>
        </w:rPr>
        <w:t xml:space="preserve"> </w:t>
      </w:r>
      <w:r>
        <w:rPr>
          <w:w w:val="110"/>
        </w:rPr>
        <w:t>the Joint Committee decided to produce a report</w:t>
      </w:r>
      <w:r>
        <w:rPr>
          <w:spacing w:val="-9"/>
          <w:w w:val="110"/>
        </w:rPr>
        <w:t xml:space="preserve"> </w:t>
      </w:r>
      <w:r>
        <w:rPr>
          <w:w w:val="110"/>
        </w:rPr>
        <w:t>on</w:t>
      </w:r>
      <w:r>
        <w:rPr>
          <w:spacing w:val="-8"/>
          <w:w w:val="110"/>
        </w:rPr>
        <w:t xml:space="preserve"> </w:t>
      </w:r>
      <w:r>
        <w:rPr>
          <w:w w:val="110"/>
        </w:rPr>
        <w:t>the</w:t>
      </w:r>
      <w:r>
        <w:rPr>
          <w:spacing w:val="-8"/>
          <w:w w:val="110"/>
        </w:rPr>
        <w:t xml:space="preserve"> </w:t>
      </w:r>
      <w:r>
        <w:rPr>
          <w:w w:val="110"/>
        </w:rPr>
        <w:t>wider</w:t>
      </w:r>
      <w:r>
        <w:rPr>
          <w:spacing w:val="-8"/>
          <w:w w:val="110"/>
        </w:rPr>
        <w:t xml:space="preserve"> </w:t>
      </w:r>
      <w:r>
        <w:rPr>
          <w:w w:val="110"/>
        </w:rPr>
        <w:t>issues</w:t>
      </w:r>
      <w:r>
        <w:rPr>
          <w:spacing w:val="-7"/>
          <w:w w:val="110"/>
        </w:rPr>
        <w:t xml:space="preserve"> </w:t>
      </w:r>
      <w:r>
        <w:rPr>
          <w:w w:val="110"/>
        </w:rPr>
        <w:t>arising</w:t>
      </w:r>
      <w:r>
        <w:rPr>
          <w:spacing w:val="-8"/>
          <w:w w:val="110"/>
        </w:rPr>
        <w:t xml:space="preserve"> </w:t>
      </w:r>
      <w:r>
        <w:rPr>
          <w:w w:val="110"/>
        </w:rPr>
        <w:t>from</w:t>
      </w:r>
      <w:r>
        <w:rPr>
          <w:spacing w:val="-8"/>
          <w:w w:val="110"/>
        </w:rPr>
        <w:t xml:space="preserve"> </w:t>
      </w:r>
      <w:r>
        <w:rPr>
          <w:w w:val="110"/>
        </w:rPr>
        <w:t>the</w:t>
      </w:r>
      <w:r>
        <w:rPr>
          <w:spacing w:val="-8"/>
          <w:w w:val="110"/>
        </w:rPr>
        <w:t xml:space="preserve"> </w:t>
      </w:r>
      <w:r>
        <w:rPr>
          <w:w w:val="110"/>
        </w:rPr>
        <w:t>prioritisation</w:t>
      </w:r>
      <w:r>
        <w:rPr>
          <w:spacing w:val="-10"/>
          <w:w w:val="110"/>
        </w:rPr>
        <w:t xml:space="preserve"> </w:t>
      </w:r>
      <w:r>
        <w:rPr>
          <w:w w:val="110"/>
        </w:rPr>
        <w:t>of</w:t>
      </w:r>
      <w:r>
        <w:rPr>
          <w:spacing w:val="-8"/>
          <w:w w:val="110"/>
        </w:rPr>
        <w:t xml:space="preserve"> </w:t>
      </w:r>
      <w:r>
        <w:rPr>
          <w:w w:val="110"/>
        </w:rPr>
        <w:t>defence</w:t>
      </w:r>
      <w:r>
        <w:rPr>
          <w:spacing w:val="-8"/>
          <w:w w:val="110"/>
        </w:rPr>
        <w:t xml:space="preserve"> </w:t>
      </w:r>
      <w:r>
        <w:rPr>
          <w:w w:val="110"/>
        </w:rPr>
        <w:t>funding</w:t>
      </w:r>
      <w:r>
        <w:rPr>
          <w:spacing w:val="-6"/>
          <w:w w:val="110"/>
        </w:rPr>
        <w:t xml:space="preserve"> </w:t>
      </w:r>
      <w:r>
        <w:rPr>
          <w:w w:val="110"/>
        </w:rPr>
        <w:t>by</w:t>
      </w:r>
      <w:r>
        <w:rPr>
          <w:spacing w:val="-7"/>
          <w:w w:val="110"/>
        </w:rPr>
        <w:t xml:space="preserve"> </w:t>
      </w:r>
      <w:r>
        <w:rPr>
          <w:w w:val="110"/>
        </w:rPr>
        <w:t>the</w:t>
      </w:r>
      <w:r>
        <w:rPr>
          <w:spacing w:val="-8"/>
          <w:w w:val="110"/>
        </w:rPr>
        <w:t xml:space="preserve"> </w:t>
      </w:r>
      <w:r>
        <w:rPr>
          <w:w w:val="110"/>
        </w:rPr>
        <w:t>European Union. While the various challenges facing the Union are well understood and</w:t>
      </w:r>
    </w:p>
    <w:p w:rsidR="00B84CED" w:rsidRDefault="00B84CED" w14:paraId="7EAE4909" w14:textId="77777777">
      <w:pPr>
        <w:pStyle w:val="BodyText"/>
        <w:spacing w:line="384" w:lineRule="auto"/>
        <w:jc w:val="both"/>
        <w:sectPr w:rsidR="00B84CED" w:rsidSect="00196DB0">
          <w:footerReference w:type="even" r:id="Ra41f4037990142f6"/>
          <w:footerReference w:type="first" r:id="Rad38aa346f0f4903"/>
          <w:headerReference w:type="even" r:id="R1c72a5ff1f114599"/>
          <w:headerReference w:type="first" r:id="R5739b04e228f44db"/>
          <w:pgSz w:w="11907" w:h="16839"/>
          <w:pgMar w:top="1134" w:right="1134" w:bottom="1134" w:left="1134" w:header="567" w:footer="567" w:gutter="0"/>
          <w:cols w:space="720"/>
          <w:docGrid w:linePitch="299"/>
        </w:sectPr>
      </w:pPr>
    </w:p>
    <w:p w:rsidR="00B84CED" w:rsidRDefault="00794452" w14:paraId="7F34D6C0" w14:textId="77777777">
      <w:pPr>
        <w:pStyle w:val="BodyText"/>
        <w:spacing w:before="109" w:line="381" w:lineRule="auto"/>
        <w:ind w:left="1" w:right="459"/>
      </w:pPr>
      <w:r>
        <w:rPr>
          <w:w w:val="110"/>
        </w:rPr>
        <w:lastRenderedPageBreak/>
        <w:t>acknowledged,</w:t>
      </w:r>
      <w:r>
        <w:rPr>
          <w:spacing w:val="-6"/>
          <w:w w:val="110"/>
        </w:rPr>
        <w:t xml:space="preserve"> </w:t>
      </w:r>
      <w:r>
        <w:rPr>
          <w:w w:val="110"/>
        </w:rPr>
        <w:t>the</w:t>
      </w:r>
      <w:r>
        <w:rPr>
          <w:spacing w:val="-7"/>
          <w:w w:val="110"/>
        </w:rPr>
        <w:t xml:space="preserve"> </w:t>
      </w:r>
      <w:r>
        <w:rPr>
          <w:w w:val="110"/>
        </w:rPr>
        <w:t>Committee</w:t>
      </w:r>
      <w:r>
        <w:rPr>
          <w:spacing w:val="-4"/>
          <w:w w:val="110"/>
        </w:rPr>
        <w:t xml:space="preserve"> </w:t>
      </w:r>
      <w:r>
        <w:rPr>
          <w:w w:val="110"/>
        </w:rPr>
        <w:t>is</w:t>
      </w:r>
      <w:r>
        <w:rPr>
          <w:spacing w:val="-5"/>
          <w:w w:val="110"/>
        </w:rPr>
        <w:t xml:space="preserve"> </w:t>
      </w:r>
      <w:r>
        <w:rPr>
          <w:w w:val="110"/>
        </w:rPr>
        <w:t>concerned</w:t>
      </w:r>
      <w:r>
        <w:rPr>
          <w:spacing w:val="-6"/>
          <w:w w:val="110"/>
        </w:rPr>
        <w:t xml:space="preserve"> </w:t>
      </w:r>
      <w:r>
        <w:rPr>
          <w:w w:val="110"/>
        </w:rPr>
        <w:t>by</w:t>
      </w:r>
      <w:r>
        <w:rPr>
          <w:spacing w:val="-8"/>
          <w:w w:val="110"/>
        </w:rPr>
        <w:t xml:space="preserve"> </w:t>
      </w:r>
      <w:r>
        <w:rPr>
          <w:w w:val="110"/>
        </w:rPr>
        <w:t>the</w:t>
      </w:r>
      <w:r>
        <w:rPr>
          <w:spacing w:val="-4"/>
          <w:w w:val="110"/>
        </w:rPr>
        <w:t xml:space="preserve"> </w:t>
      </w:r>
      <w:r>
        <w:rPr>
          <w:w w:val="110"/>
        </w:rPr>
        <w:t>manner</w:t>
      </w:r>
      <w:r>
        <w:rPr>
          <w:spacing w:val="-5"/>
          <w:w w:val="110"/>
        </w:rPr>
        <w:t xml:space="preserve"> </w:t>
      </w:r>
      <w:r>
        <w:rPr>
          <w:w w:val="110"/>
        </w:rPr>
        <w:t>in</w:t>
      </w:r>
      <w:r>
        <w:rPr>
          <w:spacing w:val="-8"/>
          <w:w w:val="110"/>
        </w:rPr>
        <w:t xml:space="preserve"> </w:t>
      </w:r>
      <w:r>
        <w:rPr>
          <w:w w:val="110"/>
        </w:rPr>
        <w:t>which</w:t>
      </w:r>
      <w:r>
        <w:rPr>
          <w:spacing w:val="-8"/>
          <w:w w:val="110"/>
        </w:rPr>
        <w:t xml:space="preserve"> </w:t>
      </w:r>
      <w:r>
        <w:rPr>
          <w:w w:val="110"/>
        </w:rPr>
        <w:t>funding</w:t>
      </w:r>
      <w:r>
        <w:rPr>
          <w:spacing w:val="-4"/>
          <w:w w:val="110"/>
        </w:rPr>
        <w:t xml:space="preserve"> </w:t>
      </w:r>
      <w:r>
        <w:rPr>
          <w:w w:val="110"/>
        </w:rPr>
        <w:t>for</w:t>
      </w:r>
      <w:r>
        <w:rPr>
          <w:spacing w:val="-7"/>
          <w:w w:val="110"/>
        </w:rPr>
        <w:t xml:space="preserve"> </w:t>
      </w:r>
      <w:r>
        <w:rPr>
          <w:w w:val="110"/>
        </w:rPr>
        <w:t>defence</w:t>
      </w:r>
      <w:r>
        <w:rPr>
          <w:spacing w:val="-4"/>
          <w:w w:val="110"/>
        </w:rPr>
        <w:t xml:space="preserve"> </w:t>
      </w:r>
      <w:r>
        <w:rPr>
          <w:w w:val="110"/>
        </w:rPr>
        <w:t>is being carried out.</w:t>
      </w:r>
    </w:p>
    <w:p w:rsidR="00B84CED" w:rsidRDefault="00B84CED" w14:paraId="291F86F3" w14:textId="77777777">
      <w:pPr>
        <w:pStyle w:val="BodyText"/>
        <w:spacing w:before="164"/>
      </w:pPr>
    </w:p>
    <w:p w:rsidR="00B84CED" w:rsidRDefault="00794452" w14:paraId="3988F437" w14:textId="77777777">
      <w:pPr>
        <w:pStyle w:val="BodyText"/>
        <w:spacing w:line="384" w:lineRule="auto"/>
        <w:ind w:left="1" w:right="431"/>
      </w:pPr>
      <w:r>
        <w:rPr>
          <w:w w:val="110"/>
        </w:rPr>
        <w:t>New financial instruments are being created for this purpose, alongside the utilisation of a range of existing financial instruments to provide funding for defence measures, while redirecting</w:t>
      </w:r>
      <w:r>
        <w:rPr>
          <w:spacing w:val="-11"/>
          <w:w w:val="110"/>
        </w:rPr>
        <w:t xml:space="preserve"> </w:t>
      </w:r>
      <w:r>
        <w:rPr>
          <w:w w:val="110"/>
        </w:rPr>
        <w:t>vital</w:t>
      </w:r>
      <w:r>
        <w:rPr>
          <w:spacing w:val="-9"/>
          <w:w w:val="110"/>
        </w:rPr>
        <w:t xml:space="preserve"> </w:t>
      </w:r>
      <w:r>
        <w:rPr>
          <w:w w:val="110"/>
        </w:rPr>
        <w:t>funding</w:t>
      </w:r>
      <w:r>
        <w:rPr>
          <w:spacing w:val="-11"/>
          <w:w w:val="110"/>
        </w:rPr>
        <w:t xml:space="preserve"> </w:t>
      </w:r>
      <w:r>
        <w:rPr>
          <w:w w:val="110"/>
        </w:rPr>
        <w:t>away</w:t>
      </w:r>
      <w:r>
        <w:rPr>
          <w:spacing w:val="-12"/>
          <w:w w:val="110"/>
        </w:rPr>
        <w:t xml:space="preserve"> </w:t>
      </w:r>
      <w:r>
        <w:rPr>
          <w:w w:val="110"/>
        </w:rPr>
        <w:t>from</w:t>
      </w:r>
      <w:r>
        <w:rPr>
          <w:spacing w:val="-10"/>
          <w:w w:val="110"/>
        </w:rPr>
        <w:t xml:space="preserve"> </w:t>
      </w:r>
      <w:r>
        <w:rPr>
          <w:w w:val="110"/>
        </w:rPr>
        <w:t>its</w:t>
      </w:r>
      <w:r>
        <w:rPr>
          <w:spacing w:val="-11"/>
          <w:w w:val="110"/>
        </w:rPr>
        <w:t xml:space="preserve"> </w:t>
      </w:r>
      <w:r>
        <w:rPr>
          <w:w w:val="110"/>
        </w:rPr>
        <w:t>original</w:t>
      </w:r>
      <w:r>
        <w:rPr>
          <w:spacing w:val="-12"/>
          <w:w w:val="110"/>
        </w:rPr>
        <w:t xml:space="preserve"> </w:t>
      </w:r>
      <w:r>
        <w:rPr>
          <w:w w:val="110"/>
        </w:rPr>
        <w:t>intended</w:t>
      </w:r>
      <w:r>
        <w:rPr>
          <w:spacing w:val="-10"/>
          <w:w w:val="110"/>
        </w:rPr>
        <w:t xml:space="preserve"> </w:t>
      </w:r>
      <w:r>
        <w:rPr>
          <w:w w:val="110"/>
        </w:rPr>
        <w:t>purpose.</w:t>
      </w:r>
      <w:r>
        <w:rPr>
          <w:spacing w:val="-9"/>
          <w:w w:val="110"/>
        </w:rPr>
        <w:t xml:space="preserve"> </w:t>
      </w:r>
      <w:r>
        <w:rPr>
          <w:w w:val="110"/>
        </w:rPr>
        <w:t>Further,</w:t>
      </w:r>
      <w:r>
        <w:rPr>
          <w:spacing w:val="-14"/>
          <w:w w:val="110"/>
        </w:rPr>
        <w:t xml:space="preserve"> </w:t>
      </w:r>
      <w:r>
        <w:rPr>
          <w:w w:val="110"/>
        </w:rPr>
        <w:t>the</w:t>
      </w:r>
      <w:r>
        <w:rPr>
          <w:spacing w:val="-8"/>
          <w:w w:val="110"/>
        </w:rPr>
        <w:t xml:space="preserve"> </w:t>
      </w:r>
      <w:r>
        <w:rPr>
          <w:w w:val="110"/>
        </w:rPr>
        <w:t>environmental impact, social impact, risk to life and increased possibility of armed conflicts as a consequence of increased defence funding will bring with them financial implications that do not appear to be subject to consideration in this context.</w:t>
      </w:r>
    </w:p>
    <w:p w:rsidR="00B84CED" w:rsidRDefault="00B84CED" w14:paraId="560DB6F3" w14:textId="77777777">
      <w:pPr>
        <w:pStyle w:val="BodyText"/>
        <w:spacing w:before="156"/>
      </w:pPr>
    </w:p>
    <w:p w:rsidR="00B84CED" w:rsidRDefault="00794452" w14:paraId="6730615D" w14:textId="77777777">
      <w:pPr>
        <w:pStyle w:val="BodyText"/>
        <w:spacing w:line="384" w:lineRule="auto"/>
        <w:ind w:left="1" w:right="591"/>
      </w:pPr>
      <w:r>
        <w:rPr>
          <w:w w:val="110"/>
        </w:rPr>
        <w:t>To</w:t>
      </w:r>
      <w:r>
        <w:rPr>
          <w:spacing w:val="-6"/>
          <w:w w:val="110"/>
        </w:rPr>
        <w:t xml:space="preserve"> </w:t>
      </w:r>
      <w:r>
        <w:rPr>
          <w:w w:val="110"/>
        </w:rPr>
        <w:t>this</w:t>
      </w:r>
      <w:r>
        <w:rPr>
          <w:spacing w:val="-6"/>
          <w:w w:val="110"/>
        </w:rPr>
        <w:t xml:space="preserve"> </w:t>
      </w:r>
      <w:r>
        <w:rPr>
          <w:w w:val="110"/>
        </w:rPr>
        <w:t>end,</w:t>
      </w:r>
      <w:r>
        <w:rPr>
          <w:spacing w:val="-4"/>
          <w:w w:val="110"/>
        </w:rPr>
        <w:t xml:space="preserve"> </w:t>
      </w:r>
      <w:r>
        <w:rPr>
          <w:w w:val="110"/>
        </w:rPr>
        <w:t>the</w:t>
      </w:r>
      <w:r>
        <w:rPr>
          <w:spacing w:val="-6"/>
          <w:w w:val="110"/>
        </w:rPr>
        <w:t xml:space="preserve"> </w:t>
      </w:r>
      <w:r>
        <w:rPr>
          <w:w w:val="110"/>
        </w:rPr>
        <w:t>Committee</w:t>
      </w:r>
      <w:r>
        <w:rPr>
          <w:spacing w:val="-6"/>
          <w:w w:val="110"/>
        </w:rPr>
        <w:t xml:space="preserve"> </w:t>
      </w:r>
      <w:r>
        <w:rPr>
          <w:w w:val="110"/>
        </w:rPr>
        <w:t>requests</w:t>
      </w:r>
      <w:r>
        <w:rPr>
          <w:spacing w:val="-4"/>
          <w:w w:val="110"/>
        </w:rPr>
        <w:t xml:space="preserve"> </w:t>
      </w:r>
      <w:r>
        <w:rPr>
          <w:w w:val="110"/>
        </w:rPr>
        <w:t>that</w:t>
      </w:r>
      <w:r>
        <w:rPr>
          <w:spacing w:val="-5"/>
          <w:w w:val="110"/>
        </w:rPr>
        <w:t xml:space="preserve"> </w:t>
      </w:r>
      <w:r>
        <w:rPr>
          <w:w w:val="110"/>
        </w:rPr>
        <w:t>the</w:t>
      </w:r>
      <w:r>
        <w:rPr>
          <w:spacing w:val="-8"/>
          <w:w w:val="110"/>
        </w:rPr>
        <w:t xml:space="preserve"> </w:t>
      </w:r>
      <w:r>
        <w:rPr>
          <w:w w:val="110"/>
        </w:rPr>
        <w:t>opinions</w:t>
      </w:r>
      <w:r>
        <w:rPr>
          <w:spacing w:val="-6"/>
          <w:w w:val="110"/>
        </w:rPr>
        <w:t xml:space="preserve"> </w:t>
      </w:r>
      <w:r>
        <w:rPr>
          <w:w w:val="110"/>
        </w:rPr>
        <w:t>set</w:t>
      </w:r>
      <w:r>
        <w:rPr>
          <w:spacing w:val="-8"/>
          <w:w w:val="110"/>
        </w:rPr>
        <w:t xml:space="preserve"> </w:t>
      </w:r>
      <w:r>
        <w:rPr>
          <w:w w:val="110"/>
        </w:rPr>
        <w:t>out</w:t>
      </w:r>
      <w:r>
        <w:rPr>
          <w:spacing w:val="-5"/>
          <w:w w:val="110"/>
        </w:rPr>
        <w:t xml:space="preserve"> </w:t>
      </w:r>
      <w:r>
        <w:rPr>
          <w:w w:val="110"/>
        </w:rPr>
        <w:t>in</w:t>
      </w:r>
      <w:r>
        <w:rPr>
          <w:spacing w:val="-7"/>
          <w:w w:val="110"/>
        </w:rPr>
        <w:t xml:space="preserve"> </w:t>
      </w:r>
      <w:r>
        <w:rPr>
          <w:w w:val="110"/>
        </w:rPr>
        <w:t>this</w:t>
      </w:r>
      <w:r>
        <w:rPr>
          <w:spacing w:val="-6"/>
          <w:w w:val="110"/>
        </w:rPr>
        <w:t xml:space="preserve"> </w:t>
      </w:r>
      <w:r>
        <w:rPr>
          <w:w w:val="110"/>
        </w:rPr>
        <w:t>report</w:t>
      </w:r>
      <w:r>
        <w:rPr>
          <w:spacing w:val="-5"/>
          <w:w w:val="110"/>
        </w:rPr>
        <w:t xml:space="preserve"> </w:t>
      </w:r>
      <w:r>
        <w:rPr>
          <w:w w:val="110"/>
        </w:rPr>
        <w:t>are</w:t>
      </w:r>
      <w:r>
        <w:rPr>
          <w:spacing w:val="-3"/>
          <w:w w:val="110"/>
        </w:rPr>
        <w:t xml:space="preserve"> </w:t>
      </w:r>
      <w:r>
        <w:rPr>
          <w:w w:val="110"/>
        </w:rPr>
        <w:t xml:space="preserve">considered in full by the EU institutions and the respective Irish Ministers when further negotiations around related proposals are examined. As Cathaoirleach, </w:t>
      </w:r>
      <w:r>
        <w:rPr>
          <w:w w:val="130"/>
        </w:rPr>
        <w:t xml:space="preserve">I </w:t>
      </w:r>
      <w:r>
        <w:rPr>
          <w:w w:val="110"/>
        </w:rPr>
        <w:t xml:space="preserve">would like to thank all those who made submissions to the Committee on these proposals and the witnesses who appeared in public session. Additionally, </w:t>
      </w:r>
      <w:r>
        <w:rPr>
          <w:w w:val="130"/>
        </w:rPr>
        <w:t>I</w:t>
      </w:r>
      <w:r>
        <w:rPr>
          <w:spacing w:val="-2"/>
          <w:w w:val="130"/>
        </w:rPr>
        <w:t xml:space="preserve"> </w:t>
      </w:r>
      <w:r>
        <w:rPr>
          <w:w w:val="110"/>
        </w:rPr>
        <w:t>would like to thank the Members of the Committee who have considered this topic collaboratively which has led to cross-governmental support for this report.</w:t>
      </w:r>
    </w:p>
    <w:p w:rsidR="00B84CED" w:rsidRDefault="00794452" w14:paraId="46142BDD" w14:textId="77777777">
      <w:pPr>
        <w:pStyle w:val="BodyText"/>
        <w:spacing w:before="140"/>
        <w:rPr>
          <w:sz w:val="20"/>
        </w:rPr>
      </w:pPr>
      <w:r>
        <w:rPr>
          <w:noProof/>
          <w:sz w:val="20"/>
        </w:rPr>
        <w:drawing>
          <wp:anchor distT="0" distB="0" distL="0" distR="0" simplePos="0" relativeHeight="487589376" behindDoc="1" locked="0" layoutInCell="1" allowOverlap="1" wp14:editId="70ED21F0" wp14:anchorId="5B8DFB43">
            <wp:simplePos x="0" y="0"/>
            <wp:positionH relativeFrom="page">
              <wp:posOffset>900430</wp:posOffset>
            </wp:positionH>
            <wp:positionV relativeFrom="paragraph">
              <wp:posOffset>259200</wp:posOffset>
            </wp:positionV>
            <wp:extent cx="2373639" cy="573404"/>
            <wp:effectExtent l="0" t="0" r="0" b="0"/>
            <wp:wrapTopAndBottom/>
            <wp:docPr id="5"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0dd9bfc7d85146ac" cstate="print"/>
                    <a:stretch>
                      <a:fillRect/>
                    </a:stretch>
                  </pic:blipFill>
                  <pic:spPr>
                    <a:xfrm>
                      <a:off x="0" y="0"/>
                      <a:ext cx="2373639" cy="573404"/>
                    </a:xfrm>
                    <a:prstGeom prst="rect">
                      <a:avLst/>
                    </a:prstGeom>
                  </pic:spPr>
                </pic:pic>
              </a:graphicData>
            </a:graphic>
          </wp:anchor>
        </w:drawing>
      </w:r>
    </w:p>
    <w:p w:rsidR="00B84CED" w:rsidRDefault="00794452" w14:paraId="0EE39986" w14:textId="77777777">
      <w:pPr>
        <w:spacing w:before="146" w:line="386" w:lineRule="auto"/>
        <w:ind w:left="1" w:right="6145"/>
      </w:pPr>
      <w:r>
        <w:rPr>
          <w:rFonts w:ascii="Century Gothic" w:hAnsi="Century Gothic"/>
          <w:b/>
          <w:w w:val="110"/>
        </w:rPr>
        <w:t>Mairéad</w:t>
      </w:r>
      <w:r>
        <w:rPr>
          <w:rFonts w:ascii="Century Gothic" w:hAnsi="Century Gothic"/>
          <w:b/>
          <w:spacing w:val="-13"/>
          <w:w w:val="110"/>
        </w:rPr>
        <w:t xml:space="preserve"> </w:t>
      </w:r>
      <w:r>
        <w:rPr>
          <w:rFonts w:ascii="Century Gothic" w:hAnsi="Century Gothic"/>
          <w:b/>
          <w:w w:val="110"/>
        </w:rPr>
        <w:t>Farrell</w:t>
      </w:r>
      <w:r>
        <w:rPr>
          <w:rFonts w:ascii="Century Gothic" w:hAnsi="Century Gothic"/>
          <w:b/>
          <w:spacing w:val="-13"/>
          <w:w w:val="110"/>
        </w:rPr>
        <w:t xml:space="preserve"> </w:t>
      </w:r>
      <w:r>
        <w:rPr>
          <w:rFonts w:ascii="Century Gothic" w:hAnsi="Century Gothic"/>
          <w:b/>
          <w:w w:val="110"/>
        </w:rPr>
        <w:t xml:space="preserve">TD </w:t>
      </w:r>
      <w:r>
        <w:rPr>
          <w:w w:val="110"/>
        </w:rPr>
        <w:t>Cathaoirleach</w:t>
      </w:r>
      <w:r>
        <w:rPr>
          <w:spacing w:val="-14"/>
          <w:w w:val="110"/>
        </w:rPr>
        <w:t xml:space="preserve"> </w:t>
      </w:r>
      <w:r>
        <w:rPr>
          <w:w w:val="110"/>
        </w:rPr>
        <w:t>to</w:t>
      </w:r>
      <w:r>
        <w:rPr>
          <w:spacing w:val="-14"/>
          <w:w w:val="110"/>
        </w:rPr>
        <w:t xml:space="preserve"> </w:t>
      </w:r>
      <w:r>
        <w:rPr>
          <w:w w:val="110"/>
        </w:rPr>
        <w:t>the</w:t>
      </w:r>
      <w:r>
        <w:rPr>
          <w:spacing w:val="-14"/>
          <w:w w:val="110"/>
        </w:rPr>
        <w:t xml:space="preserve"> </w:t>
      </w:r>
      <w:r>
        <w:rPr>
          <w:w w:val="110"/>
        </w:rPr>
        <w:t>Committee 17 December 2025</w:t>
      </w:r>
    </w:p>
    <w:p w:rsidR="00B84CED" w:rsidRDefault="00B84CED" w14:paraId="4C857428" w14:textId="77777777">
      <w:pPr>
        <w:spacing w:line="386" w:lineRule="auto"/>
        <w:sectPr w:rsidR="00B84CED" w:rsidSect="00196DB0">
          <w:footerReference w:type="even" r:id="R54a2cd2585b342a2"/>
          <w:footerReference w:type="first" r:id="R50396811a32943cf"/>
          <w:headerReference w:type="even" r:id="Rdfcb470588d64068"/>
          <w:headerReference w:type="first" r:id="R5e2364339db74502"/>
          <w:pgSz w:w="11907" w:h="16839"/>
          <w:pgMar w:top="1134" w:right="1134" w:bottom="1134" w:left="1134" w:header="567" w:footer="567" w:gutter="0"/>
          <w:cols w:space="720"/>
          <w:docGrid w:linePitch="299"/>
        </w:sectPr>
      </w:pPr>
    </w:p>
    <w:p w:rsidR="00B84CED" w:rsidRDefault="00794452" w14:paraId="36C61180" w14:textId="77777777">
      <w:pPr>
        <w:pStyle w:val="Heading1"/>
        <w:spacing w:before="98"/>
      </w:pPr>
      <w:bookmarkStart w:name="_bookmark3" w:id="16"/>
      <w:bookmarkEnd w:id="16"/>
      <w:r>
        <w:rPr>
          <w:color w:val="3A5C66"/>
          <w:spacing w:val="-2"/>
        </w:rPr>
        <w:lastRenderedPageBreak/>
        <w:t>Opinion</w:t>
      </w:r>
      <w:r>
        <w:rPr>
          <w:color w:val="3A5C66"/>
          <w:spacing w:val="-15"/>
        </w:rPr>
        <w:t xml:space="preserve"> </w:t>
      </w:r>
      <w:r>
        <w:rPr>
          <w:color w:val="3A5C66"/>
          <w:spacing w:val="-2"/>
        </w:rPr>
        <w:t>of</w:t>
      </w:r>
      <w:r>
        <w:rPr>
          <w:color w:val="3A5C66"/>
          <w:spacing w:val="-14"/>
        </w:rPr>
        <w:t xml:space="preserve"> </w:t>
      </w:r>
      <w:r>
        <w:rPr>
          <w:color w:val="3A5C66"/>
          <w:spacing w:val="-2"/>
        </w:rPr>
        <w:t>the</w:t>
      </w:r>
      <w:r>
        <w:rPr>
          <w:color w:val="3A5C66"/>
          <w:spacing w:val="-12"/>
        </w:rPr>
        <w:t xml:space="preserve"> </w:t>
      </w:r>
      <w:r>
        <w:rPr>
          <w:color w:val="3A5C66"/>
          <w:spacing w:val="-2"/>
        </w:rPr>
        <w:t>Joint</w:t>
      </w:r>
      <w:r>
        <w:rPr>
          <w:color w:val="3A5C66"/>
          <w:spacing w:val="-16"/>
        </w:rPr>
        <w:t xml:space="preserve"> </w:t>
      </w:r>
      <w:r>
        <w:rPr>
          <w:color w:val="3A5C66"/>
          <w:spacing w:val="-2"/>
        </w:rPr>
        <w:t>Committee</w:t>
      </w:r>
    </w:p>
    <w:p w:rsidR="00B84CED" w:rsidRDefault="00794452" w14:paraId="679A35B6" w14:textId="77777777">
      <w:pPr>
        <w:pStyle w:val="BodyText"/>
        <w:spacing w:before="154" w:line="357" w:lineRule="auto"/>
        <w:ind w:left="1" w:right="459"/>
      </w:pPr>
      <w:r>
        <w:rPr>
          <w:w w:val="110"/>
        </w:rPr>
        <w:t>The</w:t>
      </w:r>
      <w:r>
        <w:rPr>
          <w:spacing w:val="-2"/>
          <w:w w:val="110"/>
        </w:rPr>
        <w:t xml:space="preserve"> </w:t>
      </w:r>
      <w:r>
        <w:rPr>
          <w:w w:val="110"/>
        </w:rPr>
        <w:t>Joint</w:t>
      </w:r>
      <w:r>
        <w:rPr>
          <w:spacing w:val="-1"/>
          <w:w w:val="110"/>
        </w:rPr>
        <w:t xml:space="preserve"> </w:t>
      </w:r>
      <w:r>
        <w:rPr>
          <w:w w:val="110"/>
        </w:rPr>
        <w:t>Committee</w:t>
      </w:r>
      <w:r>
        <w:rPr>
          <w:spacing w:val="-2"/>
          <w:w w:val="110"/>
        </w:rPr>
        <w:t xml:space="preserve"> </w:t>
      </w:r>
      <w:r>
        <w:rPr>
          <w:w w:val="110"/>
        </w:rPr>
        <w:t>is</w:t>
      </w:r>
      <w:r>
        <w:rPr>
          <w:spacing w:val="-2"/>
          <w:w w:val="110"/>
        </w:rPr>
        <w:t xml:space="preserve"> </w:t>
      </w:r>
      <w:r>
        <w:rPr>
          <w:w w:val="110"/>
        </w:rPr>
        <w:t>in</w:t>
      </w:r>
      <w:r>
        <w:rPr>
          <w:spacing w:val="-1"/>
          <w:w w:val="110"/>
        </w:rPr>
        <w:t xml:space="preserve"> </w:t>
      </w:r>
      <w:r>
        <w:rPr>
          <w:w w:val="110"/>
        </w:rPr>
        <w:t>full</w:t>
      </w:r>
      <w:r>
        <w:rPr>
          <w:spacing w:val="-1"/>
          <w:w w:val="110"/>
        </w:rPr>
        <w:t xml:space="preserve"> </w:t>
      </w:r>
      <w:r>
        <w:rPr>
          <w:w w:val="110"/>
        </w:rPr>
        <w:t>understanding</w:t>
      </w:r>
      <w:r>
        <w:rPr>
          <w:spacing w:val="-2"/>
          <w:w w:val="110"/>
        </w:rPr>
        <w:t xml:space="preserve"> </w:t>
      </w:r>
      <w:r>
        <w:rPr>
          <w:w w:val="110"/>
        </w:rPr>
        <w:t>of the various,</w:t>
      </w:r>
      <w:r>
        <w:rPr>
          <w:spacing w:val="-3"/>
          <w:w w:val="110"/>
        </w:rPr>
        <w:t xml:space="preserve"> </w:t>
      </w:r>
      <w:r>
        <w:rPr>
          <w:w w:val="110"/>
        </w:rPr>
        <w:t>significant</w:t>
      </w:r>
      <w:r>
        <w:rPr>
          <w:spacing w:val="-1"/>
          <w:w w:val="110"/>
        </w:rPr>
        <w:t xml:space="preserve"> </w:t>
      </w:r>
      <w:r>
        <w:rPr>
          <w:w w:val="110"/>
        </w:rPr>
        <w:t>challenges</w:t>
      </w:r>
      <w:r>
        <w:rPr>
          <w:spacing w:val="-2"/>
          <w:w w:val="110"/>
        </w:rPr>
        <w:t xml:space="preserve"> </w:t>
      </w:r>
      <w:r>
        <w:rPr>
          <w:w w:val="110"/>
        </w:rPr>
        <w:t>facing the Union. Russia’s ongoing illegal war of aggression against Ukraine has generated a response across the European Union and prompted many member states to rethink their defence plans and capabilities. As defence is a national competence there is full recognition and acknowledgement of the right of member states determine the appropriate response to meet these challenges to international law and to peace on the continent.</w:t>
      </w:r>
    </w:p>
    <w:p w:rsidR="00B84CED" w:rsidRDefault="00794452" w14:paraId="220B7BA2" w14:textId="77777777">
      <w:pPr>
        <w:pStyle w:val="BodyText"/>
        <w:spacing w:before="160" w:line="357" w:lineRule="auto"/>
        <w:ind w:left="1" w:right="431"/>
      </w:pPr>
      <w:r>
        <w:rPr>
          <w:w w:val="110"/>
        </w:rPr>
        <w:t>However, the Committee’s scrutiny of these proposals has revealed a number of concerns with</w:t>
      </w:r>
      <w:r>
        <w:rPr>
          <w:spacing w:val="-4"/>
          <w:w w:val="110"/>
        </w:rPr>
        <w:t xml:space="preserve"> </w:t>
      </w:r>
      <w:r>
        <w:rPr>
          <w:w w:val="110"/>
        </w:rPr>
        <w:t>the</w:t>
      </w:r>
      <w:r>
        <w:rPr>
          <w:spacing w:val="-5"/>
          <w:w w:val="110"/>
        </w:rPr>
        <w:t xml:space="preserve"> </w:t>
      </w:r>
      <w:r>
        <w:rPr>
          <w:w w:val="110"/>
        </w:rPr>
        <w:t>manner</w:t>
      </w:r>
      <w:r>
        <w:rPr>
          <w:spacing w:val="-5"/>
          <w:w w:val="110"/>
        </w:rPr>
        <w:t xml:space="preserve"> </w:t>
      </w:r>
      <w:r>
        <w:rPr>
          <w:w w:val="110"/>
        </w:rPr>
        <w:t>in</w:t>
      </w:r>
      <w:r>
        <w:rPr>
          <w:spacing w:val="-6"/>
          <w:w w:val="110"/>
        </w:rPr>
        <w:t xml:space="preserve"> </w:t>
      </w:r>
      <w:r>
        <w:rPr>
          <w:w w:val="110"/>
        </w:rPr>
        <w:t>which</w:t>
      </w:r>
      <w:r>
        <w:rPr>
          <w:spacing w:val="-4"/>
          <w:w w:val="110"/>
        </w:rPr>
        <w:t xml:space="preserve"> </w:t>
      </w:r>
      <w:r>
        <w:rPr>
          <w:w w:val="110"/>
        </w:rPr>
        <w:t>the</w:t>
      </w:r>
      <w:r>
        <w:rPr>
          <w:spacing w:val="-2"/>
          <w:w w:val="110"/>
        </w:rPr>
        <w:t xml:space="preserve"> </w:t>
      </w:r>
      <w:r>
        <w:rPr>
          <w:w w:val="110"/>
        </w:rPr>
        <w:t>Commission</w:t>
      </w:r>
      <w:r>
        <w:rPr>
          <w:spacing w:val="-6"/>
          <w:w w:val="110"/>
        </w:rPr>
        <w:t xml:space="preserve"> </w:t>
      </w:r>
      <w:r>
        <w:rPr>
          <w:w w:val="110"/>
        </w:rPr>
        <w:t>seeks</w:t>
      </w:r>
      <w:r>
        <w:rPr>
          <w:spacing w:val="-8"/>
          <w:w w:val="110"/>
        </w:rPr>
        <w:t xml:space="preserve"> </w:t>
      </w:r>
      <w:r>
        <w:rPr>
          <w:w w:val="110"/>
        </w:rPr>
        <w:t>to</w:t>
      </w:r>
      <w:r>
        <w:rPr>
          <w:spacing w:val="-5"/>
          <w:w w:val="110"/>
        </w:rPr>
        <w:t xml:space="preserve"> </w:t>
      </w:r>
      <w:r>
        <w:rPr>
          <w:w w:val="110"/>
        </w:rPr>
        <w:t>expand</w:t>
      </w:r>
      <w:r>
        <w:rPr>
          <w:spacing w:val="-4"/>
          <w:w w:val="110"/>
        </w:rPr>
        <w:t xml:space="preserve"> </w:t>
      </w:r>
      <w:r>
        <w:rPr>
          <w:w w:val="110"/>
        </w:rPr>
        <w:t>its</w:t>
      </w:r>
      <w:r>
        <w:rPr>
          <w:spacing w:val="-5"/>
          <w:w w:val="110"/>
        </w:rPr>
        <w:t xml:space="preserve"> </w:t>
      </w:r>
      <w:r>
        <w:rPr>
          <w:w w:val="110"/>
        </w:rPr>
        <w:t>role</w:t>
      </w:r>
      <w:r>
        <w:rPr>
          <w:spacing w:val="-5"/>
          <w:w w:val="110"/>
        </w:rPr>
        <w:t xml:space="preserve"> </w:t>
      </w:r>
      <w:r>
        <w:rPr>
          <w:w w:val="110"/>
        </w:rPr>
        <w:t>in</w:t>
      </w:r>
      <w:r>
        <w:rPr>
          <w:spacing w:val="-4"/>
          <w:w w:val="110"/>
        </w:rPr>
        <w:t xml:space="preserve"> </w:t>
      </w:r>
      <w:r>
        <w:rPr>
          <w:w w:val="110"/>
        </w:rPr>
        <w:t>funding</w:t>
      </w:r>
      <w:r>
        <w:rPr>
          <w:spacing w:val="-5"/>
          <w:w w:val="110"/>
        </w:rPr>
        <w:t xml:space="preserve"> </w:t>
      </w:r>
      <w:r>
        <w:rPr>
          <w:w w:val="110"/>
        </w:rPr>
        <w:t>of</w:t>
      </w:r>
      <w:r>
        <w:rPr>
          <w:spacing w:val="-3"/>
          <w:w w:val="110"/>
        </w:rPr>
        <w:t xml:space="preserve"> </w:t>
      </w:r>
      <w:r>
        <w:rPr>
          <w:w w:val="110"/>
        </w:rPr>
        <w:t>defence</w:t>
      </w:r>
      <w:r>
        <w:rPr>
          <w:spacing w:val="-5"/>
          <w:w w:val="110"/>
        </w:rPr>
        <w:t xml:space="preserve"> </w:t>
      </w:r>
      <w:r>
        <w:rPr>
          <w:w w:val="110"/>
        </w:rPr>
        <w:t>and security measures and to prioritise the funding of those measures through packages and instruments, totalling up to €800 billion, at the expense of other vital areas of investment.</w:t>
      </w:r>
    </w:p>
    <w:p w:rsidR="00B84CED" w:rsidRDefault="00794452" w14:paraId="2D92BAA3" w14:textId="77777777">
      <w:pPr>
        <w:pStyle w:val="ListParagraph"/>
        <w:numPr>
          <w:ilvl w:val="0"/>
          <w:numId w:val="1"/>
        </w:numPr>
        <w:tabs>
          <w:tab w:val="left" w:pos="358"/>
          <w:tab w:val="left" w:pos="361"/>
        </w:tabs>
        <w:spacing w:before="161" w:line="357" w:lineRule="auto"/>
        <w:ind w:right="587"/>
      </w:pPr>
      <w:r>
        <w:rPr>
          <w:w w:val="110"/>
        </w:rPr>
        <w:t>The Committee opposes the use of the EU general budget to which Ireland is a contributor</w:t>
      </w:r>
      <w:r>
        <w:rPr>
          <w:spacing w:val="-7"/>
          <w:w w:val="110"/>
        </w:rPr>
        <w:t xml:space="preserve"> </w:t>
      </w:r>
      <w:r>
        <w:rPr>
          <w:w w:val="110"/>
        </w:rPr>
        <w:t>as</w:t>
      </w:r>
      <w:r>
        <w:rPr>
          <w:spacing w:val="-7"/>
          <w:w w:val="110"/>
        </w:rPr>
        <w:t xml:space="preserve"> </w:t>
      </w:r>
      <w:r>
        <w:rPr>
          <w:w w:val="110"/>
        </w:rPr>
        <w:t>a</w:t>
      </w:r>
      <w:r>
        <w:rPr>
          <w:spacing w:val="-6"/>
          <w:w w:val="110"/>
        </w:rPr>
        <w:t xml:space="preserve"> </w:t>
      </w:r>
      <w:r>
        <w:rPr>
          <w:w w:val="110"/>
        </w:rPr>
        <w:t>guarantee</w:t>
      </w:r>
      <w:r>
        <w:rPr>
          <w:spacing w:val="-7"/>
          <w:w w:val="110"/>
        </w:rPr>
        <w:t xml:space="preserve"> </w:t>
      </w:r>
      <w:r>
        <w:rPr>
          <w:w w:val="110"/>
        </w:rPr>
        <w:t>for</w:t>
      </w:r>
      <w:r>
        <w:rPr>
          <w:spacing w:val="-5"/>
          <w:w w:val="110"/>
        </w:rPr>
        <w:t xml:space="preserve"> </w:t>
      </w:r>
      <w:r>
        <w:rPr>
          <w:w w:val="110"/>
        </w:rPr>
        <w:t>the</w:t>
      </w:r>
      <w:r>
        <w:rPr>
          <w:spacing w:val="-4"/>
          <w:w w:val="110"/>
        </w:rPr>
        <w:t xml:space="preserve"> </w:t>
      </w:r>
      <w:r>
        <w:rPr>
          <w:w w:val="110"/>
        </w:rPr>
        <w:t>loans</w:t>
      </w:r>
      <w:r>
        <w:rPr>
          <w:spacing w:val="-7"/>
          <w:w w:val="110"/>
        </w:rPr>
        <w:t xml:space="preserve"> </w:t>
      </w:r>
      <w:r>
        <w:rPr>
          <w:w w:val="110"/>
        </w:rPr>
        <w:t>to</w:t>
      </w:r>
      <w:r>
        <w:rPr>
          <w:spacing w:val="-4"/>
          <w:w w:val="110"/>
        </w:rPr>
        <w:t xml:space="preserve"> </w:t>
      </w:r>
      <w:r>
        <w:rPr>
          <w:w w:val="110"/>
        </w:rPr>
        <w:t>be</w:t>
      </w:r>
      <w:r>
        <w:rPr>
          <w:spacing w:val="-4"/>
          <w:w w:val="110"/>
        </w:rPr>
        <w:t xml:space="preserve"> </w:t>
      </w:r>
      <w:r>
        <w:rPr>
          <w:w w:val="110"/>
        </w:rPr>
        <w:t>provided</w:t>
      </w:r>
      <w:r>
        <w:rPr>
          <w:spacing w:val="-6"/>
          <w:w w:val="110"/>
        </w:rPr>
        <w:t xml:space="preserve"> </w:t>
      </w:r>
      <w:r>
        <w:rPr>
          <w:w w:val="110"/>
        </w:rPr>
        <w:t>under</w:t>
      </w:r>
      <w:r>
        <w:rPr>
          <w:spacing w:val="-5"/>
          <w:w w:val="110"/>
        </w:rPr>
        <w:t xml:space="preserve"> </w:t>
      </w:r>
      <w:r>
        <w:rPr>
          <w:w w:val="110"/>
        </w:rPr>
        <w:t>the</w:t>
      </w:r>
      <w:r>
        <w:rPr>
          <w:spacing w:val="-4"/>
          <w:w w:val="110"/>
        </w:rPr>
        <w:t xml:space="preserve"> </w:t>
      </w:r>
      <w:r>
        <w:rPr>
          <w:w w:val="110"/>
        </w:rPr>
        <w:t>SAFE</w:t>
      </w:r>
      <w:r>
        <w:rPr>
          <w:spacing w:val="-5"/>
          <w:w w:val="110"/>
        </w:rPr>
        <w:t xml:space="preserve"> </w:t>
      </w:r>
      <w:r>
        <w:rPr>
          <w:w w:val="110"/>
        </w:rPr>
        <w:t>Regulation.</w:t>
      </w:r>
      <w:r>
        <w:rPr>
          <w:spacing w:val="-8"/>
          <w:w w:val="110"/>
        </w:rPr>
        <w:t xml:space="preserve"> </w:t>
      </w:r>
      <w:r>
        <w:rPr>
          <w:w w:val="110"/>
        </w:rPr>
        <w:t>The Committee highlights that the EU's treaties prevent the use of its funds for military expenditure</w:t>
      </w:r>
      <w:r>
        <w:rPr>
          <w:spacing w:val="-2"/>
          <w:w w:val="110"/>
        </w:rPr>
        <w:t xml:space="preserve"> </w:t>
      </w:r>
      <w:r>
        <w:rPr>
          <w:w w:val="110"/>
        </w:rPr>
        <w:t>and</w:t>
      </w:r>
      <w:r>
        <w:rPr>
          <w:spacing w:val="-1"/>
          <w:w w:val="110"/>
        </w:rPr>
        <w:t xml:space="preserve"> </w:t>
      </w:r>
      <w:r>
        <w:rPr>
          <w:w w:val="110"/>
        </w:rPr>
        <w:t>note the fact</w:t>
      </w:r>
      <w:r>
        <w:rPr>
          <w:spacing w:val="-1"/>
          <w:w w:val="110"/>
        </w:rPr>
        <w:t xml:space="preserve"> </w:t>
      </w:r>
      <w:r>
        <w:rPr>
          <w:w w:val="110"/>
        </w:rPr>
        <w:t>that</w:t>
      </w:r>
      <w:r>
        <w:rPr>
          <w:spacing w:val="-3"/>
          <w:w w:val="110"/>
        </w:rPr>
        <w:t xml:space="preserve"> </w:t>
      </w:r>
      <w:r>
        <w:rPr>
          <w:w w:val="110"/>
        </w:rPr>
        <w:t>equivalent</w:t>
      </w:r>
      <w:r>
        <w:rPr>
          <w:spacing w:val="-1"/>
          <w:w w:val="110"/>
        </w:rPr>
        <w:t xml:space="preserve"> </w:t>
      </w:r>
      <w:r>
        <w:rPr>
          <w:w w:val="110"/>
        </w:rPr>
        <w:t>measures have not</w:t>
      </w:r>
      <w:r>
        <w:rPr>
          <w:spacing w:val="-1"/>
          <w:w w:val="110"/>
        </w:rPr>
        <w:t xml:space="preserve"> </w:t>
      </w:r>
      <w:r>
        <w:rPr>
          <w:w w:val="110"/>
        </w:rPr>
        <w:t>been</w:t>
      </w:r>
      <w:r>
        <w:rPr>
          <w:spacing w:val="-1"/>
          <w:w w:val="110"/>
        </w:rPr>
        <w:t xml:space="preserve"> </w:t>
      </w:r>
      <w:r>
        <w:rPr>
          <w:w w:val="110"/>
        </w:rPr>
        <w:t>made available to allow countries to address the existential threat posed by climate change and the urgent need for a just transition.</w:t>
      </w:r>
    </w:p>
    <w:p w:rsidR="00B84CED" w:rsidRDefault="00794452" w14:paraId="710ECF4F" w14:textId="77777777">
      <w:pPr>
        <w:pStyle w:val="ListParagraph"/>
        <w:numPr>
          <w:ilvl w:val="0"/>
          <w:numId w:val="1"/>
        </w:numPr>
        <w:tabs>
          <w:tab w:val="left" w:pos="358"/>
          <w:tab w:val="left" w:pos="361"/>
        </w:tabs>
        <w:spacing w:before="162" w:line="357" w:lineRule="auto"/>
        <w:ind w:right="523"/>
      </w:pPr>
      <w:r>
        <w:rPr>
          <w:w w:val="110"/>
        </w:rPr>
        <w:t>The Committee notes that there is no standardised approach to reporting military emissions in the EU and encourages the Commission to use this moment of major investment to create a framework to ensure reporting on emission of the various militaries and their use and supply chains. The Committee further regrets that environmental effects of increased military expenditure and production have not been given</w:t>
      </w:r>
      <w:r>
        <w:rPr>
          <w:spacing w:val="-7"/>
          <w:w w:val="110"/>
        </w:rPr>
        <w:t xml:space="preserve"> </w:t>
      </w:r>
      <w:r>
        <w:rPr>
          <w:w w:val="110"/>
        </w:rPr>
        <w:t>due</w:t>
      </w:r>
      <w:r>
        <w:rPr>
          <w:spacing w:val="-3"/>
          <w:w w:val="110"/>
        </w:rPr>
        <w:t xml:space="preserve"> </w:t>
      </w:r>
      <w:r>
        <w:rPr>
          <w:w w:val="110"/>
        </w:rPr>
        <w:t>consideration</w:t>
      </w:r>
      <w:r>
        <w:rPr>
          <w:spacing w:val="-7"/>
          <w:w w:val="110"/>
        </w:rPr>
        <w:t xml:space="preserve"> </w:t>
      </w:r>
      <w:r>
        <w:rPr>
          <w:w w:val="110"/>
        </w:rPr>
        <w:t>in</w:t>
      </w:r>
      <w:r>
        <w:rPr>
          <w:spacing w:val="-5"/>
          <w:w w:val="110"/>
        </w:rPr>
        <w:t xml:space="preserve"> </w:t>
      </w:r>
      <w:r>
        <w:rPr>
          <w:w w:val="110"/>
        </w:rPr>
        <w:t>the</w:t>
      </w:r>
      <w:r>
        <w:rPr>
          <w:spacing w:val="-3"/>
          <w:w w:val="110"/>
        </w:rPr>
        <w:t xml:space="preserve"> </w:t>
      </w:r>
      <w:r>
        <w:rPr>
          <w:w w:val="110"/>
        </w:rPr>
        <w:t>development</w:t>
      </w:r>
      <w:r>
        <w:rPr>
          <w:spacing w:val="-8"/>
          <w:w w:val="110"/>
        </w:rPr>
        <w:t xml:space="preserve"> </w:t>
      </w:r>
      <w:r>
        <w:rPr>
          <w:w w:val="110"/>
        </w:rPr>
        <w:t>of</w:t>
      </w:r>
      <w:r>
        <w:rPr>
          <w:spacing w:val="-4"/>
          <w:w w:val="110"/>
        </w:rPr>
        <w:t xml:space="preserve"> </w:t>
      </w:r>
      <w:r>
        <w:rPr>
          <w:w w:val="110"/>
        </w:rPr>
        <w:t>measures</w:t>
      </w:r>
      <w:r>
        <w:rPr>
          <w:spacing w:val="-6"/>
          <w:w w:val="110"/>
        </w:rPr>
        <w:t xml:space="preserve"> </w:t>
      </w:r>
      <w:r>
        <w:rPr>
          <w:w w:val="110"/>
        </w:rPr>
        <w:t>to</w:t>
      </w:r>
      <w:r>
        <w:rPr>
          <w:spacing w:val="-6"/>
          <w:w w:val="110"/>
        </w:rPr>
        <w:t xml:space="preserve"> </w:t>
      </w:r>
      <w:r>
        <w:rPr>
          <w:w w:val="110"/>
        </w:rPr>
        <w:t>deal</w:t>
      </w:r>
      <w:r>
        <w:rPr>
          <w:spacing w:val="-7"/>
          <w:w w:val="110"/>
        </w:rPr>
        <w:t xml:space="preserve"> </w:t>
      </w:r>
      <w:r>
        <w:rPr>
          <w:w w:val="110"/>
        </w:rPr>
        <w:t>with</w:t>
      </w:r>
      <w:r>
        <w:rPr>
          <w:spacing w:val="-5"/>
          <w:w w:val="110"/>
        </w:rPr>
        <w:t xml:space="preserve"> </w:t>
      </w:r>
      <w:r>
        <w:rPr>
          <w:w w:val="110"/>
        </w:rPr>
        <w:t>urgent</w:t>
      </w:r>
      <w:r>
        <w:rPr>
          <w:spacing w:val="-5"/>
          <w:w w:val="110"/>
        </w:rPr>
        <w:t xml:space="preserve"> </w:t>
      </w:r>
      <w:r>
        <w:rPr>
          <w:w w:val="110"/>
        </w:rPr>
        <w:t>challenges facing</w:t>
      </w:r>
      <w:r>
        <w:rPr>
          <w:spacing w:val="-2"/>
          <w:w w:val="110"/>
        </w:rPr>
        <w:t xml:space="preserve"> </w:t>
      </w:r>
      <w:r>
        <w:rPr>
          <w:w w:val="110"/>
        </w:rPr>
        <w:t>the</w:t>
      </w:r>
      <w:r>
        <w:rPr>
          <w:spacing w:val="-2"/>
          <w:w w:val="110"/>
        </w:rPr>
        <w:t xml:space="preserve"> </w:t>
      </w:r>
      <w:r>
        <w:rPr>
          <w:w w:val="110"/>
        </w:rPr>
        <w:t>Union</w:t>
      </w:r>
      <w:r>
        <w:rPr>
          <w:spacing w:val="-4"/>
          <w:w w:val="110"/>
        </w:rPr>
        <w:t xml:space="preserve"> </w:t>
      </w:r>
      <w:r>
        <w:rPr>
          <w:w w:val="110"/>
        </w:rPr>
        <w:t>and</w:t>
      </w:r>
      <w:r>
        <w:rPr>
          <w:spacing w:val="-4"/>
          <w:w w:val="110"/>
        </w:rPr>
        <w:t xml:space="preserve"> </w:t>
      </w:r>
      <w:r>
        <w:rPr>
          <w:w w:val="110"/>
        </w:rPr>
        <w:t>in</w:t>
      </w:r>
      <w:r>
        <w:rPr>
          <w:spacing w:val="-4"/>
          <w:w w:val="110"/>
        </w:rPr>
        <w:t xml:space="preserve"> </w:t>
      </w:r>
      <w:r>
        <w:rPr>
          <w:w w:val="110"/>
        </w:rPr>
        <w:t>consideration</w:t>
      </w:r>
      <w:r>
        <w:rPr>
          <w:spacing w:val="-4"/>
          <w:w w:val="110"/>
        </w:rPr>
        <w:t xml:space="preserve"> </w:t>
      </w:r>
      <w:r>
        <w:rPr>
          <w:w w:val="110"/>
        </w:rPr>
        <w:t>of</w:t>
      </w:r>
      <w:r>
        <w:rPr>
          <w:spacing w:val="-3"/>
          <w:w w:val="110"/>
        </w:rPr>
        <w:t xml:space="preserve"> </w:t>
      </w:r>
      <w:r>
        <w:rPr>
          <w:w w:val="110"/>
        </w:rPr>
        <w:t>the</w:t>
      </w:r>
      <w:r>
        <w:rPr>
          <w:spacing w:val="-2"/>
          <w:w w:val="110"/>
        </w:rPr>
        <w:t xml:space="preserve"> </w:t>
      </w:r>
      <w:r>
        <w:rPr>
          <w:w w:val="110"/>
        </w:rPr>
        <w:t>urgent</w:t>
      </w:r>
      <w:r>
        <w:rPr>
          <w:spacing w:val="-4"/>
          <w:w w:val="110"/>
        </w:rPr>
        <w:t xml:space="preserve"> </w:t>
      </w:r>
      <w:r>
        <w:rPr>
          <w:w w:val="110"/>
        </w:rPr>
        <w:t>challenges</w:t>
      </w:r>
      <w:r>
        <w:rPr>
          <w:spacing w:val="-5"/>
          <w:w w:val="110"/>
        </w:rPr>
        <w:t xml:space="preserve"> </w:t>
      </w:r>
      <w:r>
        <w:rPr>
          <w:w w:val="110"/>
        </w:rPr>
        <w:t>facing</w:t>
      </w:r>
      <w:r>
        <w:rPr>
          <w:spacing w:val="-2"/>
          <w:w w:val="110"/>
        </w:rPr>
        <w:t xml:space="preserve"> </w:t>
      </w:r>
      <w:r>
        <w:rPr>
          <w:w w:val="110"/>
        </w:rPr>
        <w:t>the</w:t>
      </w:r>
      <w:r>
        <w:rPr>
          <w:spacing w:val="-7"/>
          <w:w w:val="110"/>
        </w:rPr>
        <w:t xml:space="preserve"> </w:t>
      </w:r>
      <w:r>
        <w:rPr>
          <w:w w:val="110"/>
        </w:rPr>
        <w:t>Union,</w:t>
      </w:r>
      <w:r>
        <w:rPr>
          <w:spacing w:val="-3"/>
          <w:w w:val="110"/>
        </w:rPr>
        <w:t xml:space="preserve"> </w:t>
      </w:r>
      <w:r>
        <w:rPr>
          <w:w w:val="110"/>
        </w:rPr>
        <w:t>further notes the presence of hard evidence of the existential risks to European peace and security posed by climate change.</w:t>
      </w:r>
    </w:p>
    <w:p w:rsidR="00B84CED" w:rsidRDefault="00794452" w14:paraId="60341092" w14:textId="77777777">
      <w:pPr>
        <w:pStyle w:val="ListParagraph"/>
        <w:numPr>
          <w:ilvl w:val="0"/>
          <w:numId w:val="1"/>
        </w:numPr>
        <w:tabs>
          <w:tab w:val="left" w:pos="358"/>
          <w:tab w:val="left" w:pos="361"/>
        </w:tabs>
        <w:spacing w:before="161" w:line="357" w:lineRule="auto"/>
        <w:ind w:right="613"/>
      </w:pPr>
      <w:r>
        <w:rPr>
          <w:w w:val="110"/>
        </w:rPr>
        <w:t>The</w:t>
      </w:r>
      <w:r>
        <w:rPr>
          <w:spacing w:val="-6"/>
          <w:w w:val="110"/>
        </w:rPr>
        <w:t xml:space="preserve"> </w:t>
      </w:r>
      <w:r>
        <w:rPr>
          <w:w w:val="110"/>
        </w:rPr>
        <w:t>Committee</w:t>
      </w:r>
      <w:r>
        <w:rPr>
          <w:spacing w:val="-6"/>
          <w:w w:val="110"/>
        </w:rPr>
        <w:t xml:space="preserve"> </w:t>
      </w:r>
      <w:r>
        <w:rPr>
          <w:w w:val="110"/>
        </w:rPr>
        <w:t>is</w:t>
      </w:r>
      <w:r>
        <w:rPr>
          <w:spacing w:val="-6"/>
          <w:w w:val="110"/>
        </w:rPr>
        <w:t xml:space="preserve"> </w:t>
      </w:r>
      <w:r>
        <w:rPr>
          <w:w w:val="110"/>
        </w:rPr>
        <w:t>further</w:t>
      </w:r>
      <w:r>
        <w:rPr>
          <w:spacing w:val="-4"/>
          <w:w w:val="110"/>
        </w:rPr>
        <w:t xml:space="preserve"> </w:t>
      </w:r>
      <w:r>
        <w:rPr>
          <w:w w:val="110"/>
        </w:rPr>
        <w:t>concerned</w:t>
      </w:r>
      <w:r>
        <w:rPr>
          <w:spacing w:val="-8"/>
          <w:w w:val="110"/>
        </w:rPr>
        <w:t xml:space="preserve"> </w:t>
      </w:r>
      <w:r>
        <w:rPr>
          <w:w w:val="110"/>
        </w:rPr>
        <w:t>with</w:t>
      </w:r>
      <w:r>
        <w:rPr>
          <w:spacing w:val="-5"/>
          <w:w w:val="110"/>
        </w:rPr>
        <w:t xml:space="preserve"> </w:t>
      </w:r>
      <w:r>
        <w:rPr>
          <w:w w:val="110"/>
        </w:rPr>
        <w:t>the</w:t>
      </w:r>
      <w:r>
        <w:rPr>
          <w:spacing w:val="-6"/>
          <w:w w:val="110"/>
        </w:rPr>
        <w:t xml:space="preserve"> </w:t>
      </w:r>
      <w:r>
        <w:rPr>
          <w:w w:val="110"/>
        </w:rPr>
        <w:t>measures</w:t>
      </w:r>
      <w:r>
        <w:rPr>
          <w:spacing w:val="-4"/>
          <w:w w:val="110"/>
        </w:rPr>
        <w:t xml:space="preserve"> </w:t>
      </w:r>
      <w:r>
        <w:rPr>
          <w:w w:val="110"/>
        </w:rPr>
        <w:t>allowing</w:t>
      </w:r>
      <w:r>
        <w:rPr>
          <w:spacing w:val="-6"/>
          <w:w w:val="110"/>
        </w:rPr>
        <w:t xml:space="preserve"> </w:t>
      </w:r>
      <w:r>
        <w:rPr>
          <w:w w:val="110"/>
        </w:rPr>
        <w:t>redirection</w:t>
      </w:r>
      <w:r>
        <w:rPr>
          <w:spacing w:val="-7"/>
          <w:w w:val="110"/>
        </w:rPr>
        <w:t xml:space="preserve"> </w:t>
      </w:r>
      <w:r>
        <w:rPr>
          <w:w w:val="110"/>
        </w:rPr>
        <w:t>of</w:t>
      </w:r>
      <w:r>
        <w:rPr>
          <w:spacing w:val="-6"/>
          <w:w w:val="110"/>
        </w:rPr>
        <w:t xml:space="preserve"> </w:t>
      </w:r>
      <w:r>
        <w:rPr>
          <w:w w:val="110"/>
        </w:rPr>
        <w:t>existing cohesion funds towards defence purposes, while simultaneously removing much needed funding from its intended purposes.</w:t>
      </w:r>
    </w:p>
    <w:p w:rsidR="00B84CED" w:rsidRDefault="00B84CED" w14:paraId="486C8914" w14:textId="77777777">
      <w:pPr>
        <w:pStyle w:val="ListParagraph"/>
        <w:spacing w:line="357" w:lineRule="auto"/>
        <w:sectPr w:rsidR="00B84CED" w:rsidSect="00196DB0">
          <w:footerReference w:type="even" r:id="R4c86f2cc2f744d4c"/>
          <w:footerReference w:type="first" r:id="R3ddeee2cff9e4947"/>
          <w:headerReference w:type="even" r:id="R0fb5c3d179ab40d0"/>
          <w:headerReference w:type="first" r:id="Rb0c3b1022d1e4dbc"/>
          <w:pgSz w:w="11907" w:h="16839"/>
          <w:pgMar w:top="1134" w:right="1134" w:bottom="1134" w:left="1134" w:header="567" w:footer="567" w:gutter="0"/>
          <w:cols w:space="720"/>
          <w:docGrid w:linePitch="299"/>
        </w:sectPr>
      </w:pPr>
    </w:p>
    <w:p w:rsidR="00B84CED" w:rsidRDefault="00794452" w14:paraId="06D3AE85" w14:textId="77777777">
      <w:pPr>
        <w:pStyle w:val="ListParagraph"/>
        <w:numPr>
          <w:ilvl w:val="0"/>
          <w:numId w:val="1"/>
        </w:numPr>
        <w:tabs>
          <w:tab w:val="left" w:pos="358"/>
          <w:tab w:val="left" w:pos="361"/>
        </w:tabs>
        <w:spacing w:before="109" w:line="357" w:lineRule="auto"/>
        <w:ind w:right="423"/>
      </w:pPr>
      <w:r>
        <w:rPr>
          <w:w w:val="110"/>
        </w:rPr>
        <w:lastRenderedPageBreak/>
        <w:t>The Committee note the selective suspension of the fiscal rules to accommodate large scale increases in military spending, and</w:t>
      </w:r>
      <w:r>
        <w:rPr>
          <w:spacing w:val="-4"/>
          <w:w w:val="110"/>
        </w:rPr>
        <w:t xml:space="preserve"> </w:t>
      </w:r>
      <w:r>
        <w:rPr>
          <w:w w:val="110"/>
        </w:rPr>
        <w:t>regret that no</w:t>
      </w:r>
      <w:r>
        <w:rPr>
          <w:spacing w:val="-1"/>
          <w:w w:val="110"/>
        </w:rPr>
        <w:t xml:space="preserve"> </w:t>
      </w:r>
      <w:r>
        <w:rPr>
          <w:w w:val="110"/>
        </w:rPr>
        <w:t>similar</w:t>
      </w:r>
      <w:r>
        <w:rPr>
          <w:spacing w:val="-1"/>
          <w:w w:val="110"/>
        </w:rPr>
        <w:t xml:space="preserve"> </w:t>
      </w:r>
      <w:r>
        <w:rPr>
          <w:w w:val="110"/>
        </w:rPr>
        <w:t>flexibility</w:t>
      </w:r>
      <w:r>
        <w:rPr>
          <w:spacing w:val="-2"/>
          <w:w w:val="110"/>
        </w:rPr>
        <w:t xml:space="preserve"> </w:t>
      </w:r>
      <w:r>
        <w:rPr>
          <w:w w:val="110"/>
        </w:rPr>
        <w:t>has been</w:t>
      </w:r>
      <w:r>
        <w:rPr>
          <w:spacing w:val="-4"/>
          <w:w w:val="110"/>
        </w:rPr>
        <w:t xml:space="preserve"> </w:t>
      </w:r>
      <w:r>
        <w:rPr>
          <w:w w:val="110"/>
        </w:rPr>
        <w:t>shown in relation to the climate</w:t>
      </w:r>
      <w:r>
        <w:rPr>
          <w:spacing w:val="-1"/>
          <w:w w:val="110"/>
        </w:rPr>
        <w:t xml:space="preserve"> </w:t>
      </w:r>
      <w:r>
        <w:rPr>
          <w:w w:val="110"/>
        </w:rPr>
        <w:t>crisis</w:t>
      </w:r>
      <w:r>
        <w:rPr>
          <w:spacing w:val="-1"/>
          <w:w w:val="110"/>
        </w:rPr>
        <w:t xml:space="preserve"> </w:t>
      </w:r>
      <w:r>
        <w:rPr>
          <w:w w:val="110"/>
        </w:rPr>
        <w:t>which poses</w:t>
      </w:r>
      <w:r>
        <w:rPr>
          <w:spacing w:val="-1"/>
          <w:w w:val="110"/>
        </w:rPr>
        <w:t xml:space="preserve"> </w:t>
      </w:r>
      <w:r>
        <w:rPr>
          <w:w w:val="110"/>
        </w:rPr>
        <w:t>a significant threat</w:t>
      </w:r>
      <w:r>
        <w:rPr>
          <w:spacing w:val="-3"/>
          <w:w w:val="110"/>
        </w:rPr>
        <w:t xml:space="preserve"> </w:t>
      </w:r>
      <w:r>
        <w:rPr>
          <w:w w:val="110"/>
        </w:rPr>
        <w:t>to</w:t>
      </w:r>
      <w:r>
        <w:rPr>
          <w:spacing w:val="-1"/>
          <w:w w:val="110"/>
        </w:rPr>
        <w:t xml:space="preserve"> </w:t>
      </w:r>
      <w:r>
        <w:rPr>
          <w:w w:val="110"/>
        </w:rPr>
        <w:t>our</w:t>
      </w:r>
      <w:r>
        <w:rPr>
          <w:spacing w:val="-1"/>
          <w:w w:val="110"/>
        </w:rPr>
        <w:t xml:space="preserve"> </w:t>
      </w:r>
      <w:r>
        <w:rPr>
          <w:w w:val="110"/>
        </w:rPr>
        <w:t>collective security.</w:t>
      </w:r>
    </w:p>
    <w:p w:rsidR="00B84CED" w:rsidRDefault="00794452" w14:paraId="01DAC72A" w14:textId="77777777">
      <w:pPr>
        <w:pStyle w:val="ListParagraph"/>
        <w:numPr>
          <w:ilvl w:val="0"/>
          <w:numId w:val="1"/>
        </w:numPr>
        <w:tabs>
          <w:tab w:val="left" w:pos="358"/>
          <w:tab w:val="left" w:pos="361"/>
        </w:tabs>
        <w:spacing w:before="160" w:line="357" w:lineRule="auto"/>
        <w:ind w:right="487"/>
      </w:pPr>
      <w:r>
        <w:rPr>
          <w:w w:val="110"/>
        </w:rPr>
        <w:t>The Committee is concerned by the shift in policy priorities by the Commission, which pushes</w:t>
      </w:r>
      <w:r>
        <w:rPr>
          <w:spacing w:val="-9"/>
          <w:w w:val="110"/>
        </w:rPr>
        <w:t xml:space="preserve"> </w:t>
      </w:r>
      <w:r>
        <w:rPr>
          <w:w w:val="110"/>
        </w:rPr>
        <w:t>the</w:t>
      </w:r>
      <w:r>
        <w:rPr>
          <w:spacing w:val="-9"/>
          <w:w w:val="110"/>
        </w:rPr>
        <w:t xml:space="preserve"> </w:t>
      </w:r>
      <w:r>
        <w:rPr>
          <w:w w:val="110"/>
        </w:rPr>
        <w:t>current</w:t>
      </w:r>
      <w:r>
        <w:rPr>
          <w:spacing w:val="-13"/>
          <w:w w:val="110"/>
        </w:rPr>
        <w:t xml:space="preserve"> </w:t>
      </w:r>
      <w:r>
        <w:rPr>
          <w:w w:val="110"/>
        </w:rPr>
        <w:t>Union</w:t>
      </w:r>
      <w:r>
        <w:rPr>
          <w:spacing w:val="-10"/>
          <w:w w:val="110"/>
        </w:rPr>
        <w:t xml:space="preserve"> </w:t>
      </w:r>
      <w:r>
        <w:rPr>
          <w:w w:val="110"/>
        </w:rPr>
        <w:t>further</w:t>
      </w:r>
      <w:r>
        <w:rPr>
          <w:spacing w:val="-9"/>
          <w:w w:val="110"/>
        </w:rPr>
        <w:t xml:space="preserve"> </w:t>
      </w:r>
      <w:r>
        <w:rPr>
          <w:w w:val="110"/>
        </w:rPr>
        <w:t>and</w:t>
      </w:r>
      <w:r>
        <w:rPr>
          <w:spacing w:val="-13"/>
          <w:w w:val="110"/>
        </w:rPr>
        <w:t xml:space="preserve"> </w:t>
      </w:r>
      <w:r>
        <w:rPr>
          <w:w w:val="110"/>
        </w:rPr>
        <w:t>further</w:t>
      </w:r>
      <w:r>
        <w:rPr>
          <w:spacing w:val="-9"/>
          <w:w w:val="110"/>
        </w:rPr>
        <w:t xml:space="preserve"> </w:t>
      </w:r>
      <w:r>
        <w:rPr>
          <w:w w:val="110"/>
        </w:rPr>
        <w:t>away</w:t>
      </w:r>
      <w:r>
        <w:rPr>
          <w:spacing w:val="-9"/>
          <w:w w:val="110"/>
        </w:rPr>
        <w:t xml:space="preserve"> </w:t>
      </w:r>
      <w:r>
        <w:rPr>
          <w:w w:val="110"/>
        </w:rPr>
        <w:t>from</w:t>
      </w:r>
      <w:r>
        <w:rPr>
          <w:spacing w:val="-10"/>
          <w:w w:val="110"/>
        </w:rPr>
        <w:t xml:space="preserve"> </w:t>
      </w:r>
      <w:r>
        <w:rPr>
          <w:w w:val="110"/>
        </w:rPr>
        <w:t>the</w:t>
      </w:r>
      <w:r>
        <w:rPr>
          <w:spacing w:val="-9"/>
          <w:w w:val="110"/>
        </w:rPr>
        <w:t xml:space="preserve"> </w:t>
      </w:r>
      <w:r>
        <w:rPr>
          <w:w w:val="110"/>
        </w:rPr>
        <w:t>Unions</w:t>
      </w:r>
      <w:r>
        <w:rPr>
          <w:spacing w:val="-11"/>
          <w:w w:val="110"/>
        </w:rPr>
        <w:t xml:space="preserve"> </w:t>
      </w:r>
      <w:r>
        <w:rPr>
          <w:w w:val="110"/>
        </w:rPr>
        <w:t>origins</w:t>
      </w:r>
      <w:r>
        <w:rPr>
          <w:spacing w:val="-9"/>
          <w:w w:val="110"/>
        </w:rPr>
        <w:t xml:space="preserve"> </w:t>
      </w:r>
      <w:r>
        <w:rPr>
          <w:w w:val="110"/>
        </w:rPr>
        <w:t>as</w:t>
      </w:r>
      <w:r>
        <w:rPr>
          <w:spacing w:val="-9"/>
          <w:w w:val="110"/>
        </w:rPr>
        <w:t xml:space="preserve"> </w:t>
      </w:r>
      <w:r>
        <w:rPr>
          <w:w w:val="110"/>
        </w:rPr>
        <w:t>project</w:t>
      </w:r>
      <w:r>
        <w:rPr>
          <w:spacing w:val="-10"/>
          <w:w w:val="110"/>
        </w:rPr>
        <w:t xml:space="preserve"> </w:t>
      </w:r>
      <w:r>
        <w:rPr>
          <w:w w:val="110"/>
        </w:rPr>
        <w:t xml:space="preserve">for </w:t>
      </w:r>
      <w:r>
        <w:rPr>
          <w:spacing w:val="-2"/>
          <w:w w:val="110"/>
        </w:rPr>
        <w:t>peace.</w:t>
      </w:r>
    </w:p>
    <w:p w:rsidR="00B84CED" w:rsidRDefault="00794452" w14:paraId="41173521" w14:textId="77777777">
      <w:pPr>
        <w:pStyle w:val="ListParagraph"/>
        <w:numPr>
          <w:ilvl w:val="0"/>
          <w:numId w:val="1"/>
        </w:numPr>
        <w:tabs>
          <w:tab w:val="left" w:pos="358"/>
          <w:tab w:val="left" w:pos="361"/>
        </w:tabs>
        <w:spacing w:before="160" w:line="357" w:lineRule="auto"/>
        <w:ind w:right="982"/>
      </w:pPr>
      <w:r>
        <w:rPr>
          <w:w w:val="110"/>
        </w:rPr>
        <w:t>It</w:t>
      </w:r>
      <w:r>
        <w:rPr>
          <w:spacing w:val="-1"/>
          <w:w w:val="110"/>
        </w:rPr>
        <w:t xml:space="preserve"> </w:t>
      </w:r>
      <w:r>
        <w:rPr>
          <w:w w:val="110"/>
        </w:rPr>
        <w:t>is the</w:t>
      </w:r>
      <w:r>
        <w:rPr>
          <w:spacing w:val="-2"/>
          <w:w w:val="110"/>
        </w:rPr>
        <w:t xml:space="preserve"> </w:t>
      </w:r>
      <w:r>
        <w:rPr>
          <w:w w:val="110"/>
        </w:rPr>
        <w:t>opinion</w:t>
      </w:r>
      <w:r>
        <w:rPr>
          <w:spacing w:val="-3"/>
          <w:w w:val="110"/>
        </w:rPr>
        <w:t xml:space="preserve"> </w:t>
      </w:r>
      <w:r>
        <w:rPr>
          <w:w w:val="110"/>
        </w:rPr>
        <w:t>of the</w:t>
      </w:r>
      <w:r>
        <w:rPr>
          <w:spacing w:val="-2"/>
          <w:w w:val="110"/>
        </w:rPr>
        <w:t xml:space="preserve"> </w:t>
      </w:r>
      <w:r>
        <w:rPr>
          <w:w w:val="110"/>
        </w:rPr>
        <w:t>Committee that</w:t>
      </w:r>
      <w:r>
        <w:rPr>
          <w:spacing w:val="-1"/>
          <w:w w:val="110"/>
        </w:rPr>
        <w:t xml:space="preserve"> </w:t>
      </w:r>
      <w:r>
        <w:rPr>
          <w:w w:val="110"/>
        </w:rPr>
        <w:t>in</w:t>
      </w:r>
      <w:r>
        <w:rPr>
          <w:spacing w:val="-1"/>
          <w:w w:val="110"/>
        </w:rPr>
        <w:t xml:space="preserve"> </w:t>
      </w:r>
      <w:r>
        <w:rPr>
          <w:w w:val="110"/>
        </w:rPr>
        <w:t>legislative files</w:t>
      </w:r>
      <w:r>
        <w:rPr>
          <w:spacing w:val="-5"/>
          <w:w w:val="110"/>
        </w:rPr>
        <w:t xml:space="preserve"> </w:t>
      </w:r>
      <w:r>
        <w:rPr>
          <w:w w:val="110"/>
        </w:rPr>
        <w:t>of</w:t>
      </w:r>
      <w:r>
        <w:rPr>
          <w:spacing w:val="-2"/>
          <w:w w:val="110"/>
        </w:rPr>
        <w:t xml:space="preserve"> </w:t>
      </w:r>
      <w:r>
        <w:rPr>
          <w:w w:val="110"/>
        </w:rPr>
        <w:t>significance</w:t>
      </w:r>
      <w:r>
        <w:rPr>
          <w:spacing w:val="-2"/>
          <w:w w:val="110"/>
        </w:rPr>
        <w:t xml:space="preserve"> </w:t>
      </w:r>
      <w:r>
        <w:rPr>
          <w:w w:val="110"/>
        </w:rPr>
        <w:t>such</w:t>
      </w:r>
      <w:r>
        <w:rPr>
          <w:spacing w:val="-1"/>
          <w:w w:val="110"/>
        </w:rPr>
        <w:t xml:space="preserve"> </w:t>
      </w:r>
      <w:r>
        <w:rPr>
          <w:w w:val="110"/>
        </w:rPr>
        <w:t>as the SAFE Regulation, the ordinary legislative procedure should be used.</w:t>
      </w:r>
    </w:p>
    <w:p w:rsidR="00B84CED" w:rsidRDefault="00794452" w14:paraId="325E0689" w14:textId="77777777">
      <w:pPr>
        <w:pStyle w:val="ListParagraph"/>
        <w:numPr>
          <w:ilvl w:val="0"/>
          <w:numId w:val="1"/>
        </w:numPr>
        <w:tabs>
          <w:tab w:val="left" w:pos="359"/>
          <w:tab w:val="left" w:pos="362"/>
        </w:tabs>
        <w:spacing w:before="160" w:line="357" w:lineRule="auto"/>
        <w:ind w:left="362" w:right="442"/>
      </w:pPr>
      <w:r>
        <w:rPr>
          <w:w w:val="110"/>
        </w:rPr>
        <w:t>The Committee is concerned that the SAFE programme may be in conflict with Article</w:t>
      </w:r>
      <w:r>
        <w:rPr>
          <w:spacing w:val="40"/>
          <w:w w:val="110"/>
        </w:rPr>
        <w:t xml:space="preserve"> </w:t>
      </w:r>
      <w:r>
        <w:rPr>
          <w:w w:val="110"/>
        </w:rPr>
        <w:t>29 of Bunreacht Na hÉireann, that affirms Ireland’s military neutrality. The Committee further notes that Article 29 commits Ireland to the ‘pacific settlement of international disputes by international arbitration or judicial determination’; within this legislation there</w:t>
      </w:r>
      <w:r>
        <w:rPr>
          <w:spacing w:val="-6"/>
          <w:w w:val="110"/>
        </w:rPr>
        <w:t xml:space="preserve"> </w:t>
      </w:r>
      <w:r>
        <w:rPr>
          <w:w w:val="110"/>
        </w:rPr>
        <w:t>is</w:t>
      </w:r>
      <w:r>
        <w:rPr>
          <w:spacing w:val="-6"/>
          <w:w w:val="110"/>
        </w:rPr>
        <w:t xml:space="preserve"> </w:t>
      </w:r>
      <w:r>
        <w:rPr>
          <w:w w:val="110"/>
        </w:rPr>
        <w:t>no</w:t>
      </w:r>
      <w:r>
        <w:rPr>
          <w:spacing w:val="-6"/>
          <w:w w:val="110"/>
        </w:rPr>
        <w:t xml:space="preserve"> </w:t>
      </w:r>
      <w:r>
        <w:rPr>
          <w:w w:val="110"/>
        </w:rPr>
        <w:t>guarantee</w:t>
      </w:r>
      <w:r>
        <w:rPr>
          <w:spacing w:val="-3"/>
          <w:w w:val="110"/>
        </w:rPr>
        <w:t xml:space="preserve"> </w:t>
      </w:r>
      <w:r>
        <w:rPr>
          <w:w w:val="110"/>
        </w:rPr>
        <w:t>that</w:t>
      </w:r>
      <w:r>
        <w:rPr>
          <w:spacing w:val="-5"/>
          <w:w w:val="110"/>
        </w:rPr>
        <w:t xml:space="preserve"> </w:t>
      </w:r>
      <w:r>
        <w:rPr>
          <w:w w:val="110"/>
        </w:rPr>
        <w:t>military</w:t>
      </w:r>
      <w:r>
        <w:rPr>
          <w:spacing w:val="-7"/>
          <w:w w:val="110"/>
        </w:rPr>
        <w:t xml:space="preserve"> </w:t>
      </w:r>
      <w:r>
        <w:rPr>
          <w:w w:val="110"/>
        </w:rPr>
        <w:t>equipment</w:t>
      </w:r>
      <w:r>
        <w:rPr>
          <w:spacing w:val="-5"/>
          <w:w w:val="110"/>
        </w:rPr>
        <w:t xml:space="preserve"> </w:t>
      </w:r>
      <w:r>
        <w:rPr>
          <w:w w:val="110"/>
        </w:rPr>
        <w:t>purchased</w:t>
      </w:r>
      <w:r>
        <w:rPr>
          <w:spacing w:val="-8"/>
          <w:w w:val="110"/>
        </w:rPr>
        <w:t xml:space="preserve"> </w:t>
      </w:r>
      <w:r>
        <w:rPr>
          <w:w w:val="110"/>
        </w:rPr>
        <w:t>with</w:t>
      </w:r>
      <w:r>
        <w:rPr>
          <w:spacing w:val="-5"/>
          <w:w w:val="110"/>
        </w:rPr>
        <w:t xml:space="preserve"> </w:t>
      </w:r>
      <w:r>
        <w:rPr>
          <w:w w:val="110"/>
        </w:rPr>
        <w:t>these</w:t>
      </w:r>
      <w:r>
        <w:rPr>
          <w:spacing w:val="-3"/>
          <w:w w:val="110"/>
        </w:rPr>
        <w:t xml:space="preserve"> </w:t>
      </w:r>
      <w:r>
        <w:rPr>
          <w:w w:val="110"/>
        </w:rPr>
        <w:t>loans</w:t>
      </w:r>
      <w:r>
        <w:rPr>
          <w:spacing w:val="-6"/>
          <w:w w:val="110"/>
        </w:rPr>
        <w:t xml:space="preserve"> </w:t>
      </w:r>
      <w:r>
        <w:rPr>
          <w:w w:val="110"/>
        </w:rPr>
        <w:t>will</w:t>
      </w:r>
      <w:r>
        <w:rPr>
          <w:spacing w:val="-7"/>
          <w:w w:val="110"/>
        </w:rPr>
        <w:t xml:space="preserve"> </w:t>
      </w:r>
      <w:r>
        <w:rPr>
          <w:w w:val="110"/>
        </w:rPr>
        <w:t>be</w:t>
      </w:r>
      <w:r>
        <w:rPr>
          <w:spacing w:val="-3"/>
          <w:w w:val="110"/>
        </w:rPr>
        <w:t xml:space="preserve"> </w:t>
      </w:r>
      <w:r>
        <w:rPr>
          <w:w w:val="110"/>
        </w:rPr>
        <w:t>used</w:t>
      </w:r>
      <w:r>
        <w:rPr>
          <w:spacing w:val="-8"/>
          <w:w w:val="110"/>
        </w:rPr>
        <w:t xml:space="preserve"> </w:t>
      </w:r>
      <w:r>
        <w:rPr>
          <w:w w:val="110"/>
        </w:rPr>
        <w:t>in consistency with these principles.</w:t>
      </w:r>
    </w:p>
    <w:p w:rsidR="00B84CED" w:rsidRDefault="00B84CED" w14:paraId="5C2D948D" w14:textId="77777777">
      <w:pPr>
        <w:pStyle w:val="BodyText"/>
        <w:spacing w:before="133"/>
      </w:pPr>
    </w:p>
    <w:p w:rsidR="00B84CED" w:rsidRDefault="00794452" w14:paraId="5BA8DCCF" w14:textId="77777777">
      <w:pPr>
        <w:pStyle w:val="ListParagraph"/>
        <w:numPr>
          <w:ilvl w:val="0"/>
          <w:numId w:val="1"/>
        </w:numPr>
        <w:tabs>
          <w:tab w:val="left" w:pos="359"/>
          <w:tab w:val="left" w:pos="361"/>
        </w:tabs>
        <w:spacing w:line="357" w:lineRule="auto"/>
        <w:ind w:right="458" w:hanging="360"/>
      </w:pPr>
      <w:r>
        <w:rPr>
          <w:w w:val="110"/>
        </w:rPr>
        <w:t>The Committee is of the opinion that there is a significant conflict between the SAFE Regulation and Ireland’s Cluster Munitions and Anti-Personnel Mines Act, 2008</w:t>
      </w:r>
      <w:hyperlink w:history="1" w:anchor="_bookmark4">
        <w:r>
          <w:rPr>
            <w:w w:val="110"/>
            <w:position w:val="8"/>
            <w:sz w:val="13"/>
          </w:rPr>
          <w:t>1</w:t>
        </w:r>
      </w:hyperlink>
      <w:r>
        <w:rPr>
          <w:w w:val="110"/>
        </w:rPr>
        <w:t>, which prohibits the Irish State from “investing, either directly or indirectly, in the production, stockpiling</w:t>
      </w:r>
      <w:r>
        <w:rPr>
          <w:spacing w:val="-2"/>
          <w:w w:val="110"/>
        </w:rPr>
        <w:t xml:space="preserve"> </w:t>
      </w:r>
      <w:r>
        <w:rPr>
          <w:w w:val="110"/>
        </w:rPr>
        <w:t>or</w:t>
      </w:r>
      <w:r>
        <w:rPr>
          <w:spacing w:val="-2"/>
          <w:w w:val="110"/>
        </w:rPr>
        <w:t xml:space="preserve"> </w:t>
      </w:r>
      <w:r>
        <w:rPr>
          <w:w w:val="110"/>
        </w:rPr>
        <w:t>use</w:t>
      </w:r>
      <w:r>
        <w:rPr>
          <w:spacing w:val="-2"/>
          <w:w w:val="110"/>
        </w:rPr>
        <w:t xml:space="preserve"> </w:t>
      </w:r>
      <w:r>
        <w:rPr>
          <w:w w:val="110"/>
        </w:rPr>
        <w:t>of cluster munitions and</w:t>
      </w:r>
      <w:r>
        <w:rPr>
          <w:spacing w:val="-4"/>
          <w:w w:val="110"/>
        </w:rPr>
        <w:t xml:space="preserve"> </w:t>
      </w:r>
      <w:r>
        <w:rPr>
          <w:w w:val="110"/>
        </w:rPr>
        <w:t>anti-personnel</w:t>
      </w:r>
      <w:r>
        <w:rPr>
          <w:spacing w:val="-1"/>
          <w:w w:val="110"/>
        </w:rPr>
        <w:t xml:space="preserve"> </w:t>
      </w:r>
      <w:r>
        <w:rPr>
          <w:w w:val="110"/>
        </w:rPr>
        <w:t>mines”.</w:t>
      </w:r>
      <w:r>
        <w:rPr>
          <w:spacing w:val="-3"/>
          <w:w w:val="110"/>
        </w:rPr>
        <w:t xml:space="preserve"> </w:t>
      </w:r>
      <w:r>
        <w:rPr>
          <w:w w:val="110"/>
        </w:rPr>
        <w:t>The</w:t>
      </w:r>
      <w:r>
        <w:rPr>
          <w:spacing w:val="-2"/>
          <w:w w:val="110"/>
        </w:rPr>
        <w:t xml:space="preserve"> </w:t>
      </w:r>
      <w:r>
        <w:rPr>
          <w:w w:val="110"/>
        </w:rPr>
        <w:t>Committee notes with</w:t>
      </w:r>
      <w:r>
        <w:rPr>
          <w:spacing w:val="-12"/>
          <w:w w:val="110"/>
        </w:rPr>
        <w:t xml:space="preserve"> </w:t>
      </w:r>
      <w:r>
        <w:rPr>
          <w:w w:val="110"/>
        </w:rPr>
        <w:t>concern</w:t>
      </w:r>
      <w:r>
        <w:rPr>
          <w:spacing w:val="-12"/>
          <w:w w:val="110"/>
        </w:rPr>
        <w:t xml:space="preserve"> </w:t>
      </w:r>
      <w:r>
        <w:rPr>
          <w:w w:val="110"/>
        </w:rPr>
        <w:t>the</w:t>
      </w:r>
      <w:r>
        <w:rPr>
          <w:spacing w:val="-12"/>
          <w:w w:val="110"/>
        </w:rPr>
        <w:t xml:space="preserve"> </w:t>
      </w:r>
      <w:r>
        <w:rPr>
          <w:w w:val="110"/>
        </w:rPr>
        <w:t>recent</w:t>
      </w:r>
      <w:r>
        <w:rPr>
          <w:spacing w:val="-13"/>
          <w:w w:val="110"/>
        </w:rPr>
        <w:t xml:space="preserve"> </w:t>
      </w:r>
      <w:r>
        <w:rPr>
          <w:w w:val="110"/>
        </w:rPr>
        <w:t>departure</w:t>
      </w:r>
      <w:r>
        <w:rPr>
          <w:spacing w:val="-10"/>
          <w:w w:val="110"/>
        </w:rPr>
        <w:t xml:space="preserve"> </w:t>
      </w:r>
      <w:r>
        <w:rPr>
          <w:w w:val="110"/>
        </w:rPr>
        <w:t>from</w:t>
      </w:r>
      <w:r>
        <w:rPr>
          <w:spacing w:val="-14"/>
          <w:w w:val="110"/>
        </w:rPr>
        <w:t xml:space="preserve"> </w:t>
      </w:r>
      <w:r>
        <w:rPr>
          <w:w w:val="110"/>
        </w:rPr>
        <w:t>The</w:t>
      </w:r>
      <w:r>
        <w:rPr>
          <w:spacing w:val="-10"/>
          <w:w w:val="110"/>
        </w:rPr>
        <w:t xml:space="preserve"> </w:t>
      </w:r>
      <w:r>
        <w:rPr>
          <w:w w:val="110"/>
        </w:rPr>
        <w:t>Convention</w:t>
      </w:r>
      <w:r>
        <w:rPr>
          <w:spacing w:val="-13"/>
          <w:w w:val="110"/>
        </w:rPr>
        <w:t xml:space="preserve"> </w:t>
      </w:r>
      <w:r>
        <w:rPr>
          <w:w w:val="110"/>
        </w:rPr>
        <w:t>on</w:t>
      </w:r>
      <w:r>
        <w:rPr>
          <w:spacing w:val="-12"/>
          <w:w w:val="110"/>
        </w:rPr>
        <w:t xml:space="preserve"> </w:t>
      </w:r>
      <w:r>
        <w:rPr>
          <w:w w:val="110"/>
        </w:rPr>
        <w:t>Cluster</w:t>
      </w:r>
      <w:r>
        <w:rPr>
          <w:spacing w:val="-12"/>
          <w:w w:val="110"/>
        </w:rPr>
        <w:t xml:space="preserve"> </w:t>
      </w:r>
      <w:r>
        <w:rPr>
          <w:w w:val="110"/>
        </w:rPr>
        <w:t>Munitions</w:t>
      </w:r>
      <w:r>
        <w:rPr>
          <w:spacing w:val="-11"/>
          <w:w w:val="110"/>
        </w:rPr>
        <w:t xml:space="preserve"> </w:t>
      </w:r>
      <w:r>
        <w:rPr>
          <w:w w:val="110"/>
        </w:rPr>
        <w:t>and/or</w:t>
      </w:r>
      <w:r>
        <w:rPr>
          <w:spacing w:val="-11"/>
          <w:w w:val="110"/>
        </w:rPr>
        <w:t xml:space="preserve"> </w:t>
      </w:r>
      <w:r>
        <w:rPr>
          <w:w w:val="110"/>
        </w:rPr>
        <w:t>the Anti-Personnel Mine Ban Convention by several EU states such as Poland, Latvia, Lithuania and Finland. The Committee further highlights the evidence from Commission officials during the meeting of 15 October which confirmed that, if in alignment with national policy, a member state may choose to spend this money on cluster munitions and landmines.</w:t>
      </w:r>
    </w:p>
    <w:p w:rsidR="00B84CED" w:rsidRDefault="00794452" w14:paraId="782BC724" w14:textId="77777777">
      <w:pPr>
        <w:pStyle w:val="BodyText"/>
        <w:spacing w:before="5" w:line="292" w:lineRule="auto"/>
        <w:ind w:left="361" w:right="591"/>
      </w:pPr>
      <w:r>
        <w:rPr>
          <w:w w:val="110"/>
        </w:rPr>
        <w:t>The Committee therefore believe there is an inherent legal risk that Irelands participation</w:t>
      </w:r>
      <w:r>
        <w:rPr>
          <w:spacing w:val="-8"/>
          <w:w w:val="110"/>
        </w:rPr>
        <w:t xml:space="preserve"> </w:t>
      </w:r>
      <w:r>
        <w:rPr>
          <w:w w:val="110"/>
        </w:rPr>
        <w:t>in</w:t>
      </w:r>
      <w:r>
        <w:rPr>
          <w:spacing w:val="-8"/>
          <w:w w:val="110"/>
        </w:rPr>
        <w:t xml:space="preserve"> </w:t>
      </w:r>
      <w:r>
        <w:rPr>
          <w:w w:val="110"/>
        </w:rPr>
        <w:t>this</w:t>
      </w:r>
      <w:r>
        <w:rPr>
          <w:spacing w:val="-9"/>
          <w:w w:val="110"/>
        </w:rPr>
        <w:t xml:space="preserve"> </w:t>
      </w:r>
      <w:r>
        <w:rPr>
          <w:w w:val="110"/>
        </w:rPr>
        <w:t>mechanism</w:t>
      </w:r>
      <w:r>
        <w:rPr>
          <w:spacing w:val="-8"/>
          <w:w w:val="110"/>
        </w:rPr>
        <w:t xml:space="preserve"> </w:t>
      </w:r>
      <w:r>
        <w:rPr>
          <w:w w:val="110"/>
        </w:rPr>
        <w:t>and</w:t>
      </w:r>
      <w:r>
        <w:rPr>
          <w:spacing w:val="-8"/>
          <w:w w:val="110"/>
        </w:rPr>
        <w:t xml:space="preserve"> </w:t>
      </w:r>
      <w:r>
        <w:rPr>
          <w:w w:val="110"/>
        </w:rPr>
        <w:t>underwriting</w:t>
      </w:r>
      <w:r>
        <w:rPr>
          <w:spacing w:val="-9"/>
          <w:w w:val="110"/>
        </w:rPr>
        <w:t xml:space="preserve"> </w:t>
      </w:r>
      <w:r>
        <w:rPr>
          <w:w w:val="110"/>
        </w:rPr>
        <w:t>of</w:t>
      </w:r>
      <w:r>
        <w:rPr>
          <w:spacing w:val="-9"/>
          <w:w w:val="110"/>
        </w:rPr>
        <w:t xml:space="preserve"> </w:t>
      </w:r>
      <w:r>
        <w:rPr>
          <w:w w:val="110"/>
        </w:rPr>
        <w:t>loans</w:t>
      </w:r>
      <w:r>
        <w:rPr>
          <w:spacing w:val="-7"/>
          <w:w w:val="110"/>
        </w:rPr>
        <w:t xml:space="preserve"> </w:t>
      </w:r>
      <w:r>
        <w:rPr>
          <w:w w:val="110"/>
        </w:rPr>
        <w:t>to</w:t>
      </w:r>
      <w:r>
        <w:rPr>
          <w:spacing w:val="-6"/>
          <w:w w:val="110"/>
        </w:rPr>
        <w:t xml:space="preserve"> </w:t>
      </w:r>
      <w:r>
        <w:rPr>
          <w:w w:val="110"/>
        </w:rPr>
        <w:t>countries</w:t>
      </w:r>
      <w:r>
        <w:rPr>
          <w:spacing w:val="-9"/>
          <w:w w:val="110"/>
        </w:rPr>
        <w:t xml:space="preserve"> </w:t>
      </w:r>
      <w:r>
        <w:rPr>
          <w:w w:val="110"/>
        </w:rPr>
        <w:t>who</w:t>
      </w:r>
      <w:r>
        <w:rPr>
          <w:spacing w:val="-6"/>
          <w:w w:val="110"/>
        </w:rPr>
        <w:t xml:space="preserve"> </w:t>
      </w:r>
      <w:r>
        <w:rPr>
          <w:w w:val="110"/>
        </w:rPr>
        <w:t>use</w:t>
      </w:r>
      <w:r>
        <w:rPr>
          <w:spacing w:val="-6"/>
          <w:w w:val="110"/>
        </w:rPr>
        <w:t xml:space="preserve"> </w:t>
      </w:r>
      <w:r>
        <w:rPr>
          <w:w w:val="110"/>
        </w:rPr>
        <w:t>that money to buy cluster munitions or landmines would be in breach of the 2008 Act.</w:t>
      </w:r>
    </w:p>
    <w:p w:rsidR="00B84CED" w:rsidRDefault="00B84CED" w14:paraId="42839708" w14:textId="77777777">
      <w:pPr>
        <w:pStyle w:val="BodyText"/>
        <w:rPr>
          <w:sz w:val="20"/>
        </w:rPr>
      </w:pPr>
    </w:p>
    <w:p w:rsidR="00B84CED" w:rsidRDefault="00B84CED" w14:paraId="4D45D78F" w14:textId="77777777">
      <w:pPr>
        <w:pStyle w:val="BodyText"/>
        <w:rPr>
          <w:sz w:val="20"/>
        </w:rPr>
      </w:pPr>
    </w:p>
    <w:p w:rsidR="00B84CED" w:rsidRDefault="00794452" w14:paraId="0B6B77FF" w14:textId="77777777">
      <w:pPr>
        <w:pStyle w:val="BodyText"/>
        <w:spacing w:before="138"/>
        <w:rPr>
          <w:sz w:val="20"/>
        </w:rPr>
      </w:pPr>
      <w:r>
        <w:rPr>
          <w:noProof/>
          <w:sz w:val="20"/>
        </w:rPr>
        <mc:AlternateContent>
          <mc:Choice Requires="wps">
            <w:drawing>
              <wp:anchor distT="0" distB="0" distL="0" distR="0" simplePos="0" relativeHeight="487589888" behindDoc="1" locked="0" layoutInCell="1" allowOverlap="1" wp14:editId="18A30E88" wp14:anchorId="543BE3E8">
                <wp:simplePos x="0" y="0"/>
                <wp:positionH relativeFrom="page">
                  <wp:posOffset>900683</wp:posOffset>
                </wp:positionH>
                <wp:positionV relativeFrom="paragraph">
                  <wp:posOffset>258240</wp:posOffset>
                </wp:positionV>
                <wp:extent cx="1828800" cy="9525"/>
                <wp:effectExtent l="0" t="0" r="0" b="0"/>
                <wp:wrapTopAndBottom/>
                <wp:docPr id="6"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28" style="position:absolute;margin-left:70.9pt;margin-top:20.35pt;width:2in;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3r1828800,l1828800,xe" w14:anchorId="4492D100">
                <v:path arrowok="t"/>
                <w10:wrap type="topAndBottom" anchorx="page"/>
              </v:shape>
            </w:pict>
          </mc:Fallback>
        </mc:AlternateContent>
      </w:r>
    </w:p>
    <w:p w:rsidR="00B84CED" w:rsidRDefault="00B84CED" w14:paraId="34E72C75" w14:textId="77777777">
      <w:pPr>
        <w:pStyle w:val="BodyText"/>
        <w:spacing w:before="23"/>
        <w:rPr>
          <w:sz w:val="16"/>
        </w:rPr>
      </w:pPr>
    </w:p>
    <w:p w:rsidR="00B84CED" w:rsidRDefault="00794452" w14:paraId="23A14E89" w14:textId="77777777">
      <w:pPr>
        <w:ind w:left="219"/>
        <w:rPr>
          <w:sz w:val="16"/>
        </w:rPr>
      </w:pPr>
      <w:bookmarkStart w:name="_bookmark4" w:id="17"/>
      <w:bookmarkEnd w:id="17"/>
      <w:r>
        <w:rPr>
          <w:w w:val="110"/>
          <w:position w:val="8"/>
          <w:sz w:val="13"/>
        </w:rPr>
        <w:t>1</w:t>
      </w:r>
      <w:r>
        <w:rPr>
          <w:spacing w:val="12"/>
          <w:w w:val="110"/>
          <w:position w:val="8"/>
          <w:sz w:val="13"/>
        </w:rPr>
        <w:t xml:space="preserve"> </w:t>
      </w:r>
      <w:hyperlink r:id="rId20">
        <w:r>
          <w:rPr>
            <w:color w:val="0000FF"/>
            <w:w w:val="110"/>
            <w:sz w:val="16"/>
            <w:u w:val="single" w:color="0000FF"/>
          </w:rPr>
          <w:t>Cluster</w:t>
        </w:r>
        <w:r>
          <w:rPr>
            <w:color w:val="0000FF"/>
            <w:spacing w:val="-6"/>
            <w:w w:val="110"/>
            <w:sz w:val="16"/>
            <w:u w:val="single" w:color="0000FF"/>
          </w:rPr>
          <w:t xml:space="preserve"> </w:t>
        </w:r>
        <w:r>
          <w:rPr>
            <w:color w:val="0000FF"/>
            <w:w w:val="110"/>
            <w:sz w:val="16"/>
            <w:u w:val="single" w:color="0000FF"/>
          </w:rPr>
          <w:t>Munitions</w:t>
        </w:r>
        <w:r>
          <w:rPr>
            <w:color w:val="0000FF"/>
            <w:spacing w:val="-8"/>
            <w:w w:val="110"/>
            <w:sz w:val="16"/>
            <w:u w:val="single" w:color="0000FF"/>
          </w:rPr>
          <w:t xml:space="preserve"> </w:t>
        </w:r>
        <w:r>
          <w:rPr>
            <w:color w:val="0000FF"/>
            <w:w w:val="110"/>
            <w:sz w:val="16"/>
            <w:u w:val="single" w:color="0000FF"/>
          </w:rPr>
          <w:t>And</w:t>
        </w:r>
        <w:r>
          <w:rPr>
            <w:color w:val="0000FF"/>
            <w:spacing w:val="-8"/>
            <w:w w:val="110"/>
            <w:sz w:val="16"/>
            <w:u w:val="single" w:color="0000FF"/>
          </w:rPr>
          <w:t xml:space="preserve"> </w:t>
        </w:r>
        <w:r>
          <w:rPr>
            <w:color w:val="0000FF"/>
            <w:w w:val="110"/>
            <w:sz w:val="16"/>
            <w:u w:val="single" w:color="0000FF"/>
          </w:rPr>
          <w:t>Anti-Personnel</w:t>
        </w:r>
        <w:r>
          <w:rPr>
            <w:color w:val="0000FF"/>
            <w:spacing w:val="-7"/>
            <w:w w:val="110"/>
            <w:sz w:val="16"/>
            <w:u w:val="single" w:color="0000FF"/>
          </w:rPr>
          <w:t xml:space="preserve"> </w:t>
        </w:r>
        <w:r>
          <w:rPr>
            <w:color w:val="0000FF"/>
            <w:w w:val="110"/>
            <w:sz w:val="16"/>
            <w:u w:val="single" w:color="0000FF"/>
          </w:rPr>
          <w:t>Mines</w:t>
        </w:r>
        <w:r>
          <w:rPr>
            <w:color w:val="0000FF"/>
            <w:spacing w:val="-9"/>
            <w:w w:val="110"/>
            <w:sz w:val="16"/>
            <w:u w:val="single" w:color="0000FF"/>
          </w:rPr>
          <w:t xml:space="preserve"> </w:t>
        </w:r>
        <w:r>
          <w:rPr>
            <w:color w:val="0000FF"/>
            <w:w w:val="110"/>
            <w:sz w:val="16"/>
            <w:u w:val="single" w:color="0000FF"/>
          </w:rPr>
          <w:t>Act</w:t>
        </w:r>
        <w:r>
          <w:rPr>
            <w:color w:val="0000FF"/>
            <w:spacing w:val="-5"/>
            <w:w w:val="110"/>
            <w:sz w:val="16"/>
            <w:u w:val="single" w:color="0000FF"/>
          </w:rPr>
          <w:t xml:space="preserve"> </w:t>
        </w:r>
        <w:r>
          <w:rPr>
            <w:color w:val="0000FF"/>
            <w:spacing w:val="-4"/>
            <w:w w:val="110"/>
            <w:sz w:val="16"/>
            <w:u w:val="single" w:color="0000FF"/>
          </w:rPr>
          <w:t>2008</w:t>
        </w:r>
      </w:hyperlink>
    </w:p>
    <w:p w:rsidR="00B84CED" w:rsidRDefault="00B84CED" w14:paraId="7E4EA2ED" w14:textId="77777777">
      <w:pPr>
        <w:rPr>
          <w:sz w:val="16"/>
        </w:rPr>
        <w:sectPr w:rsidR="00B84CED" w:rsidSect="00196DB0">
          <w:footerReference w:type="even" r:id="Re1f69426ca094f33"/>
          <w:footerReference w:type="first" r:id="R1aa6cfec18444199"/>
          <w:headerReference w:type="even" r:id="Rb638ccba01494a05"/>
          <w:headerReference w:type="first" r:id="Re2d93cc400974bc8"/>
          <w:pgSz w:w="11907" w:h="16839"/>
          <w:pgMar w:top="1134" w:right="1134" w:bottom="1134" w:left="1134" w:header="567" w:footer="567" w:gutter="0"/>
          <w:cols w:space="720"/>
          <w:docGrid w:linePitch="299"/>
        </w:sectPr>
      </w:pPr>
    </w:p>
    <w:p w:rsidR="00B84CED" w:rsidRDefault="00794452" w14:paraId="29CD510A" w14:textId="77777777">
      <w:pPr>
        <w:pStyle w:val="ListParagraph"/>
        <w:numPr>
          <w:ilvl w:val="0"/>
          <w:numId w:val="1"/>
        </w:numPr>
        <w:tabs>
          <w:tab w:val="left" w:pos="358"/>
          <w:tab w:val="left" w:pos="361"/>
        </w:tabs>
        <w:spacing w:before="109" w:line="357" w:lineRule="auto"/>
        <w:ind w:right="659"/>
      </w:pPr>
      <w:r>
        <w:rPr>
          <w:w w:val="110"/>
        </w:rPr>
        <w:lastRenderedPageBreak/>
        <w:t>The</w:t>
      </w:r>
      <w:r>
        <w:rPr>
          <w:spacing w:val="-4"/>
          <w:w w:val="110"/>
        </w:rPr>
        <w:t xml:space="preserve"> </w:t>
      </w:r>
      <w:r>
        <w:rPr>
          <w:w w:val="110"/>
        </w:rPr>
        <w:t>Committee</w:t>
      </w:r>
      <w:r>
        <w:rPr>
          <w:spacing w:val="-4"/>
          <w:w w:val="110"/>
        </w:rPr>
        <w:t xml:space="preserve"> </w:t>
      </w:r>
      <w:r>
        <w:rPr>
          <w:w w:val="110"/>
        </w:rPr>
        <w:t>opposes</w:t>
      </w:r>
      <w:r>
        <w:rPr>
          <w:spacing w:val="-4"/>
          <w:w w:val="110"/>
        </w:rPr>
        <w:t xml:space="preserve"> </w:t>
      </w:r>
      <w:r>
        <w:rPr>
          <w:w w:val="110"/>
        </w:rPr>
        <w:t>the</w:t>
      </w:r>
      <w:r>
        <w:rPr>
          <w:spacing w:val="-1"/>
          <w:w w:val="110"/>
        </w:rPr>
        <w:t xml:space="preserve"> </w:t>
      </w:r>
      <w:r>
        <w:rPr>
          <w:w w:val="110"/>
        </w:rPr>
        <w:t>use</w:t>
      </w:r>
      <w:r>
        <w:rPr>
          <w:spacing w:val="-4"/>
          <w:w w:val="110"/>
        </w:rPr>
        <w:t xml:space="preserve"> </w:t>
      </w:r>
      <w:r>
        <w:rPr>
          <w:w w:val="110"/>
        </w:rPr>
        <w:t>of</w:t>
      </w:r>
      <w:r>
        <w:rPr>
          <w:spacing w:val="-4"/>
          <w:w w:val="110"/>
        </w:rPr>
        <w:t xml:space="preserve"> </w:t>
      </w:r>
      <w:r>
        <w:rPr>
          <w:w w:val="110"/>
        </w:rPr>
        <w:t>the</w:t>
      </w:r>
      <w:r>
        <w:rPr>
          <w:spacing w:val="-4"/>
          <w:w w:val="110"/>
        </w:rPr>
        <w:t xml:space="preserve"> </w:t>
      </w:r>
      <w:r>
        <w:rPr>
          <w:w w:val="110"/>
        </w:rPr>
        <w:t>EU</w:t>
      </w:r>
      <w:r>
        <w:rPr>
          <w:spacing w:val="-6"/>
          <w:w w:val="110"/>
        </w:rPr>
        <w:t xml:space="preserve"> </w:t>
      </w:r>
      <w:r>
        <w:rPr>
          <w:w w:val="110"/>
        </w:rPr>
        <w:t>general</w:t>
      </w:r>
      <w:r>
        <w:rPr>
          <w:spacing w:val="-2"/>
          <w:w w:val="110"/>
        </w:rPr>
        <w:t xml:space="preserve"> </w:t>
      </w:r>
      <w:r>
        <w:rPr>
          <w:w w:val="110"/>
        </w:rPr>
        <w:t>budget</w:t>
      </w:r>
      <w:r>
        <w:rPr>
          <w:spacing w:val="-6"/>
          <w:w w:val="110"/>
        </w:rPr>
        <w:t xml:space="preserve"> </w:t>
      </w:r>
      <w:r>
        <w:rPr>
          <w:w w:val="110"/>
        </w:rPr>
        <w:t>as</w:t>
      </w:r>
      <w:r>
        <w:rPr>
          <w:spacing w:val="-2"/>
          <w:w w:val="110"/>
        </w:rPr>
        <w:t xml:space="preserve"> </w:t>
      </w:r>
      <w:r>
        <w:rPr>
          <w:w w:val="110"/>
        </w:rPr>
        <w:t>a</w:t>
      </w:r>
      <w:r>
        <w:rPr>
          <w:spacing w:val="-5"/>
          <w:w w:val="110"/>
        </w:rPr>
        <w:t xml:space="preserve"> </w:t>
      </w:r>
      <w:r>
        <w:rPr>
          <w:w w:val="110"/>
        </w:rPr>
        <w:t>guarantee</w:t>
      </w:r>
      <w:r>
        <w:rPr>
          <w:spacing w:val="-4"/>
          <w:w w:val="110"/>
        </w:rPr>
        <w:t xml:space="preserve"> </w:t>
      </w:r>
      <w:r>
        <w:rPr>
          <w:w w:val="110"/>
        </w:rPr>
        <w:t>for</w:t>
      </w:r>
      <w:r>
        <w:rPr>
          <w:spacing w:val="-2"/>
          <w:w w:val="110"/>
        </w:rPr>
        <w:t xml:space="preserve"> </w:t>
      </w:r>
      <w:r>
        <w:rPr>
          <w:w w:val="110"/>
        </w:rPr>
        <w:t>the</w:t>
      </w:r>
      <w:r>
        <w:rPr>
          <w:spacing w:val="-4"/>
          <w:w w:val="110"/>
        </w:rPr>
        <w:t xml:space="preserve"> </w:t>
      </w:r>
      <w:r>
        <w:rPr>
          <w:w w:val="110"/>
        </w:rPr>
        <w:t>loans to be provided under the SAFE Regulation as this stands in contradiction to EU law prohibiting</w:t>
      </w:r>
      <w:r>
        <w:rPr>
          <w:spacing w:val="-2"/>
          <w:w w:val="110"/>
        </w:rPr>
        <w:t xml:space="preserve"> </w:t>
      </w:r>
      <w:r>
        <w:rPr>
          <w:w w:val="110"/>
        </w:rPr>
        <w:t>the</w:t>
      </w:r>
      <w:r>
        <w:rPr>
          <w:spacing w:val="-2"/>
          <w:w w:val="110"/>
        </w:rPr>
        <w:t xml:space="preserve"> </w:t>
      </w:r>
      <w:r>
        <w:rPr>
          <w:w w:val="110"/>
        </w:rPr>
        <w:t>EU</w:t>
      </w:r>
      <w:r>
        <w:rPr>
          <w:spacing w:val="-1"/>
          <w:w w:val="110"/>
        </w:rPr>
        <w:t xml:space="preserve"> </w:t>
      </w:r>
      <w:r>
        <w:rPr>
          <w:w w:val="110"/>
        </w:rPr>
        <w:t>General budget</w:t>
      </w:r>
      <w:r>
        <w:rPr>
          <w:spacing w:val="-4"/>
          <w:w w:val="110"/>
        </w:rPr>
        <w:t xml:space="preserve"> </w:t>
      </w:r>
      <w:r>
        <w:rPr>
          <w:w w:val="110"/>
        </w:rPr>
        <w:t>being used</w:t>
      </w:r>
      <w:r>
        <w:rPr>
          <w:spacing w:val="-1"/>
          <w:w w:val="110"/>
        </w:rPr>
        <w:t xml:space="preserve"> </w:t>
      </w:r>
      <w:r>
        <w:rPr>
          <w:w w:val="110"/>
        </w:rPr>
        <w:t>for</w:t>
      </w:r>
      <w:r>
        <w:rPr>
          <w:spacing w:val="-5"/>
          <w:w w:val="110"/>
        </w:rPr>
        <w:t xml:space="preserve"> </w:t>
      </w:r>
      <w:r>
        <w:rPr>
          <w:w w:val="110"/>
        </w:rPr>
        <w:t>the procurement</w:t>
      </w:r>
      <w:r>
        <w:rPr>
          <w:spacing w:val="-4"/>
          <w:w w:val="110"/>
        </w:rPr>
        <w:t xml:space="preserve"> </w:t>
      </w:r>
      <w:r>
        <w:rPr>
          <w:w w:val="110"/>
        </w:rPr>
        <w:t>of</w:t>
      </w:r>
      <w:r>
        <w:rPr>
          <w:spacing w:val="-2"/>
          <w:w w:val="110"/>
        </w:rPr>
        <w:t xml:space="preserve"> </w:t>
      </w:r>
      <w:r>
        <w:rPr>
          <w:w w:val="110"/>
        </w:rPr>
        <w:t>lethal</w:t>
      </w:r>
      <w:r>
        <w:rPr>
          <w:spacing w:val="-1"/>
          <w:w w:val="110"/>
        </w:rPr>
        <w:t xml:space="preserve"> </w:t>
      </w:r>
      <w:r>
        <w:rPr>
          <w:w w:val="110"/>
        </w:rPr>
        <w:t>weapons. Further,</w:t>
      </w:r>
      <w:r>
        <w:rPr>
          <w:spacing w:val="-5"/>
          <w:w w:val="110"/>
        </w:rPr>
        <w:t xml:space="preserve"> </w:t>
      </w:r>
      <w:r>
        <w:rPr>
          <w:w w:val="110"/>
        </w:rPr>
        <w:t>the</w:t>
      </w:r>
      <w:r>
        <w:rPr>
          <w:spacing w:val="-4"/>
          <w:w w:val="110"/>
        </w:rPr>
        <w:t xml:space="preserve"> </w:t>
      </w:r>
      <w:r>
        <w:rPr>
          <w:w w:val="110"/>
        </w:rPr>
        <w:t>Committee</w:t>
      </w:r>
      <w:r>
        <w:rPr>
          <w:spacing w:val="-4"/>
          <w:w w:val="110"/>
        </w:rPr>
        <w:t xml:space="preserve"> </w:t>
      </w:r>
      <w:r>
        <w:rPr>
          <w:w w:val="110"/>
        </w:rPr>
        <w:t>is</w:t>
      </w:r>
      <w:r>
        <w:rPr>
          <w:spacing w:val="-5"/>
          <w:w w:val="110"/>
        </w:rPr>
        <w:t xml:space="preserve"> </w:t>
      </w:r>
      <w:r>
        <w:rPr>
          <w:w w:val="110"/>
        </w:rPr>
        <w:t>concerned</w:t>
      </w:r>
      <w:r>
        <w:rPr>
          <w:spacing w:val="-6"/>
          <w:w w:val="110"/>
        </w:rPr>
        <w:t xml:space="preserve"> </w:t>
      </w:r>
      <w:r>
        <w:rPr>
          <w:w w:val="110"/>
        </w:rPr>
        <w:t>that</w:t>
      </w:r>
      <w:r>
        <w:rPr>
          <w:spacing w:val="-6"/>
          <w:w w:val="110"/>
        </w:rPr>
        <w:t xml:space="preserve"> </w:t>
      </w:r>
      <w:r>
        <w:rPr>
          <w:w w:val="110"/>
        </w:rPr>
        <w:t>to</w:t>
      </w:r>
      <w:r>
        <w:rPr>
          <w:spacing w:val="-7"/>
          <w:w w:val="110"/>
        </w:rPr>
        <w:t xml:space="preserve"> </w:t>
      </w:r>
      <w:r>
        <w:rPr>
          <w:w w:val="110"/>
        </w:rPr>
        <w:t>repay</w:t>
      </w:r>
      <w:r>
        <w:rPr>
          <w:spacing w:val="-5"/>
          <w:w w:val="110"/>
        </w:rPr>
        <w:t xml:space="preserve"> </w:t>
      </w:r>
      <w:r>
        <w:rPr>
          <w:w w:val="110"/>
        </w:rPr>
        <w:t>such</w:t>
      </w:r>
      <w:r>
        <w:rPr>
          <w:spacing w:val="-6"/>
          <w:w w:val="110"/>
        </w:rPr>
        <w:t xml:space="preserve"> </w:t>
      </w:r>
      <w:r>
        <w:rPr>
          <w:w w:val="110"/>
        </w:rPr>
        <w:t>large</w:t>
      </w:r>
      <w:r>
        <w:rPr>
          <w:spacing w:val="-4"/>
          <w:w w:val="110"/>
        </w:rPr>
        <w:t xml:space="preserve"> </w:t>
      </w:r>
      <w:r>
        <w:rPr>
          <w:w w:val="110"/>
        </w:rPr>
        <w:t>loans,</w:t>
      </w:r>
      <w:r>
        <w:rPr>
          <w:spacing w:val="-8"/>
          <w:w w:val="110"/>
        </w:rPr>
        <w:t xml:space="preserve"> </w:t>
      </w:r>
      <w:r>
        <w:rPr>
          <w:w w:val="110"/>
        </w:rPr>
        <w:t>indebted</w:t>
      </w:r>
      <w:r>
        <w:rPr>
          <w:spacing w:val="-6"/>
          <w:w w:val="110"/>
        </w:rPr>
        <w:t xml:space="preserve"> </w:t>
      </w:r>
      <w:r>
        <w:rPr>
          <w:w w:val="110"/>
        </w:rPr>
        <w:t>member states may be obliged to implement fiscal austerity measures.</w:t>
      </w:r>
    </w:p>
    <w:p w:rsidR="00B84CED" w:rsidRDefault="00B84CED" w14:paraId="44AAB8AF" w14:textId="77777777">
      <w:pPr>
        <w:pStyle w:val="BodyText"/>
        <w:spacing w:before="132"/>
      </w:pPr>
    </w:p>
    <w:p w:rsidR="00B84CED" w:rsidRDefault="00794452" w14:paraId="647BF96C" w14:textId="77777777">
      <w:pPr>
        <w:pStyle w:val="ListParagraph"/>
        <w:numPr>
          <w:ilvl w:val="0"/>
          <w:numId w:val="1"/>
        </w:numPr>
        <w:tabs>
          <w:tab w:val="left" w:pos="358"/>
          <w:tab w:val="left" w:pos="361"/>
        </w:tabs>
        <w:spacing w:before="1" w:line="357" w:lineRule="auto"/>
        <w:ind w:right="619"/>
      </w:pPr>
      <w:r>
        <w:rPr>
          <w:w w:val="110"/>
        </w:rPr>
        <w:t>Further,</w:t>
      </w:r>
      <w:r>
        <w:rPr>
          <w:spacing w:val="-3"/>
          <w:w w:val="110"/>
        </w:rPr>
        <w:t xml:space="preserve"> </w:t>
      </w:r>
      <w:r>
        <w:rPr>
          <w:w w:val="110"/>
        </w:rPr>
        <w:t>significant</w:t>
      </w:r>
      <w:r>
        <w:rPr>
          <w:spacing w:val="-1"/>
          <w:w w:val="110"/>
        </w:rPr>
        <w:t xml:space="preserve"> </w:t>
      </w:r>
      <w:r>
        <w:rPr>
          <w:w w:val="110"/>
        </w:rPr>
        <w:t>concerns</w:t>
      </w:r>
      <w:r>
        <w:rPr>
          <w:spacing w:val="-2"/>
          <w:w w:val="110"/>
        </w:rPr>
        <w:t xml:space="preserve"> </w:t>
      </w:r>
      <w:r>
        <w:rPr>
          <w:w w:val="110"/>
        </w:rPr>
        <w:t>arise</w:t>
      </w:r>
      <w:r>
        <w:rPr>
          <w:spacing w:val="-2"/>
          <w:w w:val="110"/>
        </w:rPr>
        <w:t xml:space="preserve"> </w:t>
      </w:r>
      <w:r>
        <w:rPr>
          <w:w w:val="110"/>
        </w:rPr>
        <w:t>with</w:t>
      </w:r>
      <w:r>
        <w:rPr>
          <w:spacing w:val="-1"/>
          <w:w w:val="110"/>
        </w:rPr>
        <w:t xml:space="preserve"> </w:t>
      </w:r>
      <w:r>
        <w:rPr>
          <w:w w:val="110"/>
        </w:rPr>
        <w:t>the lack</w:t>
      </w:r>
      <w:r>
        <w:rPr>
          <w:spacing w:val="-2"/>
          <w:w w:val="110"/>
        </w:rPr>
        <w:t xml:space="preserve"> </w:t>
      </w:r>
      <w:r>
        <w:rPr>
          <w:w w:val="110"/>
        </w:rPr>
        <w:t>of measures to</w:t>
      </w:r>
      <w:r>
        <w:rPr>
          <w:spacing w:val="-2"/>
          <w:w w:val="110"/>
        </w:rPr>
        <w:t xml:space="preserve"> </w:t>
      </w:r>
      <w:r>
        <w:rPr>
          <w:w w:val="110"/>
        </w:rPr>
        <w:t>ensure</w:t>
      </w:r>
      <w:r>
        <w:rPr>
          <w:spacing w:val="-2"/>
          <w:w w:val="110"/>
        </w:rPr>
        <w:t xml:space="preserve"> </w:t>
      </w:r>
      <w:r>
        <w:rPr>
          <w:w w:val="110"/>
        </w:rPr>
        <w:t>transparency</w:t>
      </w:r>
      <w:r>
        <w:rPr>
          <w:spacing w:val="-3"/>
          <w:w w:val="110"/>
        </w:rPr>
        <w:t xml:space="preserve"> </w:t>
      </w:r>
      <w:r>
        <w:rPr>
          <w:w w:val="110"/>
        </w:rPr>
        <w:t>of expenditure. That strong conditionality is not attached to the disbursement of loans secured by the EU general budget is considered unusual in the extreme.</w:t>
      </w:r>
    </w:p>
    <w:p w:rsidR="00B84CED" w:rsidRDefault="00B84CED" w14:paraId="031C9B00" w14:textId="77777777">
      <w:pPr>
        <w:pStyle w:val="BodyText"/>
        <w:spacing w:before="131"/>
      </w:pPr>
    </w:p>
    <w:p w:rsidR="00B84CED" w:rsidRDefault="00794452" w14:paraId="7B72FEA7" w14:textId="77777777">
      <w:pPr>
        <w:pStyle w:val="ListParagraph"/>
        <w:numPr>
          <w:ilvl w:val="0"/>
          <w:numId w:val="1"/>
        </w:numPr>
        <w:tabs>
          <w:tab w:val="left" w:pos="361"/>
          <w:tab w:val="left" w:pos="411"/>
        </w:tabs>
        <w:spacing w:line="357" w:lineRule="auto"/>
        <w:ind w:right="454"/>
      </w:pPr>
      <w:r>
        <w:rPr>
          <w:w w:val="110"/>
        </w:rPr>
        <w:t>The</w:t>
      </w:r>
      <w:r>
        <w:rPr>
          <w:spacing w:val="40"/>
          <w:w w:val="110"/>
        </w:rPr>
        <w:t xml:space="preserve"> </w:t>
      </w:r>
      <w:r>
        <w:rPr>
          <w:w w:val="110"/>
        </w:rPr>
        <w:t>Committee accepts that strong safeguards related to fraud and financial management are features of the SAFE Regulation but seriously regrets the lack of consideration</w:t>
      </w:r>
      <w:r>
        <w:rPr>
          <w:spacing w:val="-3"/>
          <w:w w:val="110"/>
        </w:rPr>
        <w:t xml:space="preserve"> </w:t>
      </w:r>
      <w:r>
        <w:rPr>
          <w:w w:val="110"/>
        </w:rPr>
        <w:t>towards</w:t>
      </w:r>
      <w:r>
        <w:rPr>
          <w:spacing w:val="-2"/>
          <w:w w:val="110"/>
        </w:rPr>
        <w:t xml:space="preserve"> </w:t>
      </w:r>
      <w:r>
        <w:rPr>
          <w:w w:val="110"/>
        </w:rPr>
        <w:t>issues</w:t>
      </w:r>
      <w:r>
        <w:rPr>
          <w:spacing w:val="-2"/>
          <w:w w:val="110"/>
        </w:rPr>
        <w:t xml:space="preserve"> </w:t>
      </w:r>
      <w:r>
        <w:rPr>
          <w:w w:val="110"/>
        </w:rPr>
        <w:t>of human</w:t>
      </w:r>
      <w:r>
        <w:rPr>
          <w:spacing w:val="-4"/>
          <w:w w:val="110"/>
        </w:rPr>
        <w:t xml:space="preserve"> </w:t>
      </w:r>
      <w:r>
        <w:rPr>
          <w:w w:val="110"/>
        </w:rPr>
        <w:t>rights</w:t>
      </w:r>
      <w:r>
        <w:rPr>
          <w:spacing w:val="-2"/>
          <w:w w:val="110"/>
        </w:rPr>
        <w:t xml:space="preserve"> </w:t>
      </w:r>
      <w:r>
        <w:rPr>
          <w:w w:val="110"/>
        </w:rPr>
        <w:t>norms as</w:t>
      </w:r>
      <w:r>
        <w:rPr>
          <w:spacing w:val="-2"/>
          <w:w w:val="110"/>
        </w:rPr>
        <w:t xml:space="preserve"> </w:t>
      </w:r>
      <w:r>
        <w:rPr>
          <w:w w:val="110"/>
        </w:rPr>
        <w:t>a</w:t>
      </w:r>
      <w:r>
        <w:rPr>
          <w:spacing w:val="-1"/>
          <w:w w:val="110"/>
        </w:rPr>
        <w:t xml:space="preserve"> </w:t>
      </w:r>
      <w:r>
        <w:rPr>
          <w:w w:val="110"/>
        </w:rPr>
        <w:t>feature</w:t>
      </w:r>
      <w:r>
        <w:rPr>
          <w:spacing w:val="-2"/>
          <w:w w:val="110"/>
        </w:rPr>
        <w:t xml:space="preserve"> </w:t>
      </w:r>
      <w:r>
        <w:rPr>
          <w:w w:val="110"/>
        </w:rPr>
        <w:t>of the SAFE Regulation and is concerned about the potential for weaponry produced as a result of the Regulation to find its way to third countries including Israel that could potentially be used in the ongoing genocide against the Palestinian people.</w:t>
      </w:r>
    </w:p>
    <w:p w:rsidR="00B84CED" w:rsidRDefault="00B84CED" w14:paraId="05A03A98" w14:textId="77777777">
      <w:pPr>
        <w:pStyle w:val="BodyText"/>
        <w:spacing w:before="133"/>
      </w:pPr>
    </w:p>
    <w:p w:rsidR="00B84CED" w:rsidRDefault="00794452" w14:paraId="6EF48F3D" w14:textId="77777777">
      <w:pPr>
        <w:pStyle w:val="ListParagraph"/>
        <w:numPr>
          <w:ilvl w:val="0"/>
          <w:numId w:val="1"/>
        </w:numPr>
        <w:tabs>
          <w:tab w:val="left" w:pos="362"/>
          <w:tab w:val="left" w:pos="412"/>
        </w:tabs>
        <w:spacing w:before="1" w:line="357" w:lineRule="auto"/>
        <w:ind w:left="362" w:right="519"/>
      </w:pPr>
      <w:r>
        <w:rPr>
          <w:w w:val="110"/>
        </w:rPr>
        <w:t>The</w:t>
      </w:r>
      <w:r>
        <w:rPr>
          <w:spacing w:val="40"/>
          <w:w w:val="110"/>
        </w:rPr>
        <w:t xml:space="preserve"> </w:t>
      </w:r>
      <w:r>
        <w:rPr>
          <w:w w:val="110"/>
        </w:rPr>
        <w:t>Committee is also concerned that the SAFE mechanism will facilitate a significant increase of military expenditure by countries who are found to be in breach of the Charter</w:t>
      </w:r>
      <w:r>
        <w:rPr>
          <w:spacing w:val="-2"/>
          <w:w w:val="110"/>
        </w:rPr>
        <w:t xml:space="preserve"> </w:t>
      </w:r>
      <w:r>
        <w:rPr>
          <w:w w:val="110"/>
        </w:rPr>
        <w:t>of Fundamental</w:t>
      </w:r>
      <w:r>
        <w:rPr>
          <w:spacing w:val="-3"/>
          <w:w w:val="110"/>
        </w:rPr>
        <w:t xml:space="preserve"> </w:t>
      </w:r>
      <w:r>
        <w:rPr>
          <w:w w:val="110"/>
        </w:rPr>
        <w:t>Rights</w:t>
      </w:r>
      <w:r>
        <w:rPr>
          <w:spacing w:val="-2"/>
          <w:w w:val="110"/>
        </w:rPr>
        <w:t xml:space="preserve"> </w:t>
      </w:r>
      <w:r>
        <w:rPr>
          <w:w w:val="110"/>
        </w:rPr>
        <w:t>and</w:t>
      </w:r>
      <w:r>
        <w:rPr>
          <w:spacing w:val="-1"/>
          <w:w w:val="110"/>
        </w:rPr>
        <w:t xml:space="preserve"> </w:t>
      </w:r>
      <w:r>
        <w:rPr>
          <w:w w:val="110"/>
        </w:rPr>
        <w:t>involved</w:t>
      </w:r>
      <w:r>
        <w:rPr>
          <w:spacing w:val="-1"/>
          <w:w w:val="110"/>
        </w:rPr>
        <w:t xml:space="preserve"> </w:t>
      </w:r>
      <w:r>
        <w:rPr>
          <w:w w:val="110"/>
        </w:rPr>
        <w:t>in</w:t>
      </w:r>
      <w:r>
        <w:rPr>
          <w:spacing w:val="-1"/>
          <w:w w:val="110"/>
        </w:rPr>
        <w:t xml:space="preserve"> </w:t>
      </w:r>
      <w:r>
        <w:rPr>
          <w:w w:val="110"/>
        </w:rPr>
        <w:t>the suppression</w:t>
      </w:r>
      <w:r>
        <w:rPr>
          <w:spacing w:val="-3"/>
          <w:w w:val="110"/>
        </w:rPr>
        <w:t xml:space="preserve"> </w:t>
      </w:r>
      <w:r>
        <w:rPr>
          <w:w w:val="110"/>
        </w:rPr>
        <w:t>of civil</w:t>
      </w:r>
      <w:r>
        <w:rPr>
          <w:spacing w:val="-3"/>
          <w:w w:val="110"/>
        </w:rPr>
        <w:t xml:space="preserve"> </w:t>
      </w:r>
      <w:r>
        <w:rPr>
          <w:w w:val="110"/>
        </w:rPr>
        <w:t>society.</w:t>
      </w:r>
      <w:r>
        <w:rPr>
          <w:spacing w:val="-1"/>
          <w:w w:val="110"/>
        </w:rPr>
        <w:t xml:space="preserve"> </w:t>
      </w:r>
      <w:r>
        <w:rPr>
          <w:w w:val="110"/>
        </w:rPr>
        <w:t>We</w:t>
      </w:r>
      <w:r>
        <w:rPr>
          <w:spacing w:val="-2"/>
          <w:w w:val="110"/>
        </w:rPr>
        <w:t xml:space="preserve"> </w:t>
      </w:r>
      <w:r>
        <w:rPr>
          <w:w w:val="110"/>
        </w:rPr>
        <w:t>note that the potential for a shift towards authoritarianism is some EU member states represents</w:t>
      </w:r>
      <w:r>
        <w:rPr>
          <w:spacing w:val="-5"/>
          <w:w w:val="110"/>
        </w:rPr>
        <w:t xml:space="preserve"> </w:t>
      </w:r>
      <w:r>
        <w:rPr>
          <w:w w:val="110"/>
        </w:rPr>
        <w:t>its</w:t>
      </w:r>
      <w:r>
        <w:rPr>
          <w:spacing w:val="-7"/>
          <w:w w:val="110"/>
        </w:rPr>
        <w:t xml:space="preserve"> </w:t>
      </w:r>
      <w:r>
        <w:rPr>
          <w:w w:val="110"/>
        </w:rPr>
        <w:t>own</w:t>
      </w:r>
      <w:r>
        <w:rPr>
          <w:spacing w:val="-7"/>
          <w:w w:val="110"/>
        </w:rPr>
        <w:t xml:space="preserve"> </w:t>
      </w:r>
      <w:r>
        <w:rPr>
          <w:w w:val="110"/>
        </w:rPr>
        <w:t>security</w:t>
      </w:r>
      <w:r>
        <w:rPr>
          <w:spacing w:val="-5"/>
          <w:w w:val="110"/>
        </w:rPr>
        <w:t xml:space="preserve"> </w:t>
      </w:r>
      <w:r>
        <w:rPr>
          <w:w w:val="110"/>
        </w:rPr>
        <w:t>risks</w:t>
      </w:r>
      <w:r>
        <w:rPr>
          <w:spacing w:val="-7"/>
          <w:w w:val="110"/>
        </w:rPr>
        <w:t xml:space="preserve"> </w:t>
      </w:r>
      <w:r>
        <w:rPr>
          <w:w w:val="110"/>
        </w:rPr>
        <w:t>and</w:t>
      </w:r>
      <w:r>
        <w:rPr>
          <w:spacing w:val="-6"/>
          <w:w w:val="110"/>
        </w:rPr>
        <w:t xml:space="preserve"> </w:t>
      </w:r>
      <w:r>
        <w:rPr>
          <w:w w:val="110"/>
        </w:rPr>
        <w:t>question</w:t>
      </w:r>
      <w:r>
        <w:rPr>
          <w:spacing w:val="-7"/>
          <w:w w:val="110"/>
        </w:rPr>
        <w:t xml:space="preserve"> </w:t>
      </w:r>
      <w:r>
        <w:rPr>
          <w:w w:val="110"/>
        </w:rPr>
        <w:t>whether</w:t>
      </w:r>
      <w:r>
        <w:rPr>
          <w:spacing w:val="-7"/>
          <w:w w:val="110"/>
        </w:rPr>
        <w:t xml:space="preserve"> </w:t>
      </w:r>
      <w:r>
        <w:rPr>
          <w:w w:val="110"/>
        </w:rPr>
        <w:t>prioritising</w:t>
      </w:r>
      <w:r>
        <w:rPr>
          <w:spacing w:val="-4"/>
          <w:w w:val="110"/>
        </w:rPr>
        <w:t xml:space="preserve"> </w:t>
      </w:r>
      <w:r>
        <w:rPr>
          <w:w w:val="110"/>
        </w:rPr>
        <w:t>and</w:t>
      </w:r>
      <w:r>
        <w:rPr>
          <w:spacing w:val="-8"/>
          <w:w w:val="110"/>
        </w:rPr>
        <w:t xml:space="preserve"> </w:t>
      </w:r>
      <w:r>
        <w:rPr>
          <w:w w:val="110"/>
        </w:rPr>
        <w:t>underwriting</w:t>
      </w:r>
      <w:r>
        <w:rPr>
          <w:spacing w:val="-7"/>
          <w:w w:val="110"/>
        </w:rPr>
        <w:t xml:space="preserve"> </w:t>
      </w:r>
      <w:r>
        <w:rPr>
          <w:w w:val="110"/>
        </w:rPr>
        <w:t>the military strength of such states is a wise or appropriate step.</w:t>
      </w:r>
    </w:p>
    <w:p w:rsidR="00B84CED" w:rsidRDefault="00B84CED" w14:paraId="372815F1" w14:textId="77777777">
      <w:pPr>
        <w:pStyle w:val="BodyText"/>
        <w:spacing w:before="133"/>
      </w:pPr>
    </w:p>
    <w:p w:rsidR="00B84CED" w:rsidRDefault="00794452" w14:paraId="17DE7EEB" w14:textId="77777777">
      <w:pPr>
        <w:pStyle w:val="ListParagraph"/>
        <w:numPr>
          <w:ilvl w:val="0"/>
          <w:numId w:val="1"/>
        </w:numPr>
        <w:tabs>
          <w:tab w:val="left" w:pos="359"/>
          <w:tab w:val="left" w:pos="362"/>
        </w:tabs>
        <w:spacing w:line="357" w:lineRule="auto"/>
        <w:ind w:left="362" w:right="506"/>
      </w:pPr>
      <w:r>
        <w:rPr>
          <w:w w:val="110"/>
        </w:rPr>
        <w:t>The notes concern in relation to the legality of the SAFE programme, and how it may potentially breach Article 41(2) of the Treaty on European Union (TEU) which prohibits ‘expenditure</w:t>
      </w:r>
      <w:r>
        <w:rPr>
          <w:spacing w:val="-9"/>
          <w:w w:val="110"/>
        </w:rPr>
        <w:t xml:space="preserve"> </w:t>
      </w:r>
      <w:r>
        <w:rPr>
          <w:w w:val="110"/>
        </w:rPr>
        <w:t>arising</w:t>
      </w:r>
      <w:r>
        <w:rPr>
          <w:spacing w:val="-9"/>
          <w:w w:val="110"/>
        </w:rPr>
        <w:t xml:space="preserve"> </w:t>
      </w:r>
      <w:r>
        <w:rPr>
          <w:w w:val="110"/>
        </w:rPr>
        <w:t>from</w:t>
      </w:r>
      <w:r>
        <w:rPr>
          <w:spacing w:val="-8"/>
          <w:w w:val="110"/>
        </w:rPr>
        <w:t xml:space="preserve"> </w:t>
      </w:r>
      <w:r>
        <w:rPr>
          <w:w w:val="110"/>
        </w:rPr>
        <w:t>operations</w:t>
      </w:r>
      <w:r>
        <w:rPr>
          <w:spacing w:val="-7"/>
          <w:w w:val="110"/>
        </w:rPr>
        <w:t xml:space="preserve"> </w:t>
      </w:r>
      <w:r>
        <w:rPr>
          <w:w w:val="110"/>
        </w:rPr>
        <w:t>having</w:t>
      </w:r>
      <w:r>
        <w:rPr>
          <w:spacing w:val="-6"/>
          <w:w w:val="110"/>
        </w:rPr>
        <w:t xml:space="preserve"> </w:t>
      </w:r>
      <w:r>
        <w:rPr>
          <w:w w:val="110"/>
        </w:rPr>
        <w:t>military</w:t>
      </w:r>
      <w:r>
        <w:rPr>
          <w:spacing w:val="-10"/>
          <w:w w:val="110"/>
        </w:rPr>
        <w:t xml:space="preserve"> </w:t>
      </w:r>
      <w:r>
        <w:rPr>
          <w:w w:val="110"/>
        </w:rPr>
        <w:t>or</w:t>
      </w:r>
      <w:r>
        <w:rPr>
          <w:spacing w:val="-7"/>
          <w:w w:val="110"/>
        </w:rPr>
        <w:t xml:space="preserve"> </w:t>
      </w:r>
      <w:r>
        <w:rPr>
          <w:w w:val="110"/>
        </w:rPr>
        <w:t>defence</w:t>
      </w:r>
      <w:r>
        <w:rPr>
          <w:spacing w:val="-9"/>
          <w:w w:val="110"/>
        </w:rPr>
        <w:t xml:space="preserve"> </w:t>
      </w:r>
      <w:r>
        <w:rPr>
          <w:w w:val="110"/>
        </w:rPr>
        <w:t>implications'</w:t>
      </w:r>
      <w:r>
        <w:rPr>
          <w:spacing w:val="-8"/>
          <w:w w:val="110"/>
        </w:rPr>
        <w:t xml:space="preserve"> </w:t>
      </w:r>
      <w:r>
        <w:rPr>
          <w:w w:val="110"/>
        </w:rPr>
        <w:t>from</w:t>
      </w:r>
      <w:r>
        <w:rPr>
          <w:spacing w:val="-11"/>
          <w:w w:val="110"/>
        </w:rPr>
        <w:t xml:space="preserve"> </w:t>
      </w:r>
      <w:r>
        <w:rPr>
          <w:w w:val="110"/>
        </w:rPr>
        <w:t>being charged to the EU budget.</w:t>
      </w:r>
    </w:p>
    <w:p w:rsidR="00B84CED" w:rsidRDefault="00B84CED" w14:paraId="4DB7B1F8" w14:textId="77777777">
      <w:pPr>
        <w:pStyle w:val="BodyText"/>
        <w:spacing w:before="132"/>
      </w:pPr>
    </w:p>
    <w:p w:rsidR="00B84CED" w:rsidRDefault="00794452" w14:paraId="1B336491" w14:textId="77777777">
      <w:pPr>
        <w:pStyle w:val="ListParagraph"/>
        <w:numPr>
          <w:ilvl w:val="0"/>
          <w:numId w:val="1"/>
        </w:numPr>
        <w:tabs>
          <w:tab w:val="left" w:pos="359"/>
          <w:tab w:val="left" w:pos="362"/>
        </w:tabs>
        <w:spacing w:line="357" w:lineRule="auto"/>
        <w:ind w:left="362" w:right="470"/>
      </w:pPr>
      <w:r>
        <w:rPr>
          <w:w w:val="110"/>
        </w:rPr>
        <w:t>The Committee is deeply concerned by the provisions within the SAFE measure which allow states to spend up to 35% of the value of loans received on components from third countries without any safeguards in relation to human rights concerns arising in those</w:t>
      </w:r>
      <w:r>
        <w:rPr>
          <w:spacing w:val="-6"/>
          <w:w w:val="110"/>
        </w:rPr>
        <w:t xml:space="preserve"> </w:t>
      </w:r>
      <w:r>
        <w:rPr>
          <w:w w:val="110"/>
        </w:rPr>
        <w:t>countries.</w:t>
      </w:r>
      <w:r>
        <w:rPr>
          <w:spacing w:val="-5"/>
          <w:w w:val="110"/>
        </w:rPr>
        <w:t xml:space="preserve"> </w:t>
      </w:r>
      <w:r>
        <w:rPr>
          <w:w w:val="110"/>
        </w:rPr>
        <w:t>We</w:t>
      </w:r>
      <w:r>
        <w:rPr>
          <w:spacing w:val="-3"/>
          <w:w w:val="110"/>
        </w:rPr>
        <w:t xml:space="preserve"> </w:t>
      </w:r>
      <w:r>
        <w:rPr>
          <w:w w:val="110"/>
        </w:rPr>
        <w:t>note</w:t>
      </w:r>
      <w:r>
        <w:rPr>
          <w:spacing w:val="-3"/>
          <w:w w:val="110"/>
        </w:rPr>
        <w:t xml:space="preserve"> </w:t>
      </w:r>
      <w:r>
        <w:rPr>
          <w:w w:val="110"/>
        </w:rPr>
        <w:t>for</w:t>
      </w:r>
      <w:r>
        <w:rPr>
          <w:spacing w:val="-6"/>
          <w:w w:val="110"/>
        </w:rPr>
        <w:t xml:space="preserve"> </w:t>
      </w:r>
      <w:r>
        <w:rPr>
          <w:w w:val="110"/>
        </w:rPr>
        <w:t>example</w:t>
      </w:r>
      <w:r>
        <w:rPr>
          <w:spacing w:val="-3"/>
          <w:w w:val="110"/>
        </w:rPr>
        <w:t xml:space="preserve"> </w:t>
      </w:r>
      <w:r>
        <w:rPr>
          <w:w w:val="110"/>
        </w:rPr>
        <w:t>the</w:t>
      </w:r>
      <w:r>
        <w:rPr>
          <w:spacing w:val="-6"/>
          <w:w w:val="110"/>
        </w:rPr>
        <w:t xml:space="preserve"> </w:t>
      </w:r>
      <w:r>
        <w:rPr>
          <w:w w:val="110"/>
        </w:rPr>
        <w:t>risk</w:t>
      </w:r>
      <w:r>
        <w:rPr>
          <w:spacing w:val="-6"/>
          <w:w w:val="110"/>
        </w:rPr>
        <w:t xml:space="preserve"> </w:t>
      </w:r>
      <w:r>
        <w:rPr>
          <w:w w:val="110"/>
        </w:rPr>
        <w:t>that</w:t>
      </w:r>
      <w:r>
        <w:rPr>
          <w:spacing w:val="-5"/>
          <w:w w:val="110"/>
        </w:rPr>
        <w:t xml:space="preserve"> </w:t>
      </w:r>
      <w:r>
        <w:rPr>
          <w:w w:val="110"/>
        </w:rPr>
        <w:t>these</w:t>
      </w:r>
      <w:r>
        <w:rPr>
          <w:spacing w:val="-3"/>
          <w:w w:val="110"/>
        </w:rPr>
        <w:t xml:space="preserve"> </w:t>
      </w:r>
      <w:r>
        <w:rPr>
          <w:w w:val="110"/>
        </w:rPr>
        <w:t>funds</w:t>
      </w:r>
      <w:r>
        <w:rPr>
          <w:spacing w:val="-6"/>
          <w:w w:val="110"/>
        </w:rPr>
        <w:t xml:space="preserve"> </w:t>
      </w:r>
      <w:r>
        <w:rPr>
          <w:w w:val="110"/>
        </w:rPr>
        <w:t>may</w:t>
      </w:r>
      <w:r>
        <w:rPr>
          <w:spacing w:val="-4"/>
          <w:w w:val="110"/>
        </w:rPr>
        <w:t xml:space="preserve"> </w:t>
      </w:r>
      <w:r>
        <w:rPr>
          <w:w w:val="110"/>
        </w:rPr>
        <w:t>be</w:t>
      </w:r>
      <w:r>
        <w:rPr>
          <w:spacing w:val="-3"/>
          <w:w w:val="110"/>
        </w:rPr>
        <w:t xml:space="preserve"> </w:t>
      </w:r>
      <w:r>
        <w:rPr>
          <w:w w:val="110"/>
        </w:rPr>
        <w:t>used</w:t>
      </w:r>
      <w:r>
        <w:rPr>
          <w:spacing w:val="-5"/>
          <w:w w:val="110"/>
        </w:rPr>
        <w:t xml:space="preserve"> </w:t>
      </w:r>
      <w:r>
        <w:rPr>
          <w:w w:val="110"/>
        </w:rPr>
        <w:t>to</w:t>
      </w:r>
      <w:r>
        <w:rPr>
          <w:spacing w:val="-3"/>
          <w:w w:val="110"/>
        </w:rPr>
        <w:t xml:space="preserve"> </w:t>
      </w:r>
      <w:r>
        <w:rPr>
          <w:w w:val="110"/>
        </w:rPr>
        <w:t>purchase</w:t>
      </w:r>
    </w:p>
    <w:p w:rsidR="00B84CED" w:rsidRDefault="00B84CED" w14:paraId="1DA5D09D" w14:textId="77777777">
      <w:pPr>
        <w:pStyle w:val="ListParagraph"/>
        <w:spacing w:line="357" w:lineRule="auto"/>
        <w:sectPr w:rsidR="00B84CED" w:rsidSect="00196DB0">
          <w:footerReference w:type="even" r:id="R7830c42d6c754c76"/>
          <w:footerReference w:type="first" r:id="R7f1669e9f47e4466"/>
          <w:headerReference w:type="even" r:id="R9e995ec7ea744ba5"/>
          <w:headerReference w:type="first" r:id="R119e1e4be5444e0f"/>
          <w:pgSz w:w="11907" w:h="16839"/>
          <w:pgMar w:top="1134" w:right="1134" w:bottom="1134" w:left="1134" w:header="567" w:footer="567" w:gutter="0"/>
          <w:cols w:space="720"/>
          <w:docGrid w:linePitch="299"/>
        </w:sectPr>
      </w:pPr>
    </w:p>
    <w:p w:rsidR="00B84CED" w:rsidRDefault="00794452" w14:paraId="7D40EAE0" w14:textId="77777777">
      <w:pPr>
        <w:pStyle w:val="BodyText"/>
        <w:spacing w:before="109" w:line="357" w:lineRule="auto"/>
        <w:ind w:left="361" w:right="591"/>
      </w:pPr>
      <w:r>
        <w:rPr>
          <w:w w:val="110"/>
        </w:rPr>
        <w:lastRenderedPageBreak/>
        <w:t>military</w:t>
      </w:r>
      <w:r>
        <w:rPr>
          <w:spacing w:val="-4"/>
          <w:w w:val="110"/>
        </w:rPr>
        <w:t xml:space="preserve"> </w:t>
      </w:r>
      <w:r>
        <w:rPr>
          <w:w w:val="110"/>
        </w:rPr>
        <w:t>components</w:t>
      </w:r>
      <w:r>
        <w:rPr>
          <w:spacing w:val="-4"/>
          <w:w w:val="110"/>
        </w:rPr>
        <w:t xml:space="preserve"> </w:t>
      </w:r>
      <w:r>
        <w:rPr>
          <w:w w:val="110"/>
        </w:rPr>
        <w:t>from</w:t>
      </w:r>
      <w:r>
        <w:rPr>
          <w:spacing w:val="-5"/>
          <w:w w:val="110"/>
        </w:rPr>
        <w:t xml:space="preserve"> </w:t>
      </w:r>
      <w:r>
        <w:rPr>
          <w:w w:val="110"/>
        </w:rPr>
        <w:t>Israel</w:t>
      </w:r>
      <w:r>
        <w:rPr>
          <w:spacing w:val="-7"/>
          <w:w w:val="110"/>
        </w:rPr>
        <w:t xml:space="preserve"> </w:t>
      </w:r>
      <w:r>
        <w:rPr>
          <w:w w:val="110"/>
        </w:rPr>
        <w:t>which</w:t>
      </w:r>
      <w:r>
        <w:rPr>
          <w:spacing w:val="-5"/>
          <w:w w:val="110"/>
        </w:rPr>
        <w:t xml:space="preserve"> </w:t>
      </w:r>
      <w:r>
        <w:rPr>
          <w:w w:val="110"/>
        </w:rPr>
        <w:t>have</w:t>
      </w:r>
      <w:r>
        <w:rPr>
          <w:spacing w:val="-3"/>
          <w:w w:val="110"/>
        </w:rPr>
        <w:t xml:space="preserve"> </w:t>
      </w:r>
      <w:r>
        <w:rPr>
          <w:w w:val="110"/>
        </w:rPr>
        <w:t>been</w:t>
      </w:r>
      <w:r>
        <w:rPr>
          <w:spacing w:val="-5"/>
          <w:w w:val="110"/>
        </w:rPr>
        <w:t xml:space="preserve"> </w:t>
      </w:r>
      <w:r>
        <w:rPr>
          <w:w w:val="110"/>
        </w:rPr>
        <w:t>developed</w:t>
      </w:r>
      <w:r>
        <w:rPr>
          <w:spacing w:val="-5"/>
          <w:w w:val="110"/>
        </w:rPr>
        <w:t xml:space="preserve"> </w:t>
      </w:r>
      <w:r>
        <w:rPr>
          <w:w w:val="110"/>
        </w:rPr>
        <w:t>or</w:t>
      </w:r>
      <w:r>
        <w:rPr>
          <w:spacing w:val="-4"/>
          <w:w w:val="110"/>
        </w:rPr>
        <w:t xml:space="preserve"> </w:t>
      </w:r>
      <w:r>
        <w:rPr>
          <w:w w:val="110"/>
        </w:rPr>
        <w:t>‘tested’</w:t>
      </w:r>
      <w:r>
        <w:rPr>
          <w:spacing w:val="-5"/>
          <w:w w:val="110"/>
        </w:rPr>
        <w:t xml:space="preserve"> </w:t>
      </w:r>
      <w:r>
        <w:rPr>
          <w:w w:val="110"/>
        </w:rPr>
        <w:t>through</w:t>
      </w:r>
      <w:r>
        <w:rPr>
          <w:spacing w:val="-7"/>
          <w:w w:val="110"/>
        </w:rPr>
        <w:t xml:space="preserve"> </w:t>
      </w:r>
      <w:r>
        <w:rPr>
          <w:w w:val="110"/>
        </w:rPr>
        <w:t>war-</w:t>
      </w:r>
      <w:r>
        <w:rPr>
          <w:spacing w:val="-2"/>
          <w:w w:val="110"/>
        </w:rPr>
        <w:t>crimes.</w:t>
      </w:r>
    </w:p>
    <w:p w:rsidR="00B84CED" w:rsidRDefault="00B84CED" w14:paraId="3E7F9D65" w14:textId="77777777">
      <w:pPr>
        <w:pStyle w:val="BodyText"/>
        <w:spacing w:before="131"/>
      </w:pPr>
    </w:p>
    <w:p w:rsidR="00B84CED" w:rsidRDefault="00794452" w14:paraId="40C5F5A5" w14:textId="77777777">
      <w:pPr>
        <w:pStyle w:val="ListParagraph"/>
        <w:numPr>
          <w:ilvl w:val="0"/>
          <w:numId w:val="1"/>
        </w:numPr>
        <w:tabs>
          <w:tab w:val="left" w:pos="358"/>
          <w:tab w:val="left" w:pos="361"/>
        </w:tabs>
        <w:spacing w:line="357" w:lineRule="auto"/>
        <w:ind w:right="469"/>
      </w:pPr>
      <w:r>
        <w:rPr>
          <w:w w:val="110"/>
        </w:rPr>
        <w:t>The Committee is concerned by the inequitable and potentially negative economic effects of this mechanism on the Union as a whole, as investment is redirected away from broader regional investment spread across all member states, into an industry dominated</w:t>
      </w:r>
      <w:r>
        <w:rPr>
          <w:spacing w:val="-7"/>
          <w:w w:val="110"/>
        </w:rPr>
        <w:t xml:space="preserve"> </w:t>
      </w:r>
      <w:r>
        <w:rPr>
          <w:w w:val="110"/>
        </w:rPr>
        <w:t>by</w:t>
      </w:r>
      <w:r>
        <w:rPr>
          <w:spacing w:val="-8"/>
          <w:w w:val="110"/>
        </w:rPr>
        <w:t xml:space="preserve"> </w:t>
      </w:r>
      <w:r>
        <w:rPr>
          <w:w w:val="110"/>
        </w:rPr>
        <w:t>a</w:t>
      </w:r>
      <w:r>
        <w:rPr>
          <w:spacing w:val="-7"/>
          <w:w w:val="110"/>
        </w:rPr>
        <w:t xml:space="preserve"> </w:t>
      </w:r>
      <w:r>
        <w:rPr>
          <w:w w:val="110"/>
        </w:rPr>
        <w:t>handful</w:t>
      </w:r>
      <w:r>
        <w:rPr>
          <w:spacing w:val="-8"/>
          <w:w w:val="110"/>
        </w:rPr>
        <w:t xml:space="preserve"> </w:t>
      </w:r>
      <w:r>
        <w:rPr>
          <w:w w:val="110"/>
        </w:rPr>
        <w:t>of</w:t>
      </w:r>
      <w:r>
        <w:rPr>
          <w:spacing w:val="-6"/>
          <w:w w:val="110"/>
        </w:rPr>
        <w:t xml:space="preserve"> </w:t>
      </w:r>
      <w:r>
        <w:rPr>
          <w:w w:val="110"/>
        </w:rPr>
        <w:t>larger</w:t>
      </w:r>
      <w:r>
        <w:rPr>
          <w:spacing w:val="-8"/>
          <w:w w:val="110"/>
        </w:rPr>
        <w:t xml:space="preserve"> </w:t>
      </w:r>
      <w:r>
        <w:rPr>
          <w:w w:val="110"/>
        </w:rPr>
        <w:t>member</w:t>
      </w:r>
      <w:r>
        <w:rPr>
          <w:spacing w:val="-8"/>
          <w:w w:val="110"/>
        </w:rPr>
        <w:t xml:space="preserve"> </w:t>
      </w:r>
      <w:r>
        <w:rPr>
          <w:w w:val="110"/>
        </w:rPr>
        <w:t>states.</w:t>
      </w:r>
      <w:r>
        <w:rPr>
          <w:spacing w:val="-8"/>
          <w:w w:val="110"/>
        </w:rPr>
        <w:t xml:space="preserve"> </w:t>
      </w:r>
      <w:r>
        <w:rPr>
          <w:w w:val="110"/>
        </w:rPr>
        <w:t>The</w:t>
      </w:r>
      <w:r>
        <w:rPr>
          <w:spacing w:val="-5"/>
          <w:w w:val="110"/>
        </w:rPr>
        <w:t xml:space="preserve"> </w:t>
      </w:r>
      <w:r>
        <w:rPr>
          <w:w w:val="110"/>
        </w:rPr>
        <w:t>Committee</w:t>
      </w:r>
      <w:r>
        <w:rPr>
          <w:spacing w:val="-5"/>
          <w:w w:val="110"/>
        </w:rPr>
        <w:t xml:space="preserve"> </w:t>
      </w:r>
      <w:r>
        <w:rPr>
          <w:w w:val="110"/>
        </w:rPr>
        <w:t>further</w:t>
      </w:r>
      <w:r>
        <w:rPr>
          <w:spacing w:val="-10"/>
          <w:w w:val="110"/>
        </w:rPr>
        <w:t xml:space="preserve"> </w:t>
      </w:r>
      <w:r>
        <w:rPr>
          <w:w w:val="110"/>
        </w:rPr>
        <w:t>notes</w:t>
      </w:r>
      <w:r>
        <w:rPr>
          <w:spacing w:val="-8"/>
          <w:w w:val="110"/>
        </w:rPr>
        <w:t xml:space="preserve"> </w:t>
      </w:r>
      <w:r>
        <w:rPr>
          <w:w w:val="110"/>
        </w:rPr>
        <w:t>evidence that defence spending of this type has a very limited scope for economic growth and return on investment.</w:t>
      </w:r>
    </w:p>
    <w:p w:rsidR="00B84CED" w:rsidRDefault="00B84CED" w14:paraId="056D9F80" w14:textId="77777777">
      <w:pPr>
        <w:pStyle w:val="BodyText"/>
        <w:spacing w:before="133"/>
      </w:pPr>
    </w:p>
    <w:p w:rsidR="00B84CED" w:rsidRDefault="00794452" w14:paraId="598C9BD5" w14:textId="77777777">
      <w:pPr>
        <w:pStyle w:val="ListParagraph"/>
        <w:numPr>
          <w:ilvl w:val="0"/>
          <w:numId w:val="1"/>
        </w:numPr>
        <w:tabs>
          <w:tab w:val="left" w:pos="358"/>
          <w:tab w:val="left" w:pos="361"/>
        </w:tabs>
        <w:spacing w:line="357" w:lineRule="auto"/>
        <w:ind w:right="667"/>
      </w:pPr>
      <w:r>
        <w:rPr>
          <w:w w:val="110"/>
        </w:rPr>
        <w:t>The</w:t>
      </w:r>
      <w:r>
        <w:rPr>
          <w:spacing w:val="-5"/>
          <w:w w:val="110"/>
        </w:rPr>
        <w:t xml:space="preserve"> </w:t>
      </w:r>
      <w:r>
        <w:rPr>
          <w:w w:val="110"/>
        </w:rPr>
        <w:t>Committee</w:t>
      </w:r>
      <w:r>
        <w:rPr>
          <w:spacing w:val="-5"/>
          <w:w w:val="110"/>
        </w:rPr>
        <w:t xml:space="preserve"> </w:t>
      </w:r>
      <w:r>
        <w:rPr>
          <w:w w:val="110"/>
        </w:rPr>
        <w:t>notes</w:t>
      </w:r>
      <w:r>
        <w:rPr>
          <w:spacing w:val="-3"/>
          <w:w w:val="110"/>
        </w:rPr>
        <w:t xml:space="preserve"> </w:t>
      </w:r>
      <w:r>
        <w:rPr>
          <w:w w:val="110"/>
        </w:rPr>
        <w:t>that</w:t>
      </w:r>
      <w:r>
        <w:rPr>
          <w:spacing w:val="-4"/>
          <w:w w:val="110"/>
        </w:rPr>
        <w:t xml:space="preserve"> </w:t>
      </w:r>
      <w:r>
        <w:rPr>
          <w:w w:val="110"/>
        </w:rPr>
        <w:t>as</w:t>
      </w:r>
      <w:r>
        <w:rPr>
          <w:spacing w:val="-3"/>
          <w:w w:val="110"/>
        </w:rPr>
        <w:t xml:space="preserve"> </w:t>
      </w:r>
      <w:r>
        <w:rPr>
          <w:w w:val="110"/>
        </w:rPr>
        <w:t>a</w:t>
      </w:r>
      <w:r>
        <w:rPr>
          <w:spacing w:val="-4"/>
          <w:w w:val="110"/>
        </w:rPr>
        <w:t xml:space="preserve"> </w:t>
      </w:r>
      <w:r>
        <w:rPr>
          <w:w w:val="110"/>
        </w:rPr>
        <w:t>neutral</w:t>
      </w:r>
      <w:r>
        <w:rPr>
          <w:spacing w:val="-6"/>
          <w:w w:val="110"/>
        </w:rPr>
        <w:t xml:space="preserve"> </w:t>
      </w:r>
      <w:r>
        <w:rPr>
          <w:w w:val="110"/>
        </w:rPr>
        <w:t>country,</w:t>
      </w:r>
      <w:r>
        <w:rPr>
          <w:spacing w:val="-4"/>
          <w:w w:val="110"/>
        </w:rPr>
        <w:t xml:space="preserve"> </w:t>
      </w:r>
      <w:r>
        <w:rPr>
          <w:w w:val="110"/>
        </w:rPr>
        <w:t>there</w:t>
      </w:r>
      <w:r>
        <w:rPr>
          <w:spacing w:val="-2"/>
          <w:w w:val="110"/>
        </w:rPr>
        <w:t xml:space="preserve"> </w:t>
      </w:r>
      <w:r>
        <w:rPr>
          <w:w w:val="110"/>
        </w:rPr>
        <w:t>are</w:t>
      </w:r>
      <w:r>
        <w:rPr>
          <w:spacing w:val="-2"/>
          <w:w w:val="110"/>
        </w:rPr>
        <w:t xml:space="preserve"> </w:t>
      </w:r>
      <w:r>
        <w:rPr>
          <w:w w:val="110"/>
        </w:rPr>
        <w:t>concerns</w:t>
      </w:r>
      <w:r>
        <w:rPr>
          <w:spacing w:val="-3"/>
          <w:w w:val="110"/>
        </w:rPr>
        <w:t xml:space="preserve"> </w:t>
      </w:r>
      <w:r>
        <w:rPr>
          <w:w w:val="110"/>
        </w:rPr>
        <w:t>that</w:t>
      </w:r>
      <w:r>
        <w:rPr>
          <w:spacing w:val="-6"/>
          <w:w w:val="110"/>
        </w:rPr>
        <w:t xml:space="preserve"> </w:t>
      </w:r>
      <w:r>
        <w:rPr>
          <w:w w:val="110"/>
        </w:rPr>
        <w:t>Ireland</w:t>
      </w:r>
      <w:r>
        <w:rPr>
          <w:spacing w:val="-7"/>
          <w:w w:val="110"/>
        </w:rPr>
        <w:t xml:space="preserve"> </w:t>
      </w:r>
      <w:r>
        <w:rPr>
          <w:w w:val="110"/>
        </w:rPr>
        <w:t>will</w:t>
      </w:r>
      <w:r>
        <w:rPr>
          <w:spacing w:val="-4"/>
          <w:w w:val="110"/>
        </w:rPr>
        <w:t xml:space="preserve"> </w:t>
      </w:r>
      <w:r>
        <w:rPr>
          <w:w w:val="110"/>
        </w:rPr>
        <w:t>be contributing to the procurement of, and the underwriting of loans for weapons and military hardware that may be inconsistent with that stated neutral position.</w:t>
      </w:r>
    </w:p>
    <w:p w:rsidR="00B84CED" w:rsidRDefault="00B84CED" w14:paraId="02432C46" w14:textId="77777777">
      <w:pPr>
        <w:pStyle w:val="BodyText"/>
        <w:spacing w:before="132"/>
      </w:pPr>
    </w:p>
    <w:p w:rsidR="00B84CED" w:rsidRDefault="00794452" w14:paraId="66063080" w14:textId="77777777">
      <w:pPr>
        <w:pStyle w:val="ListParagraph"/>
        <w:numPr>
          <w:ilvl w:val="0"/>
          <w:numId w:val="1"/>
        </w:numPr>
        <w:tabs>
          <w:tab w:val="left" w:pos="362"/>
          <w:tab w:val="left" w:pos="412"/>
        </w:tabs>
        <w:spacing w:line="357" w:lineRule="auto"/>
        <w:ind w:left="362" w:right="709"/>
      </w:pPr>
      <w:r>
        <w:rPr>
          <w:w w:val="110"/>
        </w:rPr>
        <w:t>The</w:t>
      </w:r>
      <w:r>
        <w:rPr>
          <w:spacing w:val="40"/>
          <w:w w:val="110"/>
        </w:rPr>
        <w:t xml:space="preserve"> </w:t>
      </w:r>
      <w:r>
        <w:rPr>
          <w:w w:val="110"/>
        </w:rPr>
        <w:t>Committee recognises the overwhelming value of social cohesion to a peaceful Europe,</w:t>
      </w:r>
      <w:r>
        <w:rPr>
          <w:spacing w:val="-8"/>
          <w:w w:val="110"/>
        </w:rPr>
        <w:t xml:space="preserve"> </w:t>
      </w:r>
      <w:r>
        <w:rPr>
          <w:w w:val="110"/>
        </w:rPr>
        <w:t>noting</w:t>
      </w:r>
      <w:r>
        <w:rPr>
          <w:spacing w:val="-9"/>
          <w:w w:val="110"/>
        </w:rPr>
        <w:t xml:space="preserve"> </w:t>
      </w:r>
      <w:r>
        <w:rPr>
          <w:w w:val="110"/>
        </w:rPr>
        <w:t>our</w:t>
      </w:r>
      <w:r>
        <w:rPr>
          <w:spacing w:val="-9"/>
          <w:w w:val="110"/>
        </w:rPr>
        <w:t xml:space="preserve"> </w:t>
      </w:r>
      <w:r>
        <w:rPr>
          <w:w w:val="110"/>
        </w:rPr>
        <w:t>own</w:t>
      </w:r>
      <w:r>
        <w:rPr>
          <w:spacing w:val="-12"/>
          <w:w w:val="110"/>
        </w:rPr>
        <w:t xml:space="preserve"> </w:t>
      </w:r>
      <w:r>
        <w:rPr>
          <w:w w:val="110"/>
        </w:rPr>
        <w:t>history</w:t>
      </w:r>
      <w:r>
        <w:rPr>
          <w:spacing w:val="-10"/>
          <w:w w:val="110"/>
        </w:rPr>
        <w:t xml:space="preserve"> </w:t>
      </w:r>
      <w:r>
        <w:rPr>
          <w:w w:val="110"/>
        </w:rPr>
        <w:t>and</w:t>
      </w:r>
      <w:r>
        <w:rPr>
          <w:spacing w:val="-8"/>
          <w:w w:val="110"/>
        </w:rPr>
        <w:t xml:space="preserve"> </w:t>
      </w:r>
      <w:r>
        <w:rPr>
          <w:w w:val="110"/>
        </w:rPr>
        <w:t>the</w:t>
      </w:r>
      <w:r>
        <w:rPr>
          <w:spacing w:val="-9"/>
          <w:w w:val="110"/>
        </w:rPr>
        <w:t xml:space="preserve"> </w:t>
      </w:r>
      <w:r>
        <w:rPr>
          <w:w w:val="110"/>
        </w:rPr>
        <w:t>contributions</w:t>
      </w:r>
      <w:r>
        <w:rPr>
          <w:spacing w:val="-7"/>
          <w:w w:val="110"/>
        </w:rPr>
        <w:t xml:space="preserve"> </w:t>
      </w:r>
      <w:r>
        <w:rPr>
          <w:w w:val="110"/>
        </w:rPr>
        <w:t>that</w:t>
      </w:r>
      <w:r>
        <w:rPr>
          <w:spacing w:val="-10"/>
          <w:w w:val="110"/>
        </w:rPr>
        <w:t xml:space="preserve"> </w:t>
      </w:r>
      <w:r>
        <w:rPr>
          <w:w w:val="110"/>
        </w:rPr>
        <w:t>social</w:t>
      </w:r>
      <w:r>
        <w:rPr>
          <w:spacing w:val="-10"/>
          <w:w w:val="110"/>
        </w:rPr>
        <w:t xml:space="preserve"> </w:t>
      </w:r>
      <w:r>
        <w:rPr>
          <w:w w:val="110"/>
        </w:rPr>
        <w:t>cohesion</w:t>
      </w:r>
      <w:r>
        <w:rPr>
          <w:spacing w:val="-10"/>
          <w:w w:val="110"/>
        </w:rPr>
        <w:t xml:space="preserve"> </w:t>
      </w:r>
      <w:r>
        <w:rPr>
          <w:w w:val="110"/>
        </w:rPr>
        <w:t>funding</w:t>
      </w:r>
      <w:r>
        <w:rPr>
          <w:spacing w:val="-6"/>
          <w:w w:val="110"/>
        </w:rPr>
        <w:t xml:space="preserve"> </w:t>
      </w:r>
      <w:r>
        <w:rPr>
          <w:w w:val="110"/>
        </w:rPr>
        <w:t>and the involvement of the EU has made to peaceful and prosperous communities in Ireland. The Committee believes that the effects of the dilution of social cohesion funding will be felt the hardest those communities shaped by conflict.</w:t>
      </w:r>
    </w:p>
    <w:p w:rsidR="00B84CED" w:rsidRDefault="00B84CED" w14:paraId="167F8BC0" w14:textId="77777777">
      <w:pPr>
        <w:pStyle w:val="ListParagraph"/>
        <w:spacing w:line="357" w:lineRule="auto"/>
        <w:sectPr w:rsidR="00B84CED" w:rsidSect="00196DB0">
          <w:footerReference w:type="even" r:id="Rc8d6db3505d648cc"/>
          <w:footerReference w:type="first" r:id="R0565a706828e479f"/>
          <w:headerReference w:type="even" r:id="Rca8a5d5f90c44f40"/>
          <w:headerReference w:type="first" r:id="Rf2fbd9159b1b4bce"/>
          <w:pgSz w:w="11907" w:h="16839"/>
          <w:pgMar w:top="1134" w:right="1134" w:bottom="1134" w:left="1134" w:header="567" w:footer="567" w:gutter="0"/>
          <w:cols w:space="720"/>
          <w:docGrid w:linePitch="299"/>
        </w:sectPr>
      </w:pPr>
    </w:p>
    <w:p w:rsidR="00B84CED" w:rsidRDefault="00794452" w14:paraId="362108C9" w14:textId="77777777">
      <w:pPr>
        <w:pStyle w:val="Heading1"/>
        <w:spacing w:before="98"/>
        <w:ind w:left="219"/>
      </w:pPr>
      <w:bookmarkStart w:name="Introduction" w:id="18"/>
      <w:bookmarkStart w:name="_bookmark5" w:id="19"/>
      <w:bookmarkEnd w:id="18"/>
      <w:bookmarkEnd w:id="19"/>
      <w:r>
        <w:rPr>
          <w:color w:val="395C66"/>
          <w:spacing w:val="-2"/>
          <w:w w:val="105"/>
        </w:rPr>
        <w:lastRenderedPageBreak/>
        <w:t>Introduction</w:t>
      </w:r>
    </w:p>
    <w:p w:rsidR="00B84CED" w:rsidRDefault="00794452" w14:paraId="2C5ADE2A" w14:textId="77777777">
      <w:pPr>
        <w:pStyle w:val="BodyText"/>
        <w:spacing w:before="154" w:line="357" w:lineRule="auto"/>
        <w:ind w:left="219" w:right="778"/>
      </w:pPr>
      <w:r>
        <w:rPr>
          <w:w w:val="110"/>
        </w:rPr>
        <w:t>As part of its remit, the Joint Committee on Finance, Public Expenditure, Public Services Reform</w:t>
      </w:r>
      <w:r>
        <w:rPr>
          <w:spacing w:val="-1"/>
          <w:w w:val="110"/>
        </w:rPr>
        <w:t xml:space="preserve"> </w:t>
      </w:r>
      <w:r>
        <w:rPr>
          <w:w w:val="110"/>
        </w:rPr>
        <w:t>and Digitalisation, and</w:t>
      </w:r>
      <w:r>
        <w:rPr>
          <w:spacing w:val="-1"/>
          <w:w w:val="110"/>
        </w:rPr>
        <w:t xml:space="preserve"> </w:t>
      </w:r>
      <w:r>
        <w:rPr>
          <w:w w:val="110"/>
        </w:rPr>
        <w:t>Taoiseach (‘the Joint Committee’) undertakes scrutiny</w:t>
      </w:r>
      <w:r>
        <w:rPr>
          <w:spacing w:val="-3"/>
          <w:w w:val="110"/>
        </w:rPr>
        <w:t xml:space="preserve"> </w:t>
      </w:r>
      <w:r>
        <w:rPr>
          <w:w w:val="110"/>
        </w:rPr>
        <w:t>of</w:t>
      </w:r>
      <w:r>
        <w:rPr>
          <w:spacing w:val="-2"/>
          <w:w w:val="110"/>
        </w:rPr>
        <w:t xml:space="preserve"> </w:t>
      </w:r>
      <w:r>
        <w:rPr>
          <w:w w:val="110"/>
        </w:rPr>
        <w:t>EU legislative</w:t>
      </w:r>
      <w:r>
        <w:rPr>
          <w:spacing w:val="-2"/>
          <w:w w:val="110"/>
        </w:rPr>
        <w:t xml:space="preserve"> </w:t>
      </w:r>
      <w:r>
        <w:rPr>
          <w:w w:val="110"/>
        </w:rPr>
        <w:t>proposals. Draft legislative proposals</w:t>
      </w:r>
      <w:r>
        <w:rPr>
          <w:spacing w:val="-2"/>
          <w:w w:val="110"/>
        </w:rPr>
        <w:t xml:space="preserve"> </w:t>
      </w:r>
      <w:r>
        <w:rPr>
          <w:w w:val="110"/>
        </w:rPr>
        <w:t>(referred to</w:t>
      </w:r>
      <w:r>
        <w:rPr>
          <w:spacing w:val="-2"/>
          <w:w w:val="110"/>
        </w:rPr>
        <w:t xml:space="preserve"> </w:t>
      </w:r>
      <w:r>
        <w:rPr>
          <w:w w:val="110"/>
        </w:rPr>
        <w:t>as ‘COMs’) are received from the European Commission and passed on to the relevant sectoral committee for scrutiny at a National Parliamentary level.</w:t>
      </w:r>
    </w:p>
    <w:p w:rsidR="00B84CED" w:rsidRDefault="00794452" w14:paraId="3509AE40" w14:textId="77777777">
      <w:pPr>
        <w:pStyle w:val="BodyText"/>
        <w:spacing w:before="159" w:line="357" w:lineRule="auto"/>
        <w:ind w:left="219" w:right="1007"/>
      </w:pPr>
      <w:r>
        <w:rPr>
          <w:w w:val="110"/>
        </w:rPr>
        <w:t>The Joint Committee is responsible for the scrutiny of a significant number of legislative</w:t>
      </w:r>
      <w:r>
        <w:rPr>
          <w:spacing w:val="-7"/>
          <w:w w:val="110"/>
        </w:rPr>
        <w:t xml:space="preserve"> </w:t>
      </w:r>
      <w:r>
        <w:rPr>
          <w:w w:val="110"/>
        </w:rPr>
        <w:t>proposals,</w:t>
      </w:r>
      <w:r>
        <w:rPr>
          <w:spacing w:val="-8"/>
          <w:w w:val="110"/>
        </w:rPr>
        <w:t xml:space="preserve"> </w:t>
      </w:r>
      <w:r>
        <w:rPr>
          <w:w w:val="110"/>
        </w:rPr>
        <w:t>with</w:t>
      </w:r>
      <w:r>
        <w:rPr>
          <w:spacing w:val="-6"/>
          <w:w w:val="110"/>
        </w:rPr>
        <w:t xml:space="preserve"> </w:t>
      </w:r>
      <w:r>
        <w:rPr>
          <w:w w:val="110"/>
        </w:rPr>
        <w:t>a</w:t>
      </w:r>
      <w:r>
        <w:rPr>
          <w:spacing w:val="-6"/>
          <w:w w:val="110"/>
        </w:rPr>
        <w:t xml:space="preserve"> </w:t>
      </w:r>
      <w:r>
        <w:rPr>
          <w:w w:val="110"/>
        </w:rPr>
        <w:t>range</w:t>
      </w:r>
      <w:r>
        <w:rPr>
          <w:spacing w:val="-7"/>
          <w:w w:val="110"/>
        </w:rPr>
        <w:t xml:space="preserve"> </w:t>
      </w:r>
      <w:r>
        <w:rPr>
          <w:w w:val="110"/>
        </w:rPr>
        <w:t>of</w:t>
      </w:r>
      <w:r>
        <w:rPr>
          <w:spacing w:val="-7"/>
          <w:w w:val="110"/>
        </w:rPr>
        <w:t xml:space="preserve"> </w:t>
      </w:r>
      <w:r>
        <w:rPr>
          <w:w w:val="110"/>
        </w:rPr>
        <w:t>options</w:t>
      </w:r>
      <w:r>
        <w:rPr>
          <w:spacing w:val="-7"/>
          <w:w w:val="110"/>
        </w:rPr>
        <w:t xml:space="preserve"> </w:t>
      </w:r>
      <w:r>
        <w:rPr>
          <w:w w:val="110"/>
        </w:rPr>
        <w:t>available</w:t>
      </w:r>
      <w:r>
        <w:rPr>
          <w:spacing w:val="-4"/>
          <w:w w:val="110"/>
        </w:rPr>
        <w:t xml:space="preserve"> </w:t>
      </w:r>
      <w:r>
        <w:rPr>
          <w:w w:val="110"/>
        </w:rPr>
        <w:t>to</w:t>
      </w:r>
      <w:r>
        <w:rPr>
          <w:spacing w:val="-7"/>
          <w:w w:val="110"/>
        </w:rPr>
        <w:t xml:space="preserve"> </w:t>
      </w:r>
      <w:r>
        <w:rPr>
          <w:w w:val="110"/>
        </w:rPr>
        <w:t>the</w:t>
      </w:r>
      <w:r>
        <w:rPr>
          <w:spacing w:val="-7"/>
          <w:w w:val="110"/>
        </w:rPr>
        <w:t xml:space="preserve"> </w:t>
      </w:r>
      <w:r>
        <w:rPr>
          <w:w w:val="110"/>
        </w:rPr>
        <w:t>Committee</w:t>
      </w:r>
      <w:r>
        <w:rPr>
          <w:spacing w:val="-7"/>
          <w:w w:val="110"/>
        </w:rPr>
        <w:t xml:space="preserve"> </w:t>
      </w:r>
      <w:r>
        <w:rPr>
          <w:w w:val="110"/>
        </w:rPr>
        <w:t>in</w:t>
      </w:r>
      <w:r>
        <w:rPr>
          <w:spacing w:val="-8"/>
          <w:w w:val="110"/>
        </w:rPr>
        <w:t xml:space="preserve"> </w:t>
      </w:r>
      <w:r>
        <w:rPr>
          <w:w w:val="110"/>
        </w:rPr>
        <w:t>how</w:t>
      </w:r>
      <w:r>
        <w:rPr>
          <w:spacing w:val="-5"/>
          <w:w w:val="110"/>
        </w:rPr>
        <w:t xml:space="preserve"> </w:t>
      </w:r>
      <w:r>
        <w:rPr>
          <w:w w:val="110"/>
        </w:rPr>
        <w:t>it chooses to handle scrutiny. This report examines two such legislative proposals which have been assigned to the Joint Committee for scrutiny:</w:t>
      </w:r>
    </w:p>
    <w:p w:rsidR="00B84CED" w:rsidRDefault="00794452" w14:paraId="4F6EA18B" w14:textId="77777777">
      <w:pPr>
        <w:pStyle w:val="ListParagraph"/>
        <w:numPr>
          <w:ilvl w:val="1"/>
          <w:numId w:val="1"/>
        </w:numPr>
        <w:tabs>
          <w:tab w:val="left" w:pos="939"/>
        </w:tabs>
        <w:spacing w:before="149" w:line="355" w:lineRule="auto"/>
        <w:ind w:right="1144" w:hanging="360"/>
        <w:jc w:val="both"/>
        <w:rPr>
          <w:i/>
        </w:rPr>
      </w:pPr>
      <w:r>
        <w:rPr>
          <w:i/>
          <w:w w:val="110"/>
        </w:rPr>
        <w:t>COM(2025)122 - Proposal for a COUNCIL REGULATION establishing the Security Action for Europe (SAFE) through the reinforcement of European defence industry Instrument</w:t>
      </w:r>
    </w:p>
    <w:p w:rsidR="00B84CED" w:rsidRDefault="00794452" w14:paraId="62383898" w14:textId="77777777">
      <w:pPr>
        <w:pStyle w:val="ListParagraph"/>
        <w:numPr>
          <w:ilvl w:val="1"/>
          <w:numId w:val="1"/>
        </w:numPr>
        <w:tabs>
          <w:tab w:val="left" w:pos="937"/>
        </w:tabs>
        <w:spacing w:before="161"/>
        <w:ind w:left="937" w:hanging="360"/>
        <w:rPr>
          <w:i/>
        </w:rPr>
      </w:pPr>
      <w:r>
        <w:rPr>
          <w:i/>
          <w:w w:val="110"/>
        </w:rPr>
        <w:t>COM(2025)123 -</w:t>
      </w:r>
      <w:r>
        <w:rPr>
          <w:i/>
          <w:spacing w:val="-1"/>
          <w:w w:val="110"/>
        </w:rPr>
        <w:t xml:space="preserve"> </w:t>
      </w:r>
      <w:r>
        <w:rPr>
          <w:i/>
          <w:w w:val="110"/>
        </w:rPr>
        <w:t>Proposal for</w:t>
      </w:r>
      <w:r>
        <w:rPr>
          <w:i/>
          <w:spacing w:val="-1"/>
          <w:w w:val="110"/>
        </w:rPr>
        <w:t xml:space="preserve"> </w:t>
      </w:r>
      <w:r>
        <w:rPr>
          <w:i/>
          <w:w w:val="110"/>
        </w:rPr>
        <w:t>a</w:t>
      </w:r>
      <w:r>
        <w:rPr>
          <w:i/>
          <w:spacing w:val="-1"/>
          <w:w w:val="110"/>
        </w:rPr>
        <w:t xml:space="preserve"> </w:t>
      </w:r>
      <w:r>
        <w:rPr>
          <w:i/>
          <w:w w:val="110"/>
        </w:rPr>
        <w:t>REGULATION</w:t>
      </w:r>
      <w:r>
        <w:rPr>
          <w:i/>
          <w:spacing w:val="-2"/>
          <w:w w:val="110"/>
        </w:rPr>
        <w:t xml:space="preserve"> </w:t>
      </w:r>
      <w:r>
        <w:rPr>
          <w:i/>
          <w:w w:val="110"/>
        </w:rPr>
        <w:t>OF</w:t>
      </w:r>
      <w:r>
        <w:rPr>
          <w:i/>
          <w:spacing w:val="-4"/>
          <w:w w:val="110"/>
        </w:rPr>
        <w:t xml:space="preserve"> </w:t>
      </w:r>
      <w:r>
        <w:rPr>
          <w:i/>
          <w:w w:val="110"/>
        </w:rPr>
        <w:t>THE</w:t>
      </w:r>
      <w:r>
        <w:rPr>
          <w:i/>
          <w:spacing w:val="1"/>
          <w:w w:val="110"/>
        </w:rPr>
        <w:t xml:space="preserve"> </w:t>
      </w:r>
      <w:r>
        <w:rPr>
          <w:i/>
          <w:w w:val="110"/>
        </w:rPr>
        <w:t>EUROPEAN</w:t>
      </w:r>
      <w:r>
        <w:rPr>
          <w:i/>
          <w:spacing w:val="1"/>
          <w:w w:val="110"/>
        </w:rPr>
        <w:t xml:space="preserve"> </w:t>
      </w:r>
      <w:r>
        <w:rPr>
          <w:i/>
          <w:spacing w:val="-2"/>
          <w:w w:val="110"/>
        </w:rPr>
        <w:t>PARLIAMENT</w:t>
      </w:r>
    </w:p>
    <w:p w:rsidR="00B84CED" w:rsidRDefault="00794452" w14:paraId="21E01D07" w14:textId="77777777">
      <w:pPr>
        <w:spacing w:before="130" w:line="357" w:lineRule="auto"/>
        <w:ind w:left="937" w:right="591"/>
        <w:rPr>
          <w:i/>
        </w:rPr>
      </w:pPr>
      <w:r>
        <w:rPr>
          <w:i/>
          <w:w w:val="110"/>
        </w:rPr>
        <w:t>AND OF THE COUNCIL amending Regulations (EU) 2021/1058 and (EU) 2021/1056 as</w:t>
      </w:r>
      <w:r>
        <w:rPr>
          <w:i/>
          <w:spacing w:val="-1"/>
          <w:w w:val="110"/>
        </w:rPr>
        <w:t xml:space="preserve"> </w:t>
      </w:r>
      <w:r>
        <w:rPr>
          <w:i/>
          <w:w w:val="110"/>
        </w:rPr>
        <w:t>regards</w:t>
      </w:r>
      <w:r>
        <w:rPr>
          <w:i/>
          <w:spacing w:val="-1"/>
          <w:w w:val="110"/>
        </w:rPr>
        <w:t xml:space="preserve"> </w:t>
      </w:r>
      <w:r>
        <w:rPr>
          <w:i/>
          <w:w w:val="110"/>
        </w:rPr>
        <w:t>specific measures to address strategic challenges in the context of the mid- term review</w:t>
      </w:r>
    </w:p>
    <w:p w:rsidR="00B84CED" w:rsidRDefault="00794452" w14:paraId="2DC6480C" w14:textId="77777777">
      <w:pPr>
        <w:pStyle w:val="BodyText"/>
        <w:spacing w:before="160" w:line="357" w:lineRule="auto"/>
        <w:ind w:left="217" w:right="796"/>
      </w:pPr>
      <w:r>
        <w:rPr>
          <w:w w:val="110"/>
        </w:rPr>
        <w:t>The Joint Committee first considered both proposals at its private meeting on Wednesday</w:t>
      </w:r>
      <w:r>
        <w:rPr>
          <w:spacing w:val="-2"/>
          <w:w w:val="110"/>
        </w:rPr>
        <w:t xml:space="preserve"> </w:t>
      </w:r>
      <w:r>
        <w:rPr>
          <w:w w:val="110"/>
        </w:rPr>
        <w:t>28</w:t>
      </w:r>
      <w:r>
        <w:rPr>
          <w:spacing w:val="-5"/>
          <w:w w:val="110"/>
        </w:rPr>
        <w:t xml:space="preserve"> </w:t>
      </w:r>
      <w:r>
        <w:rPr>
          <w:w w:val="110"/>
        </w:rPr>
        <w:t>May,</w:t>
      </w:r>
      <w:r>
        <w:rPr>
          <w:spacing w:val="-3"/>
          <w:w w:val="110"/>
        </w:rPr>
        <w:t xml:space="preserve"> </w:t>
      </w:r>
      <w:r>
        <w:rPr>
          <w:w w:val="110"/>
        </w:rPr>
        <w:t>during</w:t>
      </w:r>
      <w:r>
        <w:rPr>
          <w:spacing w:val="-1"/>
          <w:w w:val="110"/>
        </w:rPr>
        <w:t xml:space="preserve"> </w:t>
      </w:r>
      <w:r>
        <w:rPr>
          <w:w w:val="110"/>
        </w:rPr>
        <w:t>which</w:t>
      </w:r>
      <w:r>
        <w:rPr>
          <w:spacing w:val="-3"/>
          <w:w w:val="110"/>
        </w:rPr>
        <w:t xml:space="preserve"> </w:t>
      </w:r>
      <w:r>
        <w:rPr>
          <w:w w:val="110"/>
        </w:rPr>
        <w:t>it</w:t>
      </w:r>
      <w:r>
        <w:rPr>
          <w:spacing w:val="-6"/>
          <w:w w:val="110"/>
        </w:rPr>
        <w:t xml:space="preserve"> </w:t>
      </w:r>
      <w:r>
        <w:rPr>
          <w:w w:val="110"/>
        </w:rPr>
        <w:t>was</w:t>
      </w:r>
      <w:r>
        <w:rPr>
          <w:spacing w:val="-2"/>
          <w:w w:val="110"/>
        </w:rPr>
        <w:t xml:space="preserve"> </w:t>
      </w:r>
      <w:r>
        <w:rPr>
          <w:w w:val="110"/>
        </w:rPr>
        <w:t>decided</w:t>
      </w:r>
      <w:r>
        <w:rPr>
          <w:spacing w:val="-6"/>
          <w:w w:val="110"/>
        </w:rPr>
        <w:t xml:space="preserve"> </w:t>
      </w:r>
      <w:r>
        <w:rPr>
          <w:w w:val="110"/>
        </w:rPr>
        <w:t>to</w:t>
      </w:r>
      <w:r>
        <w:rPr>
          <w:spacing w:val="-1"/>
          <w:w w:val="110"/>
        </w:rPr>
        <w:t xml:space="preserve"> </w:t>
      </w:r>
      <w:r>
        <w:rPr>
          <w:w w:val="110"/>
        </w:rPr>
        <w:t>carry</w:t>
      </w:r>
      <w:r>
        <w:rPr>
          <w:spacing w:val="-5"/>
          <w:w w:val="110"/>
        </w:rPr>
        <w:t xml:space="preserve"> </w:t>
      </w:r>
      <w:r>
        <w:rPr>
          <w:w w:val="110"/>
        </w:rPr>
        <w:t>out</w:t>
      </w:r>
      <w:r>
        <w:rPr>
          <w:spacing w:val="-3"/>
          <w:w w:val="110"/>
        </w:rPr>
        <w:t xml:space="preserve"> </w:t>
      </w:r>
      <w:r>
        <w:rPr>
          <w:w w:val="110"/>
        </w:rPr>
        <w:t>further</w:t>
      </w:r>
      <w:r>
        <w:rPr>
          <w:spacing w:val="-4"/>
          <w:w w:val="110"/>
        </w:rPr>
        <w:t xml:space="preserve"> </w:t>
      </w:r>
      <w:r>
        <w:rPr>
          <w:w w:val="110"/>
        </w:rPr>
        <w:t>scrutiny.</w:t>
      </w:r>
      <w:r>
        <w:rPr>
          <w:spacing w:val="-2"/>
          <w:w w:val="110"/>
        </w:rPr>
        <w:t xml:space="preserve"> </w:t>
      </w:r>
      <w:r>
        <w:rPr>
          <w:w w:val="110"/>
        </w:rPr>
        <w:t>In</w:t>
      </w:r>
      <w:r>
        <w:rPr>
          <w:spacing w:val="-3"/>
          <w:w w:val="110"/>
        </w:rPr>
        <w:t xml:space="preserve"> </w:t>
      </w:r>
      <w:r>
        <w:rPr>
          <w:w w:val="110"/>
        </w:rPr>
        <w:t>the first instance the Committee agreed to seek written submissions from interested parties,</w:t>
      </w:r>
      <w:r>
        <w:rPr>
          <w:spacing w:val="-6"/>
          <w:w w:val="110"/>
        </w:rPr>
        <w:t xml:space="preserve"> </w:t>
      </w:r>
      <w:r>
        <w:rPr>
          <w:w w:val="110"/>
        </w:rPr>
        <w:t>with</w:t>
      </w:r>
      <w:r>
        <w:rPr>
          <w:spacing w:val="-4"/>
          <w:w w:val="110"/>
        </w:rPr>
        <w:t xml:space="preserve"> </w:t>
      </w:r>
      <w:r>
        <w:rPr>
          <w:w w:val="110"/>
        </w:rPr>
        <w:t>a</w:t>
      </w:r>
      <w:r>
        <w:rPr>
          <w:spacing w:val="-6"/>
          <w:w w:val="110"/>
        </w:rPr>
        <w:t xml:space="preserve"> </w:t>
      </w:r>
      <w:r>
        <w:rPr>
          <w:w w:val="110"/>
        </w:rPr>
        <w:t>call</w:t>
      </w:r>
      <w:r>
        <w:rPr>
          <w:spacing w:val="-6"/>
          <w:w w:val="110"/>
        </w:rPr>
        <w:t xml:space="preserve"> </w:t>
      </w:r>
      <w:r>
        <w:rPr>
          <w:w w:val="110"/>
        </w:rPr>
        <w:t>for</w:t>
      </w:r>
      <w:r>
        <w:rPr>
          <w:spacing w:val="-5"/>
          <w:w w:val="110"/>
        </w:rPr>
        <w:t xml:space="preserve"> </w:t>
      </w:r>
      <w:r>
        <w:rPr>
          <w:w w:val="110"/>
        </w:rPr>
        <w:t>written</w:t>
      </w:r>
      <w:r>
        <w:rPr>
          <w:spacing w:val="-4"/>
          <w:w w:val="110"/>
        </w:rPr>
        <w:t xml:space="preserve"> </w:t>
      </w:r>
      <w:r>
        <w:rPr>
          <w:w w:val="110"/>
        </w:rPr>
        <w:t>submissions</w:t>
      </w:r>
      <w:r>
        <w:rPr>
          <w:spacing w:val="-5"/>
          <w:w w:val="110"/>
        </w:rPr>
        <w:t xml:space="preserve"> </w:t>
      </w:r>
      <w:r>
        <w:rPr>
          <w:w w:val="110"/>
        </w:rPr>
        <w:t>opened</w:t>
      </w:r>
      <w:r>
        <w:rPr>
          <w:spacing w:val="-4"/>
          <w:w w:val="110"/>
        </w:rPr>
        <w:t xml:space="preserve"> </w:t>
      </w:r>
      <w:r>
        <w:rPr>
          <w:w w:val="110"/>
        </w:rPr>
        <w:t>on</w:t>
      </w:r>
      <w:r>
        <w:rPr>
          <w:spacing w:val="-4"/>
          <w:w w:val="110"/>
        </w:rPr>
        <w:t xml:space="preserve"> </w:t>
      </w:r>
      <w:r>
        <w:rPr>
          <w:w w:val="110"/>
        </w:rPr>
        <w:t>the</w:t>
      </w:r>
      <w:r>
        <w:rPr>
          <w:spacing w:val="-2"/>
          <w:w w:val="110"/>
        </w:rPr>
        <w:t xml:space="preserve"> </w:t>
      </w:r>
      <w:r>
        <w:rPr>
          <w:w w:val="110"/>
        </w:rPr>
        <w:t>Committee</w:t>
      </w:r>
      <w:r>
        <w:rPr>
          <w:spacing w:val="-5"/>
          <w:w w:val="110"/>
        </w:rPr>
        <w:t xml:space="preserve"> </w:t>
      </w:r>
      <w:r>
        <w:rPr>
          <w:w w:val="110"/>
        </w:rPr>
        <w:t>webpage</w:t>
      </w:r>
      <w:r>
        <w:rPr>
          <w:spacing w:val="-5"/>
          <w:w w:val="110"/>
        </w:rPr>
        <w:t xml:space="preserve"> </w:t>
      </w:r>
      <w:r>
        <w:rPr>
          <w:w w:val="110"/>
        </w:rPr>
        <w:t>from the 29</w:t>
      </w:r>
      <w:r>
        <w:rPr>
          <w:w w:val="110"/>
          <w:position w:val="8"/>
          <w:sz w:val="13"/>
        </w:rPr>
        <w:t>t</w:t>
      </w:r>
      <w:r>
        <w:rPr>
          <w:spacing w:val="-2"/>
          <w:w w:val="110"/>
          <w:position w:val="8"/>
          <w:sz w:val="13"/>
        </w:rPr>
        <w:t xml:space="preserve"> </w:t>
      </w:r>
      <w:r>
        <w:rPr>
          <w:w w:val="110"/>
        </w:rPr>
        <w:t>May to 16</w:t>
      </w:r>
      <w:r>
        <w:rPr>
          <w:spacing w:val="-2"/>
          <w:w w:val="110"/>
        </w:rPr>
        <w:t xml:space="preserve"> </w:t>
      </w:r>
      <w:r>
        <w:rPr>
          <w:w w:val="110"/>
        </w:rPr>
        <w:t>June.</w:t>
      </w:r>
      <w:r>
        <w:rPr>
          <w:spacing w:val="-2"/>
          <w:w w:val="110"/>
        </w:rPr>
        <w:t xml:space="preserve"> </w:t>
      </w:r>
      <w:r>
        <w:rPr>
          <w:w w:val="110"/>
        </w:rPr>
        <w:t>Links to the submissions</w:t>
      </w:r>
      <w:r>
        <w:rPr>
          <w:spacing w:val="-1"/>
          <w:w w:val="110"/>
        </w:rPr>
        <w:t xml:space="preserve"> </w:t>
      </w:r>
      <w:r>
        <w:rPr>
          <w:w w:val="110"/>
        </w:rPr>
        <w:t>received and a</w:t>
      </w:r>
      <w:r>
        <w:rPr>
          <w:spacing w:val="-2"/>
          <w:w w:val="110"/>
        </w:rPr>
        <w:t xml:space="preserve"> </w:t>
      </w:r>
      <w:r>
        <w:rPr>
          <w:w w:val="110"/>
        </w:rPr>
        <w:t>summary</w:t>
      </w:r>
      <w:r>
        <w:rPr>
          <w:spacing w:val="-2"/>
          <w:w w:val="110"/>
        </w:rPr>
        <w:t xml:space="preserve"> </w:t>
      </w:r>
      <w:r>
        <w:rPr>
          <w:w w:val="110"/>
        </w:rPr>
        <w:t>document are available at Appendix A.</w:t>
      </w:r>
    </w:p>
    <w:p w:rsidR="00B84CED" w:rsidRDefault="00794452" w14:paraId="2AC6B82C" w14:textId="77777777">
      <w:pPr>
        <w:pStyle w:val="BodyText"/>
        <w:spacing w:before="161" w:line="357" w:lineRule="auto"/>
        <w:ind w:left="219" w:right="1007"/>
      </w:pPr>
      <w:r>
        <w:rPr>
          <w:w w:val="110"/>
        </w:rPr>
        <w:t>On foot of the information contained within the submissions, the Committee then decided to continue scrutiny by way of holding two public sessions with invitations issued to the European Commission, the Department of Finance, and academics. A full list</w:t>
      </w:r>
      <w:r>
        <w:rPr>
          <w:spacing w:val="-2"/>
          <w:w w:val="110"/>
        </w:rPr>
        <w:t xml:space="preserve"> </w:t>
      </w:r>
      <w:r>
        <w:rPr>
          <w:w w:val="110"/>
        </w:rPr>
        <w:t>of</w:t>
      </w:r>
      <w:r>
        <w:rPr>
          <w:spacing w:val="-1"/>
          <w:w w:val="110"/>
        </w:rPr>
        <w:t xml:space="preserve"> </w:t>
      </w:r>
      <w:r>
        <w:rPr>
          <w:w w:val="110"/>
        </w:rPr>
        <w:t>witnesses and</w:t>
      </w:r>
      <w:r>
        <w:rPr>
          <w:spacing w:val="-2"/>
          <w:w w:val="110"/>
        </w:rPr>
        <w:t xml:space="preserve"> </w:t>
      </w:r>
      <w:r>
        <w:rPr>
          <w:w w:val="110"/>
        </w:rPr>
        <w:t>links to transcripts of the meetings is available at</w:t>
      </w:r>
      <w:r>
        <w:rPr>
          <w:spacing w:val="-2"/>
          <w:w w:val="110"/>
        </w:rPr>
        <w:t xml:space="preserve"> </w:t>
      </w:r>
      <w:r>
        <w:rPr>
          <w:w w:val="110"/>
        </w:rPr>
        <w:t xml:space="preserve">Appendix </w:t>
      </w:r>
      <w:r>
        <w:rPr>
          <w:spacing w:val="-6"/>
          <w:w w:val="110"/>
        </w:rPr>
        <w:t>B.</w:t>
      </w:r>
    </w:p>
    <w:p w:rsidR="00B84CED" w:rsidRDefault="00794452" w14:paraId="24943239" w14:textId="77777777">
      <w:pPr>
        <w:pStyle w:val="BodyText"/>
        <w:spacing w:line="357" w:lineRule="auto"/>
        <w:ind w:left="219" w:right="459"/>
      </w:pPr>
      <w:r>
        <w:rPr>
          <w:w w:val="110"/>
        </w:rPr>
        <w:t>As</w:t>
      </w:r>
      <w:r>
        <w:rPr>
          <w:spacing w:val="-1"/>
          <w:w w:val="110"/>
        </w:rPr>
        <w:t xml:space="preserve"> </w:t>
      </w:r>
      <w:r>
        <w:rPr>
          <w:w w:val="110"/>
        </w:rPr>
        <w:t>a</w:t>
      </w:r>
      <w:r>
        <w:rPr>
          <w:spacing w:val="-4"/>
          <w:w w:val="110"/>
        </w:rPr>
        <w:t xml:space="preserve"> </w:t>
      </w:r>
      <w:r>
        <w:rPr>
          <w:w w:val="110"/>
        </w:rPr>
        <w:t>result</w:t>
      </w:r>
      <w:r>
        <w:rPr>
          <w:spacing w:val="-5"/>
          <w:w w:val="110"/>
        </w:rPr>
        <w:t xml:space="preserve"> </w:t>
      </w:r>
      <w:r>
        <w:rPr>
          <w:w w:val="110"/>
        </w:rPr>
        <w:t>of</w:t>
      </w:r>
      <w:r>
        <w:rPr>
          <w:spacing w:val="-1"/>
          <w:w w:val="110"/>
        </w:rPr>
        <w:t xml:space="preserve"> </w:t>
      </w:r>
      <w:r>
        <w:rPr>
          <w:w w:val="110"/>
        </w:rPr>
        <w:t>its</w:t>
      </w:r>
      <w:r>
        <w:rPr>
          <w:spacing w:val="-3"/>
          <w:w w:val="110"/>
        </w:rPr>
        <w:t xml:space="preserve"> </w:t>
      </w:r>
      <w:r>
        <w:rPr>
          <w:w w:val="110"/>
        </w:rPr>
        <w:t>examination</w:t>
      </w:r>
      <w:r>
        <w:rPr>
          <w:spacing w:val="-4"/>
          <w:w w:val="110"/>
        </w:rPr>
        <w:t xml:space="preserve"> </w:t>
      </w:r>
      <w:r>
        <w:rPr>
          <w:w w:val="110"/>
        </w:rPr>
        <w:t>of</w:t>
      </w:r>
      <w:r>
        <w:rPr>
          <w:spacing w:val="-1"/>
          <w:w w:val="110"/>
        </w:rPr>
        <w:t xml:space="preserve"> </w:t>
      </w:r>
      <w:r>
        <w:rPr>
          <w:w w:val="110"/>
        </w:rPr>
        <w:t>these proposals,</w:t>
      </w:r>
      <w:r>
        <w:rPr>
          <w:spacing w:val="-4"/>
          <w:w w:val="110"/>
        </w:rPr>
        <w:t xml:space="preserve"> </w:t>
      </w:r>
      <w:r>
        <w:rPr>
          <w:w w:val="110"/>
        </w:rPr>
        <w:t>the Joint</w:t>
      </w:r>
      <w:r>
        <w:rPr>
          <w:spacing w:val="-2"/>
          <w:w w:val="110"/>
        </w:rPr>
        <w:t xml:space="preserve"> </w:t>
      </w:r>
      <w:r>
        <w:rPr>
          <w:w w:val="110"/>
        </w:rPr>
        <w:t>Committee decided</w:t>
      </w:r>
      <w:r>
        <w:rPr>
          <w:spacing w:val="-2"/>
          <w:w w:val="110"/>
        </w:rPr>
        <w:t xml:space="preserve"> </w:t>
      </w:r>
      <w:r>
        <w:rPr>
          <w:w w:val="110"/>
        </w:rPr>
        <w:t>to</w:t>
      </w:r>
      <w:r>
        <w:rPr>
          <w:spacing w:val="-3"/>
          <w:w w:val="110"/>
        </w:rPr>
        <w:t xml:space="preserve"> </w:t>
      </w:r>
      <w:r>
        <w:rPr>
          <w:w w:val="110"/>
        </w:rPr>
        <w:t>produce a report on the wider issues arising from the prioritisation of defence funding by the</w:t>
      </w:r>
    </w:p>
    <w:p w:rsidR="00B84CED" w:rsidRDefault="00B84CED" w14:paraId="64577E0F" w14:textId="77777777">
      <w:pPr>
        <w:pStyle w:val="BodyText"/>
        <w:spacing w:line="357" w:lineRule="auto"/>
        <w:sectPr w:rsidR="00B84CED" w:rsidSect="00196DB0">
          <w:footerReference w:type="even" r:id="R99f4a2e198d245f8"/>
          <w:footerReference w:type="first" r:id="Rbbe1487df3454252"/>
          <w:headerReference w:type="even" r:id="R4e902952c95c441b"/>
          <w:headerReference w:type="first" r:id="Rd902c6a3e6434ec7"/>
          <w:pgSz w:w="11907" w:h="16839"/>
          <w:pgMar w:top="1134" w:right="1134" w:bottom="1134" w:left="1134" w:header="567" w:footer="567" w:gutter="0"/>
          <w:cols w:space="720"/>
          <w:docGrid w:linePitch="299"/>
        </w:sectPr>
      </w:pPr>
    </w:p>
    <w:p w:rsidR="00B84CED" w:rsidRDefault="00794452" w14:paraId="0B8BFEFD" w14:textId="77777777">
      <w:pPr>
        <w:pStyle w:val="BodyText"/>
        <w:spacing w:before="109" w:line="357" w:lineRule="auto"/>
        <w:ind w:left="219" w:right="450"/>
      </w:pPr>
      <w:r>
        <w:rPr>
          <w:w w:val="110"/>
        </w:rPr>
        <w:lastRenderedPageBreak/>
        <w:t>European Union. While the various challenges facing the Union are well understood and acknowledged, the Committee is concerned by defence spending being used as the primary</w:t>
      </w:r>
      <w:r>
        <w:rPr>
          <w:spacing w:val="-2"/>
          <w:w w:val="110"/>
        </w:rPr>
        <w:t xml:space="preserve"> </w:t>
      </w:r>
      <w:r>
        <w:rPr>
          <w:w w:val="110"/>
        </w:rPr>
        <w:t>means</w:t>
      </w:r>
      <w:r>
        <w:rPr>
          <w:spacing w:val="-4"/>
          <w:w w:val="110"/>
        </w:rPr>
        <w:t xml:space="preserve"> </w:t>
      </w:r>
      <w:r>
        <w:rPr>
          <w:w w:val="110"/>
        </w:rPr>
        <w:t>to</w:t>
      </w:r>
      <w:r>
        <w:rPr>
          <w:spacing w:val="-4"/>
          <w:w w:val="110"/>
        </w:rPr>
        <w:t xml:space="preserve"> </w:t>
      </w:r>
      <w:r>
        <w:rPr>
          <w:w w:val="110"/>
        </w:rPr>
        <w:t>achieve</w:t>
      </w:r>
      <w:r>
        <w:rPr>
          <w:spacing w:val="-1"/>
          <w:w w:val="110"/>
        </w:rPr>
        <w:t xml:space="preserve"> </w:t>
      </w:r>
      <w:r>
        <w:rPr>
          <w:w w:val="110"/>
        </w:rPr>
        <w:t>peace</w:t>
      </w:r>
      <w:r>
        <w:rPr>
          <w:spacing w:val="-4"/>
          <w:w w:val="110"/>
        </w:rPr>
        <w:t xml:space="preserve"> </w:t>
      </w:r>
      <w:r>
        <w:rPr>
          <w:w w:val="110"/>
        </w:rPr>
        <w:t>and</w:t>
      </w:r>
      <w:r>
        <w:rPr>
          <w:spacing w:val="-3"/>
          <w:w w:val="110"/>
        </w:rPr>
        <w:t xml:space="preserve"> </w:t>
      </w:r>
      <w:r>
        <w:rPr>
          <w:w w:val="110"/>
        </w:rPr>
        <w:t>justice.</w:t>
      </w:r>
      <w:r>
        <w:rPr>
          <w:spacing w:val="-3"/>
          <w:w w:val="110"/>
        </w:rPr>
        <w:t xml:space="preserve"> </w:t>
      </w:r>
      <w:r>
        <w:rPr>
          <w:w w:val="110"/>
        </w:rPr>
        <w:t>New</w:t>
      </w:r>
      <w:r>
        <w:rPr>
          <w:spacing w:val="-4"/>
          <w:w w:val="110"/>
        </w:rPr>
        <w:t xml:space="preserve"> </w:t>
      </w:r>
      <w:r>
        <w:rPr>
          <w:w w:val="110"/>
        </w:rPr>
        <w:t>financial</w:t>
      </w:r>
      <w:r>
        <w:rPr>
          <w:spacing w:val="-3"/>
          <w:w w:val="110"/>
        </w:rPr>
        <w:t xml:space="preserve"> </w:t>
      </w:r>
      <w:r>
        <w:rPr>
          <w:w w:val="110"/>
        </w:rPr>
        <w:t>instruments</w:t>
      </w:r>
      <w:r>
        <w:rPr>
          <w:spacing w:val="-4"/>
          <w:w w:val="110"/>
        </w:rPr>
        <w:t xml:space="preserve"> </w:t>
      </w:r>
      <w:r>
        <w:rPr>
          <w:w w:val="110"/>
        </w:rPr>
        <w:t>are</w:t>
      </w:r>
      <w:r>
        <w:rPr>
          <w:spacing w:val="-1"/>
          <w:w w:val="110"/>
        </w:rPr>
        <w:t xml:space="preserve"> </w:t>
      </w:r>
      <w:r>
        <w:rPr>
          <w:w w:val="110"/>
        </w:rPr>
        <w:t>being</w:t>
      </w:r>
      <w:r>
        <w:rPr>
          <w:spacing w:val="-4"/>
          <w:w w:val="110"/>
        </w:rPr>
        <w:t xml:space="preserve"> </w:t>
      </w:r>
      <w:r>
        <w:rPr>
          <w:w w:val="110"/>
        </w:rPr>
        <w:t xml:space="preserve">created for this purpose, alongside the utilisation of a range of existing financial instruments to provide funding for defence measures, while redirecting vital funding away from its intended purpose. Further, the associated environmental impacts, social impacts, risk to life and increased possibility of armed conflict increased defence funding will bring with them financial implication that do not appear to be subject to consideration in this </w:t>
      </w:r>
      <w:r>
        <w:rPr>
          <w:spacing w:val="-2"/>
          <w:w w:val="110"/>
        </w:rPr>
        <w:t>context.</w:t>
      </w:r>
    </w:p>
    <w:p w:rsidR="00B84CED" w:rsidRDefault="00B84CED" w14:paraId="14C1D4DA" w14:textId="77777777">
      <w:pPr>
        <w:pStyle w:val="BodyText"/>
        <w:spacing w:before="43"/>
      </w:pPr>
    </w:p>
    <w:p w:rsidR="00B84CED" w:rsidRDefault="00794452" w14:paraId="6B0F77B9" w14:textId="77777777">
      <w:pPr>
        <w:pStyle w:val="Heading1"/>
        <w:ind w:left="219"/>
      </w:pPr>
      <w:bookmarkStart w:name="Background:_ReArm_Europe_Plan/Readiness_" w:id="20"/>
      <w:bookmarkStart w:name="_bookmark6" w:id="21"/>
      <w:bookmarkEnd w:id="20"/>
      <w:bookmarkEnd w:id="21"/>
      <w:r>
        <w:rPr>
          <w:color w:val="3A5C66"/>
          <w:spacing w:val="-4"/>
        </w:rPr>
        <w:t>Background:</w:t>
      </w:r>
      <w:r>
        <w:rPr>
          <w:color w:val="3A5C66"/>
          <w:spacing w:val="-11"/>
        </w:rPr>
        <w:t xml:space="preserve"> </w:t>
      </w:r>
      <w:r>
        <w:rPr>
          <w:color w:val="3A5C66"/>
          <w:spacing w:val="-4"/>
        </w:rPr>
        <w:t>ReArm</w:t>
      </w:r>
      <w:r>
        <w:rPr>
          <w:color w:val="3A5C66"/>
          <w:spacing w:val="-10"/>
        </w:rPr>
        <w:t xml:space="preserve"> </w:t>
      </w:r>
      <w:r>
        <w:rPr>
          <w:color w:val="3A5C66"/>
          <w:spacing w:val="-4"/>
        </w:rPr>
        <w:t>Europe</w:t>
      </w:r>
      <w:r>
        <w:rPr>
          <w:color w:val="3A5C66"/>
          <w:spacing w:val="-10"/>
        </w:rPr>
        <w:t xml:space="preserve"> </w:t>
      </w:r>
      <w:r>
        <w:rPr>
          <w:color w:val="3A5C66"/>
          <w:spacing w:val="-4"/>
        </w:rPr>
        <w:t>Plan/Readiness</w:t>
      </w:r>
      <w:r>
        <w:rPr>
          <w:color w:val="3A5C66"/>
          <w:spacing w:val="-10"/>
        </w:rPr>
        <w:t xml:space="preserve"> </w:t>
      </w:r>
      <w:r>
        <w:rPr>
          <w:color w:val="3A5C66"/>
          <w:spacing w:val="-4"/>
        </w:rPr>
        <w:t>2030</w:t>
      </w:r>
    </w:p>
    <w:p w:rsidR="00B84CED" w:rsidRDefault="00794452" w14:paraId="4B70EDD1" w14:textId="77777777">
      <w:pPr>
        <w:pStyle w:val="BodyText"/>
        <w:spacing w:before="152" w:line="357" w:lineRule="auto"/>
        <w:ind w:left="219" w:right="521" w:firstLine="52"/>
      </w:pPr>
      <w:r>
        <w:rPr>
          <w:w w:val="110"/>
        </w:rPr>
        <w:t>In the Commission’s view Russia’s ongoing military aggression towards Ukraine has led to a</w:t>
      </w:r>
      <w:r>
        <w:rPr>
          <w:spacing w:val="-1"/>
          <w:w w:val="110"/>
        </w:rPr>
        <w:t xml:space="preserve"> </w:t>
      </w:r>
      <w:r>
        <w:rPr>
          <w:w w:val="110"/>
        </w:rPr>
        <w:t>structural change in</w:t>
      </w:r>
      <w:r>
        <w:rPr>
          <w:spacing w:val="-1"/>
          <w:w w:val="110"/>
        </w:rPr>
        <w:t xml:space="preserve"> </w:t>
      </w:r>
      <w:r>
        <w:rPr>
          <w:w w:val="110"/>
        </w:rPr>
        <w:t>European</w:t>
      </w:r>
      <w:r>
        <w:rPr>
          <w:spacing w:val="-1"/>
          <w:w w:val="110"/>
        </w:rPr>
        <w:t xml:space="preserve"> </w:t>
      </w:r>
      <w:r>
        <w:rPr>
          <w:w w:val="110"/>
        </w:rPr>
        <w:t>security and defence,</w:t>
      </w:r>
      <w:r>
        <w:rPr>
          <w:spacing w:val="-1"/>
          <w:w w:val="110"/>
        </w:rPr>
        <w:t xml:space="preserve"> </w:t>
      </w:r>
      <w:r>
        <w:rPr>
          <w:w w:val="110"/>
        </w:rPr>
        <w:t>and European</w:t>
      </w:r>
      <w:r>
        <w:rPr>
          <w:spacing w:val="-1"/>
          <w:w w:val="110"/>
        </w:rPr>
        <w:t xml:space="preserve"> </w:t>
      </w:r>
      <w:r>
        <w:rPr>
          <w:w w:val="110"/>
        </w:rPr>
        <w:t>geopolitics, with the effect that Member States must now rethink their defence plans and capacities.</w:t>
      </w:r>
      <w:hyperlink w:history="1" w:anchor="_bookmark7">
        <w:r>
          <w:rPr>
            <w:w w:val="110"/>
            <w:position w:val="8"/>
            <w:sz w:val="13"/>
          </w:rPr>
          <w:t>2</w:t>
        </w:r>
      </w:hyperlink>
      <w:r>
        <w:rPr>
          <w:spacing w:val="26"/>
          <w:w w:val="110"/>
          <w:position w:val="8"/>
          <w:sz w:val="13"/>
        </w:rPr>
        <w:t xml:space="preserve"> </w:t>
      </w:r>
      <w:r>
        <w:rPr>
          <w:w w:val="110"/>
        </w:rPr>
        <w:t>As such, the Commission is of the view that further increases to defence investment are necessary to compensate for past underinvestment and to rapidly meet the defence product needs to deter the increasing threat posed by Russia. In this context the Commission has presented the ReArm Europe Plan/Readiness 2030</w:t>
      </w:r>
      <w:hyperlink w:history="1" w:anchor="_bookmark8">
        <w:r>
          <w:rPr>
            <w:w w:val="110"/>
            <w:position w:val="8"/>
            <w:sz w:val="13"/>
          </w:rPr>
          <w:t>3</w:t>
        </w:r>
      </w:hyperlink>
      <w:r>
        <w:rPr>
          <w:w w:val="110"/>
        </w:rPr>
        <w:t>, structured around five key pillars.</w:t>
      </w:r>
    </w:p>
    <w:p w:rsidR="00B84CED" w:rsidRDefault="00794452" w14:paraId="46603D46" w14:textId="77777777">
      <w:pPr>
        <w:pStyle w:val="BodyText"/>
        <w:spacing w:before="163" w:line="357" w:lineRule="auto"/>
        <w:ind w:left="219" w:right="459"/>
      </w:pPr>
      <w:r>
        <w:rPr>
          <w:w w:val="110"/>
        </w:rPr>
        <w:t>The ReArm Europe Plan outlines concrete legal and financial means to support the defence investments of Member States. ReArm Europe is a package of initiatives that provides financial options for Member States to increase their defence investment and enhance their defence capabilities in the face of increasing geopolitical tensions, particularly following Russia's aggression toward Ukraine. It looks to enhance EU solidarity in addressing the collective defence challenges posed by external aggressions, which affect not just individual Member States but also the security of the Union as a whole. The plan aims to ensure that defence capabilities across the Union are strengthened</w:t>
      </w:r>
      <w:r>
        <w:rPr>
          <w:spacing w:val="-1"/>
          <w:w w:val="110"/>
        </w:rPr>
        <w:t xml:space="preserve"> </w:t>
      </w:r>
      <w:r>
        <w:rPr>
          <w:w w:val="110"/>
        </w:rPr>
        <w:t>in</w:t>
      </w:r>
      <w:r>
        <w:rPr>
          <w:spacing w:val="-1"/>
          <w:w w:val="110"/>
        </w:rPr>
        <w:t xml:space="preserve"> </w:t>
      </w:r>
      <w:r>
        <w:rPr>
          <w:w w:val="110"/>
        </w:rPr>
        <w:t>a</w:t>
      </w:r>
      <w:r>
        <w:rPr>
          <w:spacing w:val="-3"/>
          <w:w w:val="110"/>
        </w:rPr>
        <w:t xml:space="preserve"> </w:t>
      </w:r>
      <w:r>
        <w:rPr>
          <w:w w:val="110"/>
        </w:rPr>
        <w:t>coordinated</w:t>
      </w:r>
      <w:r>
        <w:rPr>
          <w:spacing w:val="-1"/>
          <w:w w:val="110"/>
        </w:rPr>
        <w:t xml:space="preserve"> </w:t>
      </w:r>
      <w:r>
        <w:rPr>
          <w:w w:val="110"/>
        </w:rPr>
        <w:t>manner,</w:t>
      </w:r>
      <w:r>
        <w:rPr>
          <w:spacing w:val="-3"/>
          <w:w w:val="110"/>
        </w:rPr>
        <w:t xml:space="preserve"> </w:t>
      </w:r>
      <w:r>
        <w:rPr>
          <w:w w:val="110"/>
        </w:rPr>
        <w:t>with</w:t>
      </w:r>
      <w:r>
        <w:rPr>
          <w:spacing w:val="-1"/>
          <w:w w:val="110"/>
        </w:rPr>
        <w:t xml:space="preserve"> </w:t>
      </w:r>
      <w:r>
        <w:rPr>
          <w:w w:val="110"/>
        </w:rPr>
        <w:t>emergency measures</w:t>
      </w:r>
      <w:r>
        <w:rPr>
          <w:spacing w:val="-2"/>
          <w:w w:val="110"/>
        </w:rPr>
        <w:t xml:space="preserve"> </w:t>
      </w:r>
      <w:r>
        <w:rPr>
          <w:w w:val="110"/>
        </w:rPr>
        <w:t>such</w:t>
      </w:r>
      <w:r>
        <w:rPr>
          <w:spacing w:val="-1"/>
          <w:w w:val="110"/>
        </w:rPr>
        <w:t xml:space="preserve"> </w:t>
      </w:r>
      <w:r>
        <w:rPr>
          <w:w w:val="110"/>
        </w:rPr>
        <w:t>as fiscal</w:t>
      </w:r>
      <w:r>
        <w:rPr>
          <w:spacing w:val="-3"/>
          <w:w w:val="110"/>
        </w:rPr>
        <w:t xml:space="preserve"> </w:t>
      </w:r>
      <w:r>
        <w:rPr>
          <w:w w:val="110"/>
        </w:rPr>
        <w:t>flexibility</w:t>
      </w:r>
    </w:p>
    <w:p w:rsidR="00B84CED" w:rsidRDefault="00B84CED" w14:paraId="751B71CE" w14:textId="77777777">
      <w:pPr>
        <w:pStyle w:val="BodyText"/>
        <w:rPr>
          <w:sz w:val="20"/>
        </w:rPr>
      </w:pPr>
    </w:p>
    <w:p w:rsidR="00B84CED" w:rsidRDefault="00B84CED" w14:paraId="38E9E1B3" w14:textId="77777777">
      <w:pPr>
        <w:pStyle w:val="BodyText"/>
        <w:rPr>
          <w:sz w:val="20"/>
        </w:rPr>
      </w:pPr>
    </w:p>
    <w:p w:rsidR="00B84CED" w:rsidRDefault="00794452" w14:paraId="7F845F39" w14:textId="77777777">
      <w:pPr>
        <w:pStyle w:val="BodyText"/>
        <w:spacing w:before="217"/>
        <w:rPr>
          <w:sz w:val="20"/>
        </w:rPr>
      </w:pPr>
      <w:r>
        <w:rPr>
          <w:noProof/>
          <w:sz w:val="20"/>
        </w:rPr>
        <mc:AlternateContent>
          <mc:Choice Requires="wps">
            <w:drawing>
              <wp:anchor distT="0" distB="0" distL="0" distR="0" simplePos="0" relativeHeight="487590400" behindDoc="1" locked="0" layoutInCell="1" allowOverlap="1" wp14:editId="09649ED7" wp14:anchorId="42712350">
                <wp:simplePos x="0" y="0"/>
                <wp:positionH relativeFrom="page">
                  <wp:posOffset>900683</wp:posOffset>
                </wp:positionH>
                <wp:positionV relativeFrom="paragraph">
                  <wp:posOffset>308617</wp:posOffset>
                </wp:positionV>
                <wp:extent cx="1828800" cy="9525"/>
                <wp:effectExtent l="0" t="0" r="0" b="0"/>
                <wp:wrapTopAndBottom/>
                <wp:docPr id="7"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41" style="position:absolute;margin-left:70.9pt;margin-top:24.3pt;width:2in;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3r1828800,l1828800,xe" w14:anchorId="0227B821">
                <v:path arrowok="t"/>
                <w10:wrap type="topAndBottom" anchorx="page"/>
              </v:shape>
            </w:pict>
          </mc:Fallback>
        </mc:AlternateContent>
      </w:r>
    </w:p>
    <w:p w:rsidR="00B84CED" w:rsidRDefault="00794452" w14:paraId="14460DB0" w14:textId="77777777">
      <w:pPr>
        <w:spacing w:before="123"/>
        <w:ind w:left="1"/>
        <w:rPr>
          <w:sz w:val="16"/>
        </w:rPr>
      </w:pPr>
      <w:bookmarkStart w:name="_bookmark7" w:id="22"/>
      <w:bookmarkEnd w:id="22"/>
      <w:r>
        <w:rPr>
          <w:w w:val="115"/>
          <w:position w:val="6"/>
          <w:sz w:val="10"/>
        </w:rPr>
        <w:t>2</w:t>
      </w:r>
      <w:r>
        <w:rPr>
          <w:spacing w:val="12"/>
          <w:w w:val="115"/>
          <w:position w:val="6"/>
          <w:sz w:val="10"/>
        </w:rPr>
        <w:t xml:space="preserve"> </w:t>
      </w:r>
      <w:hyperlink r:id="rId21">
        <w:r>
          <w:rPr>
            <w:color w:val="0000FF"/>
            <w:spacing w:val="-2"/>
            <w:w w:val="115"/>
            <w:sz w:val="16"/>
            <w:u w:val="single" w:color="0000FF"/>
          </w:rPr>
          <w:t>COM_COM(2025)0122_EN.pdf</w:t>
        </w:r>
      </w:hyperlink>
    </w:p>
    <w:p w:rsidR="00B84CED" w:rsidRDefault="00794452" w14:paraId="5E87D5B4" w14:textId="77777777">
      <w:pPr>
        <w:spacing w:before="11"/>
        <w:ind w:left="1"/>
        <w:rPr>
          <w:sz w:val="16"/>
        </w:rPr>
      </w:pPr>
      <w:bookmarkStart w:name="_bookmark8" w:id="23"/>
      <w:bookmarkEnd w:id="23"/>
      <w:r>
        <w:rPr>
          <w:w w:val="110"/>
          <w:position w:val="6"/>
          <w:sz w:val="10"/>
        </w:rPr>
        <w:t>3</w:t>
      </w:r>
      <w:r>
        <w:rPr>
          <w:spacing w:val="11"/>
          <w:w w:val="110"/>
          <w:position w:val="6"/>
          <w:sz w:val="10"/>
        </w:rPr>
        <w:t xml:space="preserve"> </w:t>
      </w:r>
      <w:r>
        <w:rPr>
          <w:w w:val="110"/>
          <w:sz w:val="16"/>
        </w:rPr>
        <w:t>European</w:t>
      </w:r>
      <w:r>
        <w:rPr>
          <w:spacing w:val="-4"/>
          <w:w w:val="110"/>
          <w:sz w:val="16"/>
        </w:rPr>
        <w:t xml:space="preserve"> </w:t>
      </w:r>
      <w:r>
        <w:rPr>
          <w:w w:val="110"/>
          <w:sz w:val="16"/>
        </w:rPr>
        <w:t>Parliament</w:t>
      </w:r>
      <w:r>
        <w:rPr>
          <w:spacing w:val="-3"/>
          <w:w w:val="110"/>
          <w:sz w:val="16"/>
        </w:rPr>
        <w:t xml:space="preserve"> </w:t>
      </w:r>
      <w:r>
        <w:rPr>
          <w:w w:val="110"/>
          <w:sz w:val="16"/>
        </w:rPr>
        <w:t>briefing</w:t>
      </w:r>
      <w:r>
        <w:rPr>
          <w:spacing w:val="-6"/>
          <w:w w:val="110"/>
          <w:sz w:val="16"/>
        </w:rPr>
        <w:t xml:space="preserve"> </w:t>
      </w:r>
      <w:r>
        <w:rPr>
          <w:w w:val="110"/>
          <w:sz w:val="16"/>
        </w:rPr>
        <w:t>on</w:t>
      </w:r>
      <w:r>
        <w:rPr>
          <w:spacing w:val="-4"/>
          <w:w w:val="110"/>
          <w:sz w:val="16"/>
        </w:rPr>
        <w:t xml:space="preserve"> </w:t>
      </w:r>
      <w:r>
        <w:rPr>
          <w:w w:val="110"/>
          <w:sz w:val="16"/>
        </w:rPr>
        <w:t>the</w:t>
      </w:r>
      <w:r>
        <w:rPr>
          <w:spacing w:val="-2"/>
          <w:w w:val="110"/>
          <w:sz w:val="16"/>
        </w:rPr>
        <w:t xml:space="preserve"> </w:t>
      </w:r>
      <w:r>
        <w:rPr>
          <w:w w:val="110"/>
          <w:sz w:val="16"/>
        </w:rPr>
        <w:t>ReArm</w:t>
      </w:r>
      <w:r>
        <w:rPr>
          <w:spacing w:val="-2"/>
          <w:w w:val="110"/>
          <w:sz w:val="16"/>
        </w:rPr>
        <w:t xml:space="preserve"> </w:t>
      </w:r>
      <w:r>
        <w:rPr>
          <w:w w:val="110"/>
          <w:sz w:val="16"/>
        </w:rPr>
        <w:t>Europe/Readiness</w:t>
      </w:r>
      <w:r>
        <w:rPr>
          <w:spacing w:val="-3"/>
          <w:w w:val="110"/>
          <w:sz w:val="16"/>
        </w:rPr>
        <w:t xml:space="preserve"> </w:t>
      </w:r>
      <w:r>
        <w:rPr>
          <w:w w:val="110"/>
          <w:sz w:val="16"/>
        </w:rPr>
        <w:t>2030</w:t>
      </w:r>
      <w:r>
        <w:rPr>
          <w:spacing w:val="-3"/>
          <w:w w:val="110"/>
          <w:sz w:val="16"/>
        </w:rPr>
        <w:t xml:space="preserve"> </w:t>
      </w:r>
      <w:r>
        <w:rPr>
          <w:w w:val="110"/>
          <w:sz w:val="16"/>
        </w:rPr>
        <w:t>plan</w:t>
      </w:r>
      <w:r>
        <w:rPr>
          <w:spacing w:val="-4"/>
          <w:w w:val="110"/>
          <w:sz w:val="16"/>
        </w:rPr>
        <w:t xml:space="preserve"> </w:t>
      </w:r>
      <w:r>
        <w:rPr>
          <w:w w:val="110"/>
          <w:sz w:val="16"/>
        </w:rPr>
        <w:t>available</w:t>
      </w:r>
      <w:r>
        <w:rPr>
          <w:spacing w:val="-4"/>
          <w:w w:val="110"/>
          <w:sz w:val="16"/>
        </w:rPr>
        <w:t xml:space="preserve"> </w:t>
      </w:r>
      <w:hyperlink r:id="rId22">
        <w:r>
          <w:rPr>
            <w:color w:val="0000FF"/>
            <w:spacing w:val="-4"/>
            <w:w w:val="110"/>
            <w:sz w:val="16"/>
            <w:u w:val="single" w:color="0000FF"/>
          </w:rPr>
          <w:t>here</w:t>
        </w:r>
      </w:hyperlink>
    </w:p>
    <w:p w:rsidR="00B84CED" w:rsidRDefault="00B84CED" w14:paraId="1C1E4025" w14:textId="77777777">
      <w:pPr>
        <w:rPr>
          <w:sz w:val="16"/>
        </w:rPr>
        <w:sectPr w:rsidR="00B84CED" w:rsidSect="00196DB0">
          <w:footerReference w:type="even" r:id="Ra6ebe693c627412c"/>
          <w:footerReference w:type="first" r:id="R0ad477e03b5747b6"/>
          <w:headerReference w:type="even" r:id="R429976c9fdcd4c75"/>
          <w:headerReference w:type="first" r:id="R1d37cd6c4c9342ce"/>
          <w:pgSz w:w="11907" w:h="16839"/>
          <w:pgMar w:top="1134" w:right="1134" w:bottom="1134" w:left="1134" w:header="567" w:footer="567" w:gutter="0"/>
          <w:cols w:space="720"/>
          <w:docGrid w:linePitch="299"/>
        </w:sectPr>
      </w:pPr>
    </w:p>
    <w:p w:rsidR="00B84CED" w:rsidRDefault="00794452" w14:paraId="4F8F988B" w14:textId="77777777">
      <w:pPr>
        <w:pStyle w:val="BodyText"/>
        <w:spacing w:before="109" w:line="357" w:lineRule="auto"/>
        <w:ind w:left="219" w:right="459"/>
      </w:pPr>
      <w:r>
        <w:rPr>
          <w:w w:val="110"/>
        </w:rPr>
        <w:lastRenderedPageBreak/>
        <w:t>and financial assistance</w:t>
      </w:r>
      <w:r>
        <w:rPr>
          <w:spacing w:val="-1"/>
          <w:w w:val="110"/>
        </w:rPr>
        <w:t xml:space="preserve"> </w:t>
      </w:r>
      <w:r>
        <w:rPr>
          <w:w w:val="110"/>
        </w:rPr>
        <w:t>deemed necessary to assist</w:t>
      </w:r>
      <w:r>
        <w:rPr>
          <w:spacing w:val="-1"/>
          <w:w w:val="110"/>
        </w:rPr>
        <w:t xml:space="preserve"> </w:t>
      </w:r>
      <w:r>
        <w:rPr>
          <w:w w:val="110"/>
        </w:rPr>
        <w:t>Member States in enhancing their defence capabilities.</w:t>
      </w:r>
    </w:p>
    <w:p w:rsidR="00B84CED" w:rsidRDefault="00B84CED" w14:paraId="52DBE2D0" w14:textId="77777777">
      <w:pPr>
        <w:pStyle w:val="BodyText"/>
        <w:spacing w:before="40"/>
      </w:pPr>
    </w:p>
    <w:p w:rsidR="00B84CED" w:rsidRDefault="00794452" w14:paraId="589928FE" w14:textId="77777777">
      <w:pPr>
        <w:pStyle w:val="Heading1"/>
        <w:spacing w:before="1"/>
        <w:ind w:left="219"/>
      </w:pPr>
      <w:bookmarkStart w:name="COM(2025)122:_the_SAFE_Regulation" w:id="24"/>
      <w:bookmarkStart w:name="_bookmark9" w:id="25"/>
      <w:bookmarkEnd w:id="24"/>
      <w:bookmarkEnd w:id="25"/>
      <w:r>
        <w:rPr>
          <w:color w:val="3A5C66"/>
        </w:rPr>
        <w:t>COM(2025)122:</w:t>
      </w:r>
      <w:r>
        <w:rPr>
          <w:color w:val="3A5C66"/>
          <w:spacing w:val="-9"/>
        </w:rPr>
        <w:t xml:space="preserve"> </w:t>
      </w:r>
      <w:r>
        <w:rPr>
          <w:color w:val="3A5C66"/>
        </w:rPr>
        <w:t>the</w:t>
      </w:r>
      <w:r>
        <w:rPr>
          <w:color w:val="3A5C66"/>
          <w:spacing w:val="-10"/>
        </w:rPr>
        <w:t xml:space="preserve"> </w:t>
      </w:r>
      <w:r>
        <w:rPr>
          <w:color w:val="3A5C66"/>
        </w:rPr>
        <w:t>SAFE</w:t>
      </w:r>
      <w:r>
        <w:rPr>
          <w:color w:val="3A5C66"/>
          <w:spacing w:val="-13"/>
        </w:rPr>
        <w:t xml:space="preserve"> </w:t>
      </w:r>
      <w:r>
        <w:rPr>
          <w:color w:val="3A5C66"/>
          <w:spacing w:val="-2"/>
        </w:rPr>
        <w:t>Regulation</w:t>
      </w:r>
    </w:p>
    <w:p w:rsidR="00B84CED" w:rsidRDefault="00794452" w14:paraId="06C6738A" w14:textId="77777777">
      <w:pPr>
        <w:pStyle w:val="BodyText"/>
        <w:spacing w:before="154" w:line="355" w:lineRule="auto"/>
        <w:ind w:left="219" w:right="459"/>
      </w:pPr>
      <w:r>
        <w:rPr>
          <w:w w:val="110"/>
        </w:rPr>
        <w:t>COM(2025)122 is a proposal for Council Regulation establishing the Security Action for Europe</w:t>
      </w:r>
      <w:r>
        <w:rPr>
          <w:spacing w:val="-6"/>
          <w:w w:val="110"/>
        </w:rPr>
        <w:t xml:space="preserve"> </w:t>
      </w:r>
      <w:r>
        <w:rPr>
          <w:w w:val="110"/>
        </w:rPr>
        <w:t>(SAFE)</w:t>
      </w:r>
      <w:r>
        <w:rPr>
          <w:spacing w:val="-6"/>
          <w:w w:val="110"/>
        </w:rPr>
        <w:t xml:space="preserve"> </w:t>
      </w:r>
      <w:r>
        <w:rPr>
          <w:w w:val="110"/>
        </w:rPr>
        <w:t>through</w:t>
      </w:r>
      <w:r>
        <w:rPr>
          <w:spacing w:val="-5"/>
          <w:w w:val="110"/>
        </w:rPr>
        <w:t xml:space="preserve"> </w:t>
      </w:r>
      <w:r>
        <w:rPr>
          <w:w w:val="110"/>
        </w:rPr>
        <w:t>the</w:t>
      </w:r>
      <w:r>
        <w:rPr>
          <w:spacing w:val="-3"/>
          <w:w w:val="110"/>
        </w:rPr>
        <w:t xml:space="preserve"> </w:t>
      </w:r>
      <w:r>
        <w:rPr>
          <w:w w:val="110"/>
        </w:rPr>
        <w:t>reinforcement</w:t>
      </w:r>
      <w:r>
        <w:rPr>
          <w:spacing w:val="-5"/>
          <w:w w:val="110"/>
        </w:rPr>
        <w:t xml:space="preserve"> </w:t>
      </w:r>
      <w:r>
        <w:rPr>
          <w:w w:val="110"/>
        </w:rPr>
        <w:t>of</w:t>
      </w:r>
      <w:r>
        <w:rPr>
          <w:spacing w:val="-4"/>
          <w:w w:val="110"/>
        </w:rPr>
        <w:t xml:space="preserve"> </w:t>
      </w:r>
      <w:r>
        <w:rPr>
          <w:w w:val="110"/>
        </w:rPr>
        <w:t>the</w:t>
      </w:r>
      <w:r>
        <w:rPr>
          <w:spacing w:val="-8"/>
          <w:w w:val="110"/>
        </w:rPr>
        <w:t xml:space="preserve"> </w:t>
      </w:r>
      <w:r>
        <w:rPr>
          <w:w w:val="110"/>
        </w:rPr>
        <w:t>European</w:t>
      </w:r>
      <w:r>
        <w:rPr>
          <w:spacing w:val="-5"/>
          <w:w w:val="110"/>
        </w:rPr>
        <w:t xml:space="preserve"> </w:t>
      </w:r>
      <w:r>
        <w:rPr>
          <w:w w:val="110"/>
        </w:rPr>
        <w:t>defence</w:t>
      </w:r>
      <w:r>
        <w:rPr>
          <w:spacing w:val="-6"/>
          <w:w w:val="110"/>
        </w:rPr>
        <w:t xml:space="preserve"> </w:t>
      </w:r>
      <w:r>
        <w:rPr>
          <w:w w:val="110"/>
        </w:rPr>
        <w:t>industry</w:t>
      </w:r>
      <w:r>
        <w:rPr>
          <w:spacing w:val="-4"/>
          <w:w w:val="110"/>
        </w:rPr>
        <w:t xml:space="preserve"> </w:t>
      </w:r>
      <w:r>
        <w:rPr>
          <w:w w:val="110"/>
        </w:rPr>
        <w:t>Instrument.</w:t>
      </w:r>
    </w:p>
    <w:p w:rsidR="00B84CED" w:rsidRDefault="00794452" w14:paraId="064B31C1" w14:textId="77777777">
      <w:pPr>
        <w:pStyle w:val="BodyText"/>
        <w:spacing w:before="165" w:line="357" w:lineRule="auto"/>
        <w:ind w:left="219" w:right="450"/>
      </w:pPr>
      <w:r>
        <w:rPr>
          <w:w w:val="110"/>
        </w:rPr>
        <w:t>This</w:t>
      </w:r>
      <w:r>
        <w:rPr>
          <w:spacing w:val="-2"/>
          <w:w w:val="110"/>
        </w:rPr>
        <w:t xml:space="preserve"> </w:t>
      </w:r>
      <w:r>
        <w:rPr>
          <w:w w:val="110"/>
        </w:rPr>
        <w:t>proposal</w:t>
      </w:r>
      <w:r>
        <w:rPr>
          <w:spacing w:val="-5"/>
          <w:w w:val="110"/>
        </w:rPr>
        <w:t xml:space="preserve"> </w:t>
      </w:r>
      <w:r>
        <w:rPr>
          <w:w w:val="110"/>
        </w:rPr>
        <w:t>represents</w:t>
      </w:r>
      <w:r>
        <w:rPr>
          <w:spacing w:val="-4"/>
          <w:w w:val="110"/>
        </w:rPr>
        <w:t xml:space="preserve"> </w:t>
      </w:r>
      <w:r>
        <w:rPr>
          <w:w w:val="110"/>
        </w:rPr>
        <w:t>one</w:t>
      </w:r>
      <w:r>
        <w:rPr>
          <w:spacing w:val="-1"/>
          <w:w w:val="110"/>
        </w:rPr>
        <w:t xml:space="preserve"> </w:t>
      </w:r>
      <w:r>
        <w:rPr>
          <w:w w:val="110"/>
        </w:rPr>
        <w:t>pillar</w:t>
      </w:r>
      <w:r>
        <w:rPr>
          <w:spacing w:val="-4"/>
          <w:w w:val="110"/>
        </w:rPr>
        <w:t xml:space="preserve"> </w:t>
      </w:r>
      <w:r>
        <w:rPr>
          <w:w w:val="110"/>
        </w:rPr>
        <w:t>of</w:t>
      </w:r>
      <w:r>
        <w:rPr>
          <w:spacing w:val="-2"/>
          <w:w w:val="110"/>
        </w:rPr>
        <w:t xml:space="preserve"> </w:t>
      </w:r>
      <w:r>
        <w:rPr>
          <w:w w:val="110"/>
        </w:rPr>
        <w:t>the</w:t>
      </w:r>
      <w:r>
        <w:rPr>
          <w:spacing w:val="-1"/>
          <w:w w:val="110"/>
        </w:rPr>
        <w:t xml:space="preserve"> </w:t>
      </w:r>
      <w:r>
        <w:rPr>
          <w:w w:val="110"/>
        </w:rPr>
        <w:t>ReArm</w:t>
      </w:r>
      <w:r>
        <w:rPr>
          <w:spacing w:val="-6"/>
          <w:w w:val="110"/>
        </w:rPr>
        <w:t xml:space="preserve"> </w:t>
      </w:r>
      <w:r>
        <w:rPr>
          <w:w w:val="110"/>
        </w:rPr>
        <w:t>Europe</w:t>
      </w:r>
      <w:r>
        <w:rPr>
          <w:spacing w:val="-1"/>
          <w:w w:val="110"/>
        </w:rPr>
        <w:t xml:space="preserve"> </w:t>
      </w:r>
      <w:r>
        <w:rPr>
          <w:w w:val="110"/>
        </w:rPr>
        <w:t>plan</w:t>
      </w:r>
      <w:r>
        <w:rPr>
          <w:spacing w:val="-5"/>
          <w:w w:val="110"/>
        </w:rPr>
        <w:t xml:space="preserve"> </w:t>
      </w:r>
      <w:r>
        <w:rPr>
          <w:w w:val="110"/>
        </w:rPr>
        <w:t>and</w:t>
      </w:r>
      <w:r>
        <w:rPr>
          <w:spacing w:val="-3"/>
          <w:w w:val="110"/>
        </w:rPr>
        <w:t xml:space="preserve"> </w:t>
      </w:r>
      <w:r>
        <w:rPr>
          <w:w w:val="110"/>
        </w:rPr>
        <w:t>seeks</w:t>
      </w:r>
      <w:r>
        <w:rPr>
          <w:spacing w:val="-2"/>
          <w:w w:val="110"/>
        </w:rPr>
        <w:t xml:space="preserve"> </w:t>
      </w:r>
      <w:r>
        <w:rPr>
          <w:w w:val="110"/>
        </w:rPr>
        <w:t>to</w:t>
      </w:r>
      <w:r>
        <w:rPr>
          <w:spacing w:val="-1"/>
          <w:w w:val="110"/>
        </w:rPr>
        <w:t xml:space="preserve"> </w:t>
      </w:r>
      <w:r>
        <w:rPr>
          <w:w w:val="110"/>
        </w:rPr>
        <w:t>provide</w:t>
      </w:r>
      <w:r>
        <w:rPr>
          <w:spacing w:val="-4"/>
          <w:w w:val="110"/>
        </w:rPr>
        <w:t xml:space="preserve"> </w:t>
      </w:r>
      <w:r>
        <w:rPr>
          <w:w w:val="110"/>
        </w:rPr>
        <w:t>a</w:t>
      </w:r>
      <w:r>
        <w:rPr>
          <w:spacing w:val="-3"/>
          <w:w w:val="110"/>
        </w:rPr>
        <w:t xml:space="preserve"> </w:t>
      </w:r>
      <w:r>
        <w:rPr>
          <w:w w:val="110"/>
        </w:rPr>
        <w:t>new EU financial instrument – the Regulation establishing the Security Action for Europe (SAFE) - to raise up to €150 billion in capital markets to support and accelerate national investments through the reinforcement of the European defence industry Instrument.</w:t>
      </w:r>
    </w:p>
    <w:p w:rsidR="00B84CED" w:rsidRDefault="00794452" w14:paraId="0DC06A92" w14:textId="77777777">
      <w:pPr>
        <w:pStyle w:val="BodyText"/>
        <w:spacing w:before="160" w:line="357" w:lineRule="auto"/>
        <w:ind w:left="219" w:right="521"/>
      </w:pPr>
      <w:r>
        <w:rPr>
          <w:w w:val="110"/>
        </w:rPr>
        <w:t>The</w:t>
      </w:r>
      <w:r>
        <w:rPr>
          <w:spacing w:val="-7"/>
          <w:w w:val="110"/>
        </w:rPr>
        <w:t xml:space="preserve"> </w:t>
      </w:r>
      <w:r>
        <w:rPr>
          <w:w w:val="110"/>
        </w:rPr>
        <w:t>proposal</w:t>
      </w:r>
      <w:r>
        <w:rPr>
          <w:spacing w:val="-8"/>
          <w:w w:val="110"/>
        </w:rPr>
        <w:t xml:space="preserve"> </w:t>
      </w:r>
      <w:r>
        <w:rPr>
          <w:w w:val="110"/>
        </w:rPr>
        <w:t>has</w:t>
      </w:r>
      <w:r>
        <w:rPr>
          <w:spacing w:val="-5"/>
          <w:w w:val="110"/>
        </w:rPr>
        <w:t xml:space="preserve"> </w:t>
      </w:r>
      <w:r>
        <w:rPr>
          <w:w w:val="110"/>
        </w:rPr>
        <w:t>been</w:t>
      </w:r>
      <w:r>
        <w:rPr>
          <w:spacing w:val="-6"/>
          <w:w w:val="110"/>
        </w:rPr>
        <w:t xml:space="preserve"> </w:t>
      </w:r>
      <w:r>
        <w:rPr>
          <w:w w:val="110"/>
        </w:rPr>
        <w:t>framed</w:t>
      </w:r>
      <w:r>
        <w:rPr>
          <w:spacing w:val="-6"/>
          <w:w w:val="110"/>
        </w:rPr>
        <w:t xml:space="preserve"> </w:t>
      </w:r>
      <w:r>
        <w:rPr>
          <w:w w:val="110"/>
        </w:rPr>
        <w:t>as</w:t>
      </w:r>
      <w:r>
        <w:rPr>
          <w:spacing w:val="-7"/>
          <w:w w:val="110"/>
        </w:rPr>
        <w:t xml:space="preserve"> </w:t>
      </w:r>
      <w:r>
        <w:rPr>
          <w:w w:val="110"/>
        </w:rPr>
        <w:t>a</w:t>
      </w:r>
      <w:r>
        <w:rPr>
          <w:spacing w:val="-6"/>
          <w:w w:val="110"/>
        </w:rPr>
        <w:t xml:space="preserve"> </w:t>
      </w:r>
      <w:r>
        <w:rPr>
          <w:w w:val="110"/>
        </w:rPr>
        <w:t>temporary,</w:t>
      </w:r>
      <w:r>
        <w:rPr>
          <w:spacing w:val="-8"/>
          <w:w w:val="110"/>
        </w:rPr>
        <w:t xml:space="preserve"> </w:t>
      </w:r>
      <w:r>
        <w:rPr>
          <w:w w:val="110"/>
        </w:rPr>
        <w:t>emergency</w:t>
      </w:r>
      <w:r>
        <w:rPr>
          <w:spacing w:val="-8"/>
          <w:w w:val="110"/>
        </w:rPr>
        <w:t xml:space="preserve"> </w:t>
      </w:r>
      <w:r>
        <w:rPr>
          <w:w w:val="110"/>
        </w:rPr>
        <w:t>instrument</w:t>
      </w:r>
      <w:r>
        <w:rPr>
          <w:spacing w:val="-6"/>
          <w:w w:val="110"/>
        </w:rPr>
        <w:t xml:space="preserve"> </w:t>
      </w:r>
      <w:r>
        <w:rPr>
          <w:w w:val="110"/>
        </w:rPr>
        <w:t>to</w:t>
      </w:r>
      <w:r>
        <w:rPr>
          <w:spacing w:val="-9"/>
          <w:w w:val="110"/>
        </w:rPr>
        <w:t xml:space="preserve"> </w:t>
      </w:r>
      <w:r>
        <w:rPr>
          <w:w w:val="110"/>
        </w:rPr>
        <w:t>allow</w:t>
      </w:r>
      <w:r>
        <w:rPr>
          <w:spacing w:val="-7"/>
          <w:w w:val="110"/>
        </w:rPr>
        <w:t xml:space="preserve"> </w:t>
      </w:r>
      <w:r>
        <w:rPr>
          <w:w w:val="110"/>
        </w:rPr>
        <w:t>for</w:t>
      </w:r>
      <w:r>
        <w:rPr>
          <w:spacing w:val="-5"/>
          <w:w w:val="110"/>
        </w:rPr>
        <w:t xml:space="preserve"> </w:t>
      </w:r>
      <w:r>
        <w:rPr>
          <w:w w:val="110"/>
        </w:rPr>
        <w:t>Union financial assistance to Member States in the form of loans to enable them to carry out investments in the European Defence Technological and Industrial Basis (EDITB) which are considered necessary in light of the exceptional situation.</w:t>
      </w:r>
    </w:p>
    <w:p w:rsidR="00B84CED" w:rsidRDefault="00794452" w14:paraId="29C51205" w14:textId="77777777">
      <w:pPr>
        <w:pStyle w:val="BodyText"/>
        <w:spacing w:before="161" w:line="357" w:lineRule="auto"/>
        <w:ind w:left="219" w:right="459"/>
      </w:pPr>
      <w:r>
        <w:rPr>
          <w:w w:val="110"/>
        </w:rPr>
        <w:t>Further,</w:t>
      </w:r>
      <w:r>
        <w:rPr>
          <w:spacing w:val="-4"/>
          <w:w w:val="110"/>
        </w:rPr>
        <w:t xml:space="preserve"> </w:t>
      </w:r>
      <w:r>
        <w:rPr>
          <w:w w:val="110"/>
        </w:rPr>
        <w:t>the</w:t>
      </w:r>
      <w:r>
        <w:rPr>
          <w:spacing w:val="-3"/>
          <w:w w:val="110"/>
        </w:rPr>
        <w:t xml:space="preserve"> </w:t>
      </w:r>
      <w:r>
        <w:rPr>
          <w:w w:val="110"/>
        </w:rPr>
        <w:t>allocation</w:t>
      </w:r>
      <w:r>
        <w:rPr>
          <w:spacing w:val="-7"/>
          <w:w w:val="110"/>
        </w:rPr>
        <w:t xml:space="preserve"> </w:t>
      </w:r>
      <w:r>
        <w:rPr>
          <w:w w:val="110"/>
        </w:rPr>
        <w:t>of</w:t>
      </w:r>
      <w:r>
        <w:rPr>
          <w:spacing w:val="-6"/>
          <w:w w:val="110"/>
        </w:rPr>
        <w:t xml:space="preserve"> </w:t>
      </w:r>
      <w:r>
        <w:rPr>
          <w:w w:val="110"/>
        </w:rPr>
        <w:t>the</w:t>
      </w:r>
      <w:r>
        <w:rPr>
          <w:spacing w:val="-6"/>
          <w:w w:val="110"/>
        </w:rPr>
        <w:t xml:space="preserve"> </w:t>
      </w:r>
      <w:r>
        <w:rPr>
          <w:w w:val="110"/>
        </w:rPr>
        <w:t>€150</w:t>
      </w:r>
      <w:r>
        <w:rPr>
          <w:spacing w:val="-5"/>
          <w:w w:val="110"/>
        </w:rPr>
        <w:t xml:space="preserve"> </w:t>
      </w:r>
      <w:r>
        <w:rPr>
          <w:w w:val="110"/>
        </w:rPr>
        <w:t>billion</w:t>
      </w:r>
      <w:r>
        <w:rPr>
          <w:spacing w:val="-7"/>
          <w:w w:val="110"/>
        </w:rPr>
        <w:t xml:space="preserve"> </w:t>
      </w:r>
      <w:r>
        <w:rPr>
          <w:w w:val="110"/>
        </w:rPr>
        <w:t>envelope</w:t>
      </w:r>
      <w:r>
        <w:rPr>
          <w:spacing w:val="-3"/>
          <w:w w:val="110"/>
        </w:rPr>
        <w:t xml:space="preserve"> </w:t>
      </w:r>
      <w:r>
        <w:rPr>
          <w:w w:val="110"/>
        </w:rPr>
        <w:t>to</w:t>
      </w:r>
      <w:r>
        <w:rPr>
          <w:spacing w:val="-3"/>
          <w:w w:val="110"/>
        </w:rPr>
        <w:t xml:space="preserve"> </w:t>
      </w:r>
      <w:r>
        <w:rPr>
          <w:w w:val="110"/>
        </w:rPr>
        <w:t>Member</w:t>
      </w:r>
      <w:r>
        <w:rPr>
          <w:spacing w:val="-4"/>
          <w:w w:val="110"/>
        </w:rPr>
        <w:t xml:space="preserve"> </w:t>
      </w:r>
      <w:r>
        <w:rPr>
          <w:w w:val="110"/>
        </w:rPr>
        <w:t>States</w:t>
      </w:r>
      <w:r>
        <w:rPr>
          <w:spacing w:val="-6"/>
          <w:w w:val="110"/>
        </w:rPr>
        <w:t xml:space="preserve"> </w:t>
      </w:r>
      <w:r>
        <w:rPr>
          <w:w w:val="110"/>
        </w:rPr>
        <w:t>would</w:t>
      </w:r>
      <w:r>
        <w:rPr>
          <w:spacing w:val="-5"/>
          <w:w w:val="110"/>
        </w:rPr>
        <w:t xml:space="preserve"> </w:t>
      </w:r>
      <w:r>
        <w:rPr>
          <w:w w:val="110"/>
        </w:rPr>
        <w:t>be</w:t>
      </w:r>
      <w:r>
        <w:rPr>
          <w:spacing w:val="-3"/>
          <w:w w:val="110"/>
        </w:rPr>
        <w:t xml:space="preserve"> </w:t>
      </w:r>
      <w:r>
        <w:rPr>
          <w:w w:val="110"/>
        </w:rPr>
        <w:t>demand-driven</w:t>
      </w:r>
      <w:r>
        <w:rPr>
          <w:spacing w:val="-2"/>
          <w:w w:val="110"/>
        </w:rPr>
        <w:t xml:space="preserve"> </w:t>
      </w:r>
      <w:r>
        <w:rPr>
          <w:w w:val="110"/>
        </w:rPr>
        <w:t>with no requirement for</w:t>
      </w:r>
      <w:r>
        <w:rPr>
          <w:spacing w:val="-1"/>
          <w:w w:val="110"/>
        </w:rPr>
        <w:t xml:space="preserve"> </w:t>
      </w:r>
      <w:r>
        <w:rPr>
          <w:w w:val="110"/>
        </w:rPr>
        <w:t>Member States</w:t>
      </w:r>
      <w:r>
        <w:rPr>
          <w:spacing w:val="-1"/>
          <w:w w:val="110"/>
        </w:rPr>
        <w:t xml:space="preserve"> </w:t>
      </w:r>
      <w:r>
        <w:rPr>
          <w:w w:val="110"/>
        </w:rPr>
        <w:t>to</w:t>
      </w:r>
      <w:r>
        <w:rPr>
          <w:spacing w:val="-1"/>
          <w:w w:val="110"/>
        </w:rPr>
        <w:t xml:space="preserve"> </w:t>
      </w:r>
      <w:r>
        <w:rPr>
          <w:w w:val="110"/>
        </w:rPr>
        <w:t>engage</w:t>
      </w:r>
      <w:r>
        <w:rPr>
          <w:spacing w:val="-1"/>
          <w:w w:val="110"/>
        </w:rPr>
        <w:t xml:space="preserve"> </w:t>
      </w:r>
      <w:r>
        <w:rPr>
          <w:w w:val="110"/>
        </w:rPr>
        <w:t>with the</w:t>
      </w:r>
      <w:r>
        <w:rPr>
          <w:spacing w:val="-1"/>
          <w:w w:val="110"/>
        </w:rPr>
        <w:t xml:space="preserve"> </w:t>
      </w:r>
      <w:r>
        <w:rPr>
          <w:w w:val="110"/>
        </w:rPr>
        <w:t>initiative should they not wish to do so. However, those Member States wishing to receive loans will be required to submit a European Defence Industry Investment Plan to the Commission.</w:t>
      </w:r>
    </w:p>
    <w:p w:rsidR="00B84CED" w:rsidRDefault="00794452" w14:paraId="08511F63" w14:textId="77777777">
      <w:pPr>
        <w:pStyle w:val="BodyText"/>
        <w:spacing w:before="161" w:line="357" w:lineRule="auto"/>
        <w:ind w:left="219" w:right="431"/>
      </w:pPr>
      <w:r>
        <w:rPr>
          <w:w w:val="110"/>
        </w:rPr>
        <w:t>It</w:t>
      </w:r>
      <w:r>
        <w:rPr>
          <w:spacing w:val="-2"/>
          <w:w w:val="110"/>
        </w:rPr>
        <w:t xml:space="preserve"> </w:t>
      </w:r>
      <w:r>
        <w:rPr>
          <w:w w:val="110"/>
        </w:rPr>
        <w:t>is</w:t>
      </w:r>
      <w:r>
        <w:rPr>
          <w:spacing w:val="-3"/>
          <w:w w:val="110"/>
        </w:rPr>
        <w:t xml:space="preserve"> </w:t>
      </w:r>
      <w:r>
        <w:rPr>
          <w:w w:val="110"/>
        </w:rPr>
        <w:t>envisaged</w:t>
      </w:r>
      <w:r>
        <w:rPr>
          <w:spacing w:val="-2"/>
          <w:w w:val="110"/>
        </w:rPr>
        <w:t xml:space="preserve"> </w:t>
      </w:r>
      <w:r>
        <w:rPr>
          <w:w w:val="110"/>
        </w:rPr>
        <w:t>that</w:t>
      </w:r>
      <w:r>
        <w:rPr>
          <w:spacing w:val="-2"/>
          <w:w w:val="110"/>
        </w:rPr>
        <w:t xml:space="preserve"> </w:t>
      </w:r>
      <w:r>
        <w:rPr>
          <w:w w:val="110"/>
        </w:rPr>
        <w:t>the</w:t>
      </w:r>
      <w:r>
        <w:rPr>
          <w:spacing w:val="-3"/>
          <w:w w:val="110"/>
        </w:rPr>
        <w:t xml:space="preserve"> </w:t>
      </w:r>
      <w:r>
        <w:rPr>
          <w:w w:val="110"/>
        </w:rPr>
        <w:t>proposal</w:t>
      </w:r>
      <w:r>
        <w:rPr>
          <w:spacing w:val="-4"/>
          <w:w w:val="110"/>
        </w:rPr>
        <w:t xml:space="preserve"> </w:t>
      </w:r>
      <w:r>
        <w:rPr>
          <w:w w:val="110"/>
        </w:rPr>
        <w:t>would</w:t>
      </w:r>
      <w:r>
        <w:rPr>
          <w:spacing w:val="-2"/>
          <w:w w:val="110"/>
        </w:rPr>
        <w:t xml:space="preserve"> </w:t>
      </w:r>
      <w:r>
        <w:rPr>
          <w:w w:val="110"/>
        </w:rPr>
        <w:t>allow</w:t>
      </w:r>
      <w:r>
        <w:rPr>
          <w:spacing w:val="-3"/>
          <w:w w:val="110"/>
        </w:rPr>
        <w:t xml:space="preserve"> </w:t>
      </w:r>
      <w:r>
        <w:rPr>
          <w:w w:val="110"/>
        </w:rPr>
        <w:t>Member</w:t>
      </w:r>
      <w:r>
        <w:rPr>
          <w:spacing w:val="-1"/>
          <w:w w:val="110"/>
        </w:rPr>
        <w:t xml:space="preserve"> </w:t>
      </w:r>
      <w:r>
        <w:rPr>
          <w:w w:val="110"/>
        </w:rPr>
        <w:t>States</w:t>
      </w:r>
      <w:r>
        <w:rPr>
          <w:spacing w:val="-1"/>
          <w:w w:val="110"/>
        </w:rPr>
        <w:t xml:space="preserve"> </w:t>
      </w:r>
      <w:r>
        <w:rPr>
          <w:w w:val="110"/>
        </w:rPr>
        <w:t>to significantly</w:t>
      </w:r>
      <w:r>
        <w:rPr>
          <w:spacing w:val="-1"/>
          <w:w w:val="110"/>
        </w:rPr>
        <w:t xml:space="preserve"> </w:t>
      </w:r>
      <w:r>
        <w:rPr>
          <w:w w:val="110"/>
        </w:rPr>
        <w:t>scale up</w:t>
      </w:r>
      <w:r>
        <w:rPr>
          <w:spacing w:val="-2"/>
          <w:w w:val="110"/>
        </w:rPr>
        <w:t xml:space="preserve"> </w:t>
      </w:r>
      <w:r>
        <w:rPr>
          <w:w w:val="110"/>
        </w:rPr>
        <w:t>their defence investments through common procurement from the</w:t>
      </w:r>
      <w:r>
        <w:rPr>
          <w:spacing w:val="-1"/>
          <w:w w:val="110"/>
        </w:rPr>
        <w:t xml:space="preserve"> </w:t>
      </w:r>
      <w:r>
        <w:rPr>
          <w:w w:val="110"/>
        </w:rPr>
        <w:t>European</w:t>
      </w:r>
      <w:r>
        <w:rPr>
          <w:spacing w:val="-2"/>
          <w:w w:val="110"/>
        </w:rPr>
        <w:t xml:space="preserve"> </w:t>
      </w:r>
      <w:r>
        <w:rPr>
          <w:w w:val="110"/>
        </w:rPr>
        <w:t>defence</w:t>
      </w:r>
      <w:r>
        <w:rPr>
          <w:spacing w:val="-1"/>
          <w:w w:val="110"/>
        </w:rPr>
        <w:t xml:space="preserve"> </w:t>
      </w:r>
      <w:r>
        <w:rPr>
          <w:w w:val="110"/>
        </w:rPr>
        <w:t>industry and by focusing on priority capabilities. Member States buying together will ensure interoperability</w:t>
      </w:r>
      <w:r>
        <w:rPr>
          <w:spacing w:val="-6"/>
          <w:w w:val="110"/>
        </w:rPr>
        <w:t xml:space="preserve"> </w:t>
      </w:r>
      <w:r>
        <w:rPr>
          <w:w w:val="110"/>
        </w:rPr>
        <w:t>for</w:t>
      </w:r>
      <w:r>
        <w:rPr>
          <w:spacing w:val="-8"/>
          <w:w w:val="110"/>
        </w:rPr>
        <w:t xml:space="preserve"> </w:t>
      </w:r>
      <w:r>
        <w:rPr>
          <w:w w:val="110"/>
        </w:rPr>
        <w:t>their</w:t>
      </w:r>
      <w:r>
        <w:rPr>
          <w:spacing w:val="-11"/>
          <w:w w:val="110"/>
        </w:rPr>
        <w:t xml:space="preserve"> </w:t>
      </w:r>
      <w:r>
        <w:rPr>
          <w:w w:val="110"/>
        </w:rPr>
        <w:t>Defence</w:t>
      </w:r>
      <w:r>
        <w:rPr>
          <w:spacing w:val="-5"/>
          <w:w w:val="110"/>
        </w:rPr>
        <w:t xml:space="preserve"> </w:t>
      </w:r>
      <w:r>
        <w:rPr>
          <w:w w:val="110"/>
        </w:rPr>
        <w:t>Forces,</w:t>
      </w:r>
      <w:r>
        <w:rPr>
          <w:spacing w:val="-7"/>
          <w:w w:val="110"/>
        </w:rPr>
        <w:t xml:space="preserve"> </w:t>
      </w:r>
      <w:r>
        <w:rPr>
          <w:w w:val="110"/>
        </w:rPr>
        <w:t>predictability</w:t>
      </w:r>
      <w:r>
        <w:rPr>
          <w:spacing w:val="-6"/>
          <w:w w:val="110"/>
        </w:rPr>
        <w:t xml:space="preserve"> </w:t>
      </w:r>
      <w:r>
        <w:rPr>
          <w:w w:val="110"/>
        </w:rPr>
        <w:t>for</w:t>
      </w:r>
      <w:r>
        <w:rPr>
          <w:spacing w:val="-6"/>
          <w:w w:val="110"/>
        </w:rPr>
        <w:t xml:space="preserve"> </w:t>
      </w:r>
      <w:r>
        <w:rPr>
          <w:w w:val="110"/>
        </w:rPr>
        <w:t>the</w:t>
      </w:r>
      <w:r>
        <w:rPr>
          <w:spacing w:val="-8"/>
          <w:w w:val="110"/>
        </w:rPr>
        <w:t xml:space="preserve"> </w:t>
      </w:r>
      <w:r>
        <w:rPr>
          <w:w w:val="110"/>
        </w:rPr>
        <w:t>European</w:t>
      </w:r>
      <w:r>
        <w:rPr>
          <w:spacing w:val="-9"/>
          <w:w w:val="110"/>
        </w:rPr>
        <w:t xml:space="preserve"> </w:t>
      </w:r>
      <w:r>
        <w:rPr>
          <w:w w:val="110"/>
        </w:rPr>
        <w:t>defence</w:t>
      </w:r>
      <w:r>
        <w:rPr>
          <w:spacing w:val="-5"/>
          <w:w w:val="110"/>
        </w:rPr>
        <w:t xml:space="preserve"> </w:t>
      </w:r>
      <w:r>
        <w:rPr>
          <w:w w:val="110"/>
        </w:rPr>
        <w:t>industry, reduced costs, and more broadly, the scale needed to strengthen the European defence industrial base. These are seen by the Commission as being key to ensuring both the competitiveness and the readiness of the European defence industry.</w:t>
      </w:r>
    </w:p>
    <w:p w:rsidRPr="00794452" w:rsidR="00B84CED" w:rsidRDefault="00794452" w14:paraId="2B2DDD14" w14:textId="77777777">
      <w:pPr>
        <w:pStyle w:val="BodyText"/>
        <w:spacing w:before="160" w:line="357" w:lineRule="auto"/>
        <w:ind w:left="219" w:right="459"/>
        <w:rPr>
          <w:lang w:val="fr-BE"/>
        </w:rPr>
      </w:pPr>
      <w:r>
        <w:rPr>
          <w:w w:val="110"/>
        </w:rPr>
        <w:t>While the loans support the common procurement of defence products, including manufacturing</w:t>
      </w:r>
      <w:r>
        <w:rPr>
          <w:spacing w:val="-5"/>
          <w:w w:val="110"/>
        </w:rPr>
        <w:t xml:space="preserve"> </w:t>
      </w:r>
      <w:r>
        <w:rPr>
          <w:w w:val="110"/>
        </w:rPr>
        <w:t>capacities,</w:t>
      </w:r>
      <w:r>
        <w:rPr>
          <w:spacing w:val="-7"/>
          <w:w w:val="110"/>
        </w:rPr>
        <w:t xml:space="preserve"> </w:t>
      </w:r>
      <w:r>
        <w:rPr>
          <w:w w:val="110"/>
        </w:rPr>
        <w:t>preparation</w:t>
      </w:r>
      <w:r>
        <w:rPr>
          <w:spacing w:val="-9"/>
          <w:w w:val="110"/>
        </w:rPr>
        <w:t xml:space="preserve"> </w:t>
      </w:r>
      <w:r>
        <w:rPr>
          <w:w w:val="110"/>
        </w:rPr>
        <w:t>of</w:t>
      </w:r>
      <w:r>
        <w:rPr>
          <w:spacing w:val="-6"/>
          <w:w w:val="110"/>
        </w:rPr>
        <w:t xml:space="preserve"> </w:t>
      </w:r>
      <w:r>
        <w:rPr>
          <w:w w:val="110"/>
        </w:rPr>
        <w:t>infrastructure,</w:t>
      </w:r>
      <w:r>
        <w:rPr>
          <w:spacing w:val="-9"/>
          <w:w w:val="110"/>
        </w:rPr>
        <w:t xml:space="preserve"> </w:t>
      </w:r>
      <w:r>
        <w:rPr>
          <w:w w:val="110"/>
        </w:rPr>
        <w:t>etc,</w:t>
      </w:r>
      <w:r>
        <w:rPr>
          <w:spacing w:val="-7"/>
          <w:w w:val="110"/>
        </w:rPr>
        <w:t xml:space="preserve"> </w:t>
      </w:r>
      <w:r>
        <w:rPr>
          <w:w w:val="110"/>
        </w:rPr>
        <w:t>the</w:t>
      </w:r>
      <w:r>
        <w:rPr>
          <w:spacing w:val="-8"/>
          <w:w w:val="110"/>
        </w:rPr>
        <w:t xml:space="preserve"> </w:t>
      </w:r>
      <w:r>
        <w:rPr>
          <w:w w:val="110"/>
        </w:rPr>
        <w:t>intent</w:t>
      </w:r>
      <w:r>
        <w:rPr>
          <w:spacing w:val="-7"/>
          <w:w w:val="110"/>
        </w:rPr>
        <w:t xml:space="preserve"> </w:t>
      </w:r>
      <w:r>
        <w:rPr>
          <w:w w:val="110"/>
        </w:rPr>
        <w:t>is</w:t>
      </w:r>
      <w:r>
        <w:rPr>
          <w:spacing w:val="-8"/>
          <w:w w:val="110"/>
        </w:rPr>
        <w:t xml:space="preserve"> </w:t>
      </w:r>
      <w:r>
        <w:rPr>
          <w:w w:val="110"/>
        </w:rPr>
        <w:t>that</w:t>
      </w:r>
      <w:r>
        <w:rPr>
          <w:spacing w:val="-7"/>
          <w:w w:val="110"/>
        </w:rPr>
        <w:t xml:space="preserve"> </w:t>
      </w:r>
      <w:r>
        <w:rPr>
          <w:w w:val="110"/>
        </w:rPr>
        <w:t>the</w:t>
      </w:r>
      <w:r>
        <w:rPr>
          <w:spacing w:val="-5"/>
          <w:w w:val="110"/>
        </w:rPr>
        <w:t xml:space="preserve"> </w:t>
      </w:r>
      <w:r>
        <w:rPr>
          <w:w w:val="110"/>
        </w:rPr>
        <w:t>focus</w:t>
      </w:r>
      <w:r>
        <w:rPr>
          <w:spacing w:val="-8"/>
          <w:w w:val="110"/>
        </w:rPr>
        <w:t xml:space="preserve"> </w:t>
      </w:r>
      <w:r>
        <w:rPr>
          <w:w w:val="110"/>
        </w:rPr>
        <w:t xml:space="preserve">of Member States’ procurement should address the capability priorities that have been identified at the broader EU level. </w:t>
      </w:r>
      <w:r w:rsidRPr="00794452">
        <w:rPr>
          <w:w w:val="110"/>
          <w:lang w:val="fr-BE"/>
        </w:rPr>
        <w:t>These priorities include ammunition, drones, critical infrastructure protection, cyber, etc.</w:t>
      </w:r>
    </w:p>
    <w:p w:rsidRPr="00794452" w:rsidR="00B84CED" w:rsidRDefault="00B84CED" w14:paraId="19870004" w14:textId="77777777">
      <w:pPr>
        <w:pStyle w:val="BodyText"/>
        <w:spacing w:line="357" w:lineRule="auto"/>
        <w:rPr>
          <w:lang w:val="fr-BE"/>
        </w:rPr>
        <w:sectPr w:rsidRPr="00794452" w:rsidR="00B84CED" w:rsidSect="00196DB0">
          <w:footerReference w:type="even" r:id="R0a5a962f89594fe4"/>
          <w:footerReference w:type="first" r:id="R56a0ac58acbf4df0"/>
          <w:headerReference w:type="even" r:id="R6974892e1fa545d2"/>
          <w:headerReference w:type="first" r:id="Rda01b1dec83f4d14"/>
          <w:pgSz w:w="11907" w:h="16839"/>
          <w:pgMar w:top="1134" w:right="1134" w:bottom="1134" w:left="1134" w:header="567" w:footer="567" w:gutter="0"/>
          <w:cols w:space="720"/>
          <w:docGrid w:linePitch="299"/>
        </w:sectPr>
      </w:pPr>
    </w:p>
    <w:p w:rsidR="00B84CED" w:rsidRDefault="00794452" w14:paraId="6B185252" w14:textId="77777777">
      <w:pPr>
        <w:pStyle w:val="Heading2"/>
        <w:spacing w:before="111"/>
      </w:pPr>
      <w:bookmarkStart w:name="_bookmark10" w:id="26"/>
      <w:bookmarkEnd w:id="26"/>
      <w:r>
        <w:rPr>
          <w:color w:val="395C66"/>
          <w:w w:val="110"/>
        </w:rPr>
        <w:lastRenderedPageBreak/>
        <w:t>Key</w:t>
      </w:r>
      <w:r>
        <w:rPr>
          <w:color w:val="395C66"/>
          <w:spacing w:val="9"/>
          <w:w w:val="110"/>
        </w:rPr>
        <w:t xml:space="preserve"> </w:t>
      </w:r>
      <w:r>
        <w:rPr>
          <w:color w:val="395C66"/>
          <w:w w:val="110"/>
        </w:rPr>
        <w:t>issues</w:t>
      </w:r>
      <w:r>
        <w:rPr>
          <w:color w:val="395C66"/>
          <w:spacing w:val="12"/>
          <w:w w:val="110"/>
        </w:rPr>
        <w:t xml:space="preserve"> </w:t>
      </w:r>
      <w:r>
        <w:rPr>
          <w:color w:val="395C66"/>
          <w:w w:val="110"/>
        </w:rPr>
        <w:t>raised</w:t>
      </w:r>
      <w:r>
        <w:rPr>
          <w:color w:val="395C66"/>
          <w:spacing w:val="11"/>
          <w:w w:val="110"/>
        </w:rPr>
        <w:t xml:space="preserve"> </w:t>
      </w:r>
      <w:r>
        <w:rPr>
          <w:color w:val="395C66"/>
          <w:w w:val="110"/>
        </w:rPr>
        <w:t>in</w:t>
      </w:r>
      <w:r>
        <w:rPr>
          <w:color w:val="395C66"/>
          <w:spacing w:val="6"/>
          <w:w w:val="110"/>
        </w:rPr>
        <w:t xml:space="preserve"> </w:t>
      </w:r>
      <w:r>
        <w:rPr>
          <w:color w:val="395C66"/>
          <w:spacing w:val="-2"/>
          <w:w w:val="110"/>
        </w:rPr>
        <w:t>submissions</w:t>
      </w:r>
    </w:p>
    <w:p w:rsidR="00B84CED" w:rsidRDefault="00794452" w14:paraId="1F1B0ED3" w14:textId="77777777">
      <w:pPr>
        <w:pStyle w:val="BodyText"/>
        <w:spacing w:before="124" w:line="357" w:lineRule="auto"/>
        <w:ind w:left="219" w:right="471"/>
      </w:pPr>
      <w:r>
        <w:rPr>
          <w:w w:val="110"/>
        </w:rPr>
        <w:t>The Joint Committee opened a call for written submissions on the committee webpage from 29 May to 16 June 2025. Some 17 submissions were received from a number of interested</w:t>
      </w:r>
      <w:r>
        <w:rPr>
          <w:spacing w:val="-1"/>
          <w:w w:val="110"/>
        </w:rPr>
        <w:t xml:space="preserve"> </w:t>
      </w:r>
      <w:r>
        <w:rPr>
          <w:w w:val="110"/>
        </w:rPr>
        <w:t>parties, ranging from</w:t>
      </w:r>
      <w:r>
        <w:rPr>
          <w:spacing w:val="-1"/>
          <w:w w:val="110"/>
        </w:rPr>
        <w:t xml:space="preserve"> </w:t>
      </w:r>
      <w:r>
        <w:rPr>
          <w:w w:val="110"/>
        </w:rPr>
        <w:t>political representatives, academics, interest</w:t>
      </w:r>
      <w:r>
        <w:rPr>
          <w:spacing w:val="-1"/>
          <w:w w:val="110"/>
        </w:rPr>
        <w:t xml:space="preserve"> </w:t>
      </w:r>
      <w:r>
        <w:rPr>
          <w:w w:val="110"/>
        </w:rPr>
        <w:t>groups and concerned citizens. Across the range of submissions received, a common view was that the proposed SAFE Regulation</w:t>
      </w:r>
      <w:hyperlink w:history="1" w:anchor="_bookmark12">
        <w:r>
          <w:rPr>
            <w:w w:val="110"/>
            <w:position w:val="8"/>
            <w:sz w:val="13"/>
          </w:rPr>
          <w:t>4</w:t>
        </w:r>
      </w:hyperlink>
      <w:r>
        <w:rPr>
          <w:spacing w:val="38"/>
          <w:w w:val="110"/>
          <w:position w:val="8"/>
          <w:sz w:val="13"/>
        </w:rPr>
        <w:t xml:space="preserve"> </w:t>
      </w:r>
      <w:r>
        <w:rPr>
          <w:w w:val="110"/>
        </w:rPr>
        <w:t>poses significant questions from both a policy and legal perspective regarding the direction of travel in respect of arms expenditure within the European Union (EU).</w:t>
      </w:r>
      <w:r>
        <w:rPr>
          <w:spacing w:val="-2"/>
          <w:w w:val="110"/>
        </w:rPr>
        <w:t xml:space="preserve"> </w:t>
      </w:r>
      <w:r>
        <w:rPr>
          <w:w w:val="110"/>
        </w:rPr>
        <w:t>It is suggested that this policy and the</w:t>
      </w:r>
      <w:r>
        <w:rPr>
          <w:spacing w:val="-1"/>
          <w:w w:val="110"/>
        </w:rPr>
        <w:t xml:space="preserve"> </w:t>
      </w:r>
      <w:r>
        <w:rPr>
          <w:w w:val="110"/>
        </w:rPr>
        <w:t>wider policy</w:t>
      </w:r>
      <w:r>
        <w:rPr>
          <w:spacing w:val="-4"/>
          <w:w w:val="110"/>
        </w:rPr>
        <w:t xml:space="preserve"> </w:t>
      </w:r>
      <w:r>
        <w:rPr>
          <w:w w:val="110"/>
        </w:rPr>
        <w:t>shifts in</w:t>
      </w:r>
      <w:r>
        <w:rPr>
          <w:spacing w:val="-2"/>
          <w:w w:val="110"/>
        </w:rPr>
        <w:t xml:space="preserve"> </w:t>
      </w:r>
      <w:r>
        <w:rPr>
          <w:w w:val="110"/>
        </w:rPr>
        <w:t>respect of militarisation and the push towards public subsidising of the European defence industry - notably through the ReArm Europe/Readiness 2030 Agenda - is considered as directly undermining Irish neutrality, the peaceful founding purposes of the EU and the European Treaties.</w:t>
      </w:r>
    </w:p>
    <w:p w:rsidR="00B84CED" w:rsidRDefault="00794452" w14:paraId="6C147204" w14:textId="77777777">
      <w:pPr>
        <w:pStyle w:val="BodyText"/>
        <w:spacing w:before="163" w:line="357" w:lineRule="auto"/>
        <w:ind w:left="219" w:right="459"/>
      </w:pPr>
      <w:r>
        <w:rPr>
          <w:w w:val="110"/>
        </w:rPr>
        <w:t>While the above outlines the broad view held by those who have made a submission on the proposal, a number</w:t>
      </w:r>
      <w:r>
        <w:rPr>
          <w:spacing w:val="-4"/>
          <w:w w:val="110"/>
        </w:rPr>
        <w:t xml:space="preserve"> </w:t>
      </w:r>
      <w:r>
        <w:rPr>
          <w:w w:val="110"/>
        </w:rPr>
        <w:t>of more specific</w:t>
      </w:r>
      <w:r>
        <w:rPr>
          <w:spacing w:val="-2"/>
          <w:w w:val="110"/>
        </w:rPr>
        <w:t xml:space="preserve"> </w:t>
      </w:r>
      <w:r>
        <w:rPr>
          <w:w w:val="110"/>
        </w:rPr>
        <w:t>key</w:t>
      </w:r>
      <w:r>
        <w:rPr>
          <w:spacing w:val="-2"/>
          <w:w w:val="110"/>
        </w:rPr>
        <w:t xml:space="preserve"> </w:t>
      </w:r>
      <w:r>
        <w:rPr>
          <w:w w:val="110"/>
        </w:rPr>
        <w:t>issues were raised. These issues in the main relate to:</w:t>
      </w:r>
    </w:p>
    <w:p w:rsidR="00B84CED" w:rsidRDefault="00794452" w14:paraId="6766FA96" w14:textId="77777777">
      <w:pPr>
        <w:pStyle w:val="ListParagraph"/>
        <w:numPr>
          <w:ilvl w:val="0"/>
          <w:numId w:val="2"/>
        </w:numPr>
        <w:tabs>
          <w:tab w:val="left" w:pos="939"/>
        </w:tabs>
        <w:spacing w:before="149"/>
      </w:pPr>
      <w:r>
        <w:rPr>
          <w:w w:val="110"/>
        </w:rPr>
        <w:t>The</w:t>
      </w:r>
      <w:r>
        <w:rPr>
          <w:spacing w:val="-1"/>
          <w:w w:val="110"/>
        </w:rPr>
        <w:t xml:space="preserve"> </w:t>
      </w:r>
      <w:r>
        <w:rPr>
          <w:w w:val="110"/>
        </w:rPr>
        <w:t>use</w:t>
      </w:r>
      <w:r>
        <w:rPr>
          <w:spacing w:val="-2"/>
          <w:w w:val="110"/>
        </w:rPr>
        <w:t xml:space="preserve"> </w:t>
      </w:r>
      <w:r>
        <w:rPr>
          <w:w w:val="110"/>
        </w:rPr>
        <w:t>of</w:t>
      </w:r>
      <w:r>
        <w:rPr>
          <w:spacing w:val="2"/>
          <w:w w:val="110"/>
        </w:rPr>
        <w:t xml:space="preserve"> </w:t>
      </w:r>
      <w:r>
        <w:rPr>
          <w:w w:val="110"/>
        </w:rPr>
        <w:t>Article 122</w:t>
      </w:r>
      <w:r>
        <w:rPr>
          <w:spacing w:val="-2"/>
          <w:w w:val="110"/>
        </w:rPr>
        <w:t xml:space="preserve"> </w:t>
      </w:r>
      <w:r>
        <w:rPr>
          <w:w w:val="110"/>
        </w:rPr>
        <w:t>of the TFEU</w:t>
      </w:r>
      <w:r>
        <w:rPr>
          <w:spacing w:val="1"/>
          <w:w w:val="110"/>
        </w:rPr>
        <w:t xml:space="preserve"> </w:t>
      </w:r>
      <w:r>
        <w:rPr>
          <w:w w:val="110"/>
        </w:rPr>
        <w:t>as</w:t>
      </w:r>
      <w:r>
        <w:rPr>
          <w:spacing w:val="1"/>
          <w:w w:val="110"/>
        </w:rPr>
        <w:t xml:space="preserve"> </w:t>
      </w:r>
      <w:r>
        <w:rPr>
          <w:w w:val="110"/>
        </w:rPr>
        <w:t>the legal</w:t>
      </w:r>
      <w:r>
        <w:rPr>
          <w:spacing w:val="-1"/>
          <w:w w:val="110"/>
        </w:rPr>
        <w:t xml:space="preserve"> </w:t>
      </w:r>
      <w:r>
        <w:rPr>
          <w:w w:val="110"/>
        </w:rPr>
        <w:t>basis</w:t>
      </w:r>
      <w:r>
        <w:rPr>
          <w:spacing w:val="2"/>
          <w:w w:val="110"/>
        </w:rPr>
        <w:t xml:space="preserve"> </w:t>
      </w:r>
      <w:r>
        <w:rPr>
          <w:w w:val="110"/>
        </w:rPr>
        <w:t>for</w:t>
      </w:r>
      <w:r>
        <w:rPr>
          <w:spacing w:val="-1"/>
          <w:w w:val="110"/>
        </w:rPr>
        <w:t xml:space="preserve"> </w:t>
      </w:r>
      <w:r>
        <w:rPr>
          <w:w w:val="110"/>
        </w:rPr>
        <w:t xml:space="preserve">the </w:t>
      </w:r>
      <w:r>
        <w:rPr>
          <w:spacing w:val="-2"/>
          <w:w w:val="110"/>
        </w:rPr>
        <w:t>Regulation</w:t>
      </w:r>
    </w:p>
    <w:p w:rsidR="00B84CED" w:rsidRDefault="00B84CED" w14:paraId="74A84580" w14:textId="77777777">
      <w:pPr>
        <w:pStyle w:val="BodyText"/>
        <w:spacing w:before="12"/>
      </w:pPr>
    </w:p>
    <w:p w:rsidR="00B84CED" w:rsidRDefault="00794452" w14:paraId="767F26C0" w14:textId="77777777">
      <w:pPr>
        <w:pStyle w:val="ListParagraph"/>
        <w:numPr>
          <w:ilvl w:val="0"/>
          <w:numId w:val="2"/>
        </w:numPr>
        <w:tabs>
          <w:tab w:val="left" w:pos="939"/>
        </w:tabs>
        <w:spacing w:before="1" w:line="352" w:lineRule="auto"/>
        <w:ind w:right="424"/>
      </w:pPr>
      <w:r>
        <w:rPr>
          <w:w w:val="110"/>
        </w:rPr>
        <w:t>Potential</w:t>
      </w:r>
      <w:r>
        <w:rPr>
          <w:spacing w:val="-7"/>
          <w:w w:val="110"/>
        </w:rPr>
        <w:t xml:space="preserve"> </w:t>
      </w:r>
      <w:r>
        <w:rPr>
          <w:w w:val="110"/>
        </w:rPr>
        <w:t>conflict</w:t>
      </w:r>
      <w:r>
        <w:rPr>
          <w:spacing w:val="-11"/>
          <w:w w:val="110"/>
        </w:rPr>
        <w:t xml:space="preserve"> </w:t>
      </w:r>
      <w:r>
        <w:rPr>
          <w:w w:val="110"/>
        </w:rPr>
        <w:t>with</w:t>
      </w:r>
      <w:r>
        <w:rPr>
          <w:spacing w:val="-8"/>
          <w:w w:val="110"/>
        </w:rPr>
        <w:t xml:space="preserve"> </w:t>
      </w:r>
      <w:r>
        <w:rPr>
          <w:w w:val="110"/>
        </w:rPr>
        <w:t>obligations</w:t>
      </w:r>
      <w:r>
        <w:rPr>
          <w:spacing w:val="-7"/>
          <w:w w:val="110"/>
        </w:rPr>
        <w:t xml:space="preserve"> </w:t>
      </w:r>
      <w:r>
        <w:rPr>
          <w:w w:val="110"/>
        </w:rPr>
        <w:t>under</w:t>
      </w:r>
      <w:r>
        <w:rPr>
          <w:spacing w:val="-7"/>
          <w:w w:val="110"/>
        </w:rPr>
        <w:t xml:space="preserve"> </w:t>
      </w:r>
      <w:r>
        <w:rPr>
          <w:w w:val="110"/>
        </w:rPr>
        <w:t>national</w:t>
      </w:r>
      <w:r>
        <w:rPr>
          <w:spacing w:val="-7"/>
          <w:w w:val="110"/>
        </w:rPr>
        <w:t xml:space="preserve"> </w:t>
      </w:r>
      <w:r>
        <w:rPr>
          <w:w w:val="110"/>
        </w:rPr>
        <w:t>legislation</w:t>
      </w:r>
      <w:r>
        <w:rPr>
          <w:spacing w:val="-10"/>
          <w:w w:val="110"/>
        </w:rPr>
        <w:t xml:space="preserve"> </w:t>
      </w:r>
      <w:r>
        <w:rPr>
          <w:w w:val="110"/>
        </w:rPr>
        <w:t>(Cluster</w:t>
      </w:r>
      <w:r>
        <w:rPr>
          <w:spacing w:val="-9"/>
          <w:w w:val="110"/>
        </w:rPr>
        <w:t xml:space="preserve"> </w:t>
      </w:r>
      <w:r>
        <w:rPr>
          <w:w w:val="110"/>
        </w:rPr>
        <w:t>Munitions</w:t>
      </w:r>
      <w:r>
        <w:rPr>
          <w:spacing w:val="-7"/>
          <w:w w:val="110"/>
        </w:rPr>
        <w:t xml:space="preserve"> </w:t>
      </w:r>
      <w:r>
        <w:rPr>
          <w:w w:val="110"/>
        </w:rPr>
        <w:t>and Anti-Personnel Mine Act 2008)</w:t>
      </w:r>
    </w:p>
    <w:p w:rsidR="00B84CED" w:rsidRDefault="00794452" w14:paraId="06FE7948" w14:textId="77777777">
      <w:pPr>
        <w:pStyle w:val="ListParagraph"/>
        <w:numPr>
          <w:ilvl w:val="0"/>
          <w:numId w:val="2"/>
        </w:numPr>
        <w:tabs>
          <w:tab w:val="left" w:pos="939"/>
        </w:tabs>
        <w:spacing w:before="158"/>
        <w:ind w:hanging="362"/>
      </w:pPr>
      <w:r>
        <w:rPr>
          <w:w w:val="110"/>
        </w:rPr>
        <w:t>Potential</w:t>
      </w:r>
      <w:r>
        <w:rPr>
          <w:spacing w:val="-5"/>
          <w:w w:val="110"/>
        </w:rPr>
        <w:t xml:space="preserve"> </w:t>
      </w:r>
      <w:r>
        <w:rPr>
          <w:w w:val="110"/>
        </w:rPr>
        <w:t>breach</w:t>
      </w:r>
      <w:r>
        <w:rPr>
          <w:spacing w:val="-7"/>
          <w:w w:val="110"/>
        </w:rPr>
        <w:t xml:space="preserve"> </w:t>
      </w:r>
      <w:r>
        <w:rPr>
          <w:w w:val="110"/>
        </w:rPr>
        <w:t>of</w:t>
      </w:r>
      <w:r>
        <w:rPr>
          <w:spacing w:val="-6"/>
          <w:w w:val="110"/>
        </w:rPr>
        <w:t xml:space="preserve"> </w:t>
      </w:r>
      <w:r>
        <w:rPr>
          <w:w w:val="110"/>
        </w:rPr>
        <w:t>Article</w:t>
      </w:r>
      <w:r>
        <w:rPr>
          <w:spacing w:val="-3"/>
          <w:w w:val="110"/>
        </w:rPr>
        <w:t xml:space="preserve"> </w:t>
      </w:r>
      <w:r>
        <w:rPr>
          <w:w w:val="110"/>
        </w:rPr>
        <w:t>29</w:t>
      </w:r>
      <w:r>
        <w:rPr>
          <w:spacing w:val="-7"/>
          <w:w w:val="110"/>
        </w:rPr>
        <w:t xml:space="preserve"> </w:t>
      </w:r>
      <w:r>
        <w:rPr>
          <w:w w:val="110"/>
        </w:rPr>
        <w:t>of</w:t>
      </w:r>
      <w:r>
        <w:rPr>
          <w:spacing w:val="-6"/>
          <w:w w:val="110"/>
        </w:rPr>
        <w:t xml:space="preserve"> </w:t>
      </w:r>
      <w:r>
        <w:rPr>
          <w:w w:val="110"/>
        </w:rPr>
        <w:t>Bunreacht</w:t>
      </w:r>
      <w:r>
        <w:rPr>
          <w:spacing w:val="-5"/>
          <w:w w:val="110"/>
        </w:rPr>
        <w:t xml:space="preserve"> </w:t>
      </w:r>
      <w:r>
        <w:rPr>
          <w:w w:val="110"/>
        </w:rPr>
        <w:t>Na</w:t>
      </w:r>
      <w:r>
        <w:rPr>
          <w:spacing w:val="-6"/>
          <w:w w:val="110"/>
        </w:rPr>
        <w:t xml:space="preserve"> </w:t>
      </w:r>
      <w:r>
        <w:rPr>
          <w:w w:val="110"/>
        </w:rPr>
        <w:t>hÉireann</w:t>
      </w:r>
      <w:r>
        <w:rPr>
          <w:spacing w:val="-7"/>
          <w:w w:val="110"/>
        </w:rPr>
        <w:t xml:space="preserve"> </w:t>
      </w:r>
      <w:r>
        <w:rPr>
          <w:w w:val="110"/>
        </w:rPr>
        <w:t>(the</w:t>
      </w:r>
      <w:r>
        <w:rPr>
          <w:spacing w:val="-3"/>
          <w:w w:val="110"/>
        </w:rPr>
        <w:t xml:space="preserve"> </w:t>
      </w:r>
      <w:r>
        <w:rPr>
          <w:spacing w:val="-2"/>
          <w:w w:val="110"/>
        </w:rPr>
        <w:t>Constitution)</w:t>
      </w:r>
    </w:p>
    <w:p w:rsidR="00B84CED" w:rsidRDefault="00B84CED" w14:paraId="6B7F776D" w14:textId="77777777">
      <w:pPr>
        <w:pStyle w:val="BodyText"/>
        <w:spacing w:before="12"/>
      </w:pPr>
    </w:p>
    <w:p w:rsidR="00B84CED" w:rsidRDefault="00794452" w14:paraId="14157A40" w14:textId="77777777">
      <w:pPr>
        <w:pStyle w:val="ListParagraph"/>
        <w:numPr>
          <w:ilvl w:val="0"/>
          <w:numId w:val="2"/>
        </w:numPr>
        <w:tabs>
          <w:tab w:val="left" w:pos="939"/>
        </w:tabs>
        <w:spacing w:before="1" w:line="352" w:lineRule="auto"/>
        <w:ind w:right="1256"/>
      </w:pPr>
      <w:r>
        <w:rPr>
          <w:w w:val="110"/>
        </w:rPr>
        <w:t>Consequential</w:t>
      </w:r>
      <w:r>
        <w:rPr>
          <w:spacing w:val="-7"/>
          <w:w w:val="110"/>
        </w:rPr>
        <w:t xml:space="preserve"> </w:t>
      </w:r>
      <w:r>
        <w:rPr>
          <w:w w:val="110"/>
        </w:rPr>
        <w:t>impacts</w:t>
      </w:r>
      <w:r>
        <w:rPr>
          <w:spacing w:val="-4"/>
          <w:w w:val="110"/>
        </w:rPr>
        <w:t xml:space="preserve"> </w:t>
      </w:r>
      <w:r>
        <w:rPr>
          <w:w w:val="110"/>
        </w:rPr>
        <w:t>of</w:t>
      </w:r>
      <w:r>
        <w:rPr>
          <w:spacing w:val="-4"/>
          <w:w w:val="110"/>
        </w:rPr>
        <w:t xml:space="preserve"> </w:t>
      </w:r>
      <w:r>
        <w:rPr>
          <w:w w:val="110"/>
        </w:rPr>
        <w:t>the</w:t>
      </w:r>
      <w:r>
        <w:rPr>
          <w:spacing w:val="-3"/>
          <w:w w:val="110"/>
        </w:rPr>
        <w:t xml:space="preserve"> </w:t>
      </w:r>
      <w:r>
        <w:rPr>
          <w:w w:val="110"/>
        </w:rPr>
        <w:t>commitment</w:t>
      </w:r>
      <w:r>
        <w:rPr>
          <w:spacing w:val="-8"/>
          <w:w w:val="110"/>
        </w:rPr>
        <w:t xml:space="preserve"> </w:t>
      </w:r>
      <w:r>
        <w:rPr>
          <w:w w:val="110"/>
        </w:rPr>
        <w:t>towards</w:t>
      </w:r>
      <w:r>
        <w:rPr>
          <w:spacing w:val="-4"/>
          <w:w w:val="110"/>
        </w:rPr>
        <w:t xml:space="preserve"> </w:t>
      </w:r>
      <w:r>
        <w:rPr>
          <w:w w:val="110"/>
        </w:rPr>
        <w:t>increased</w:t>
      </w:r>
      <w:r>
        <w:rPr>
          <w:spacing w:val="-5"/>
          <w:w w:val="110"/>
        </w:rPr>
        <w:t xml:space="preserve"> </w:t>
      </w:r>
      <w:r>
        <w:rPr>
          <w:w w:val="110"/>
        </w:rPr>
        <w:t>military</w:t>
      </w:r>
      <w:r>
        <w:rPr>
          <w:spacing w:val="-7"/>
          <w:w w:val="110"/>
        </w:rPr>
        <w:t xml:space="preserve"> </w:t>
      </w:r>
      <w:r>
        <w:rPr>
          <w:w w:val="110"/>
        </w:rPr>
        <w:t>and defence spending by NATO member countries</w:t>
      </w:r>
    </w:p>
    <w:p w:rsidR="00B84CED" w:rsidRDefault="00794452" w14:paraId="16FFA139" w14:textId="77777777">
      <w:pPr>
        <w:pStyle w:val="ListParagraph"/>
        <w:numPr>
          <w:ilvl w:val="0"/>
          <w:numId w:val="2"/>
        </w:numPr>
        <w:tabs>
          <w:tab w:val="left" w:pos="939"/>
        </w:tabs>
        <w:spacing w:before="158"/>
        <w:ind w:hanging="362"/>
      </w:pPr>
      <w:r>
        <w:rPr>
          <w:w w:val="110"/>
        </w:rPr>
        <w:t>The</w:t>
      </w:r>
      <w:r>
        <w:rPr>
          <w:spacing w:val="-10"/>
          <w:w w:val="110"/>
        </w:rPr>
        <w:t xml:space="preserve"> </w:t>
      </w:r>
      <w:r>
        <w:rPr>
          <w:w w:val="110"/>
        </w:rPr>
        <w:t>environmental</w:t>
      </w:r>
      <w:r>
        <w:rPr>
          <w:spacing w:val="-7"/>
          <w:w w:val="110"/>
        </w:rPr>
        <w:t xml:space="preserve"> </w:t>
      </w:r>
      <w:r>
        <w:rPr>
          <w:w w:val="110"/>
        </w:rPr>
        <w:t>impacts</w:t>
      </w:r>
      <w:r>
        <w:rPr>
          <w:spacing w:val="-7"/>
          <w:w w:val="110"/>
        </w:rPr>
        <w:t xml:space="preserve"> </w:t>
      </w:r>
      <w:r>
        <w:rPr>
          <w:w w:val="110"/>
        </w:rPr>
        <w:t>flowing</w:t>
      </w:r>
      <w:r>
        <w:rPr>
          <w:spacing w:val="-7"/>
          <w:w w:val="110"/>
        </w:rPr>
        <w:t xml:space="preserve"> </w:t>
      </w:r>
      <w:r>
        <w:rPr>
          <w:w w:val="110"/>
        </w:rPr>
        <w:t>from</w:t>
      </w:r>
      <w:r>
        <w:rPr>
          <w:spacing w:val="-11"/>
          <w:w w:val="110"/>
        </w:rPr>
        <w:t xml:space="preserve"> </w:t>
      </w:r>
      <w:r>
        <w:rPr>
          <w:w w:val="110"/>
        </w:rPr>
        <w:t>increased</w:t>
      </w:r>
      <w:r>
        <w:rPr>
          <w:spacing w:val="-8"/>
          <w:w w:val="110"/>
        </w:rPr>
        <w:t xml:space="preserve"> </w:t>
      </w:r>
      <w:r>
        <w:rPr>
          <w:w w:val="110"/>
        </w:rPr>
        <w:t>military</w:t>
      </w:r>
      <w:r>
        <w:rPr>
          <w:spacing w:val="-7"/>
          <w:w w:val="110"/>
        </w:rPr>
        <w:t xml:space="preserve"> </w:t>
      </w:r>
      <w:r>
        <w:rPr>
          <w:w w:val="110"/>
        </w:rPr>
        <w:t>and</w:t>
      </w:r>
      <w:r>
        <w:rPr>
          <w:spacing w:val="-8"/>
          <w:w w:val="110"/>
        </w:rPr>
        <w:t xml:space="preserve"> </w:t>
      </w:r>
      <w:r>
        <w:rPr>
          <w:w w:val="110"/>
        </w:rPr>
        <w:t>defence</w:t>
      </w:r>
      <w:r>
        <w:rPr>
          <w:spacing w:val="-9"/>
          <w:w w:val="110"/>
        </w:rPr>
        <w:t xml:space="preserve"> </w:t>
      </w:r>
      <w:r>
        <w:rPr>
          <w:spacing w:val="-2"/>
          <w:w w:val="110"/>
        </w:rPr>
        <w:t>spending</w:t>
      </w:r>
    </w:p>
    <w:p w:rsidR="00B84CED" w:rsidRDefault="00B84CED" w14:paraId="67D8D57B" w14:textId="77777777">
      <w:pPr>
        <w:pStyle w:val="BodyText"/>
        <w:spacing w:before="68"/>
      </w:pPr>
    </w:p>
    <w:p w:rsidR="00B84CED" w:rsidRDefault="00794452" w14:paraId="0482BE5B" w14:textId="77777777">
      <w:pPr>
        <w:pStyle w:val="Heading2"/>
        <w:ind w:left="1"/>
        <w:jc w:val="both"/>
      </w:pPr>
      <w:bookmarkStart w:name="The_use_of_Article_122_of_the_TFEU" w:id="27"/>
      <w:bookmarkStart w:name="_bookmark11" w:id="28"/>
      <w:bookmarkEnd w:id="27"/>
      <w:bookmarkEnd w:id="28"/>
      <w:r>
        <w:rPr>
          <w:color w:val="3A5C66"/>
          <w:w w:val="110"/>
        </w:rPr>
        <w:t>The</w:t>
      </w:r>
      <w:r>
        <w:rPr>
          <w:color w:val="3A5C66"/>
          <w:spacing w:val="-3"/>
          <w:w w:val="110"/>
        </w:rPr>
        <w:t xml:space="preserve"> </w:t>
      </w:r>
      <w:r>
        <w:rPr>
          <w:color w:val="3A5C66"/>
          <w:w w:val="110"/>
        </w:rPr>
        <w:t>use</w:t>
      </w:r>
      <w:r>
        <w:rPr>
          <w:color w:val="3A5C66"/>
          <w:spacing w:val="-2"/>
          <w:w w:val="110"/>
        </w:rPr>
        <w:t xml:space="preserve"> </w:t>
      </w:r>
      <w:r>
        <w:rPr>
          <w:color w:val="3A5C66"/>
          <w:w w:val="110"/>
        </w:rPr>
        <w:t>of</w:t>
      </w:r>
      <w:r>
        <w:rPr>
          <w:color w:val="3A5C66"/>
          <w:spacing w:val="-1"/>
          <w:w w:val="110"/>
        </w:rPr>
        <w:t xml:space="preserve"> </w:t>
      </w:r>
      <w:r>
        <w:rPr>
          <w:color w:val="3A5C66"/>
          <w:w w:val="110"/>
        </w:rPr>
        <w:t>Article</w:t>
      </w:r>
      <w:r>
        <w:rPr>
          <w:color w:val="3A5C66"/>
          <w:spacing w:val="-2"/>
          <w:w w:val="110"/>
        </w:rPr>
        <w:t xml:space="preserve"> </w:t>
      </w:r>
      <w:r>
        <w:rPr>
          <w:color w:val="3A5C66"/>
          <w:w w:val="110"/>
        </w:rPr>
        <w:t>122 of</w:t>
      </w:r>
      <w:r>
        <w:rPr>
          <w:color w:val="3A5C66"/>
          <w:spacing w:val="-2"/>
          <w:w w:val="110"/>
        </w:rPr>
        <w:t xml:space="preserve"> </w:t>
      </w:r>
      <w:r>
        <w:rPr>
          <w:color w:val="3A5C66"/>
          <w:w w:val="110"/>
        </w:rPr>
        <w:t>the</w:t>
      </w:r>
      <w:r>
        <w:rPr>
          <w:color w:val="3A5C66"/>
          <w:spacing w:val="-2"/>
          <w:w w:val="110"/>
        </w:rPr>
        <w:t xml:space="preserve"> </w:t>
      </w:r>
      <w:r>
        <w:rPr>
          <w:color w:val="3A5C66"/>
          <w:spacing w:val="-4"/>
          <w:w w:val="110"/>
        </w:rPr>
        <w:t>TFEU</w:t>
      </w:r>
    </w:p>
    <w:p w:rsidR="00B84CED" w:rsidRDefault="00794452" w14:paraId="26CD6767" w14:textId="77777777">
      <w:pPr>
        <w:pStyle w:val="BodyText"/>
        <w:spacing w:before="124" w:line="357" w:lineRule="auto"/>
        <w:ind w:left="219" w:right="853"/>
        <w:jc w:val="both"/>
      </w:pPr>
      <w:r>
        <w:rPr>
          <w:w w:val="110"/>
        </w:rPr>
        <w:t>The</w:t>
      </w:r>
      <w:r>
        <w:rPr>
          <w:spacing w:val="-3"/>
          <w:w w:val="110"/>
        </w:rPr>
        <w:t xml:space="preserve"> </w:t>
      </w:r>
      <w:r>
        <w:rPr>
          <w:w w:val="110"/>
        </w:rPr>
        <w:t>submission</w:t>
      </w:r>
      <w:r>
        <w:rPr>
          <w:spacing w:val="-4"/>
          <w:w w:val="110"/>
        </w:rPr>
        <w:t xml:space="preserve"> </w:t>
      </w:r>
      <w:r>
        <w:rPr>
          <w:w w:val="110"/>
        </w:rPr>
        <w:t>received</w:t>
      </w:r>
      <w:r>
        <w:rPr>
          <w:spacing w:val="-5"/>
          <w:w w:val="110"/>
        </w:rPr>
        <w:t xml:space="preserve"> </w:t>
      </w:r>
      <w:r>
        <w:rPr>
          <w:w w:val="110"/>
        </w:rPr>
        <w:t>from</w:t>
      </w:r>
      <w:r>
        <w:rPr>
          <w:spacing w:val="-2"/>
          <w:w w:val="110"/>
        </w:rPr>
        <w:t xml:space="preserve"> </w:t>
      </w:r>
      <w:r>
        <w:rPr>
          <w:w w:val="110"/>
        </w:rPr>
        <w:t>the</w:t>
      </w:r>
      <w:r>
        <w:rPr>
          <w:spacing w:val="-3"/>
          <w:w w:val="110"/>
        </w:rPr>
        <w:t xml:space="preserve"> </w:t>
      </w:r>
      <w:r>
        <w:rPr>
          <w:w w:val="110"/>
        </w:rPr>
        <w:t>National</w:t>
      </w:r>
      <w:r>
        <w:rPr>
          <w:spacing w:val="-2"/>
          <w:w w:val="110"/>
        </w:rPr>
        <w:t xml:space="preserve"> </w:t>
      </w:r>
      <w:r>
        <w:rPr>
          <w:w w:val="110"/>
        </w:rPr>
        <w:t>Platform</w:t>
      </w:r>
      <w:r>
        <w:rPr>
          <w:spacing w:val="-2"/>
          <w:w w:val="110"/>
        </w:rPr>
        <w:t xml:space="preserve"> </w:t>
      </w:r>
      <w:r>
        <w:rPr>
          <w:w w:val="110"/>
        </w:rPr>
        <w:t>for</w:t>
      </w:r>
      <w:r>
        <w:rPr>
          <w:spacing w:val="-3"/>
          <w:w w:val="110"/>
        </w:rPr>
        <w:t xml:space="preserve"> </w:t>
      </w:r>
      <w:r>
        <w:rPr>
          <w:w w:val="110"/>
        </w:rPr>
        <w:t>EU</w:t>
      </w:r>
      <w:r>
        <w:rPr>
          <w:spacing w:val="-2"/>
          <w:w w:val="110"/>
        </w:rPr>
        <w:t xml:space="preserve"> </w:t>
      </w:r>
      <w:r>
        <w:rPr>
          <w:w w:val="110"/>
        </w:rPr>
        <w:t>Research</w:t>
      </w:r>
      <w:r>
        <w:rPr>
          <w:spacing w:val="-2"/>
          <w:w w:val="110"/>
        </w:rPr>
        <w:t xml:space="preserve"> </w:t>
      </w:r>
      <w:r>
        <w:rPr>
          <w:w w:val="110"/>
        </w:rPr>
        <w:t>and</w:t>
      </w:r>
      <w:r>
        <w:rPr>
          <w:spacing w:val="-5"/>
          <w:w w:val="110"/>
        </w:rPr>
        <w:t xml:space="preserve"> </w:t>
      </w:r>
      <w:r>
        <w:rPr>
          <w:w w:val="110"/>
        </w:rPr>
        <w:t>Information Centre refers to</w:t>
      </w:r>
      <w:r>
        <w:rPr>
          <w:spacing w:val="-1"/>
          <w:w w:val="110"/>
        </w:rPr>
        <w:t xml:space="preserve"> </w:t>
      </w:r>
      <w:r>
        <w:rPr>
          <w:w w:val="110"/>
        </w:rPr>
        <w:t>the</w:t>
      </w:r>
      <w:r>
        <w:rPr>
          <w:spacing w:val="-1"/>
          <w:w w:val="110"/>
        </w:rPr>
        <w:t xml:space="preserve"> </w:t>
      </w:r>
      <w:r>
        <w:rPr>
          <w:w w:val="110"/>
        </w:rPr>
        <w:t>use</w:t>
      </w:r>
      <w:r>
        <w:rPr>
          <w:spacing w:val="-1"/>
          <w:w w:val="110"/>
        </w:rPr>
        <w:t xml:space="preserve"> </w:t>
      </w:r>
      <w:r>
        <w:rPr>
          <w:w w:val="110"/>
        </w:rPr>
        <w:t>of</w:t>
      </w:r>
      <w:r>
        <w:rPr>
          <w:spacing w:val="-1"/>
          <w:w w:val="110"/>
        </w:rPr>
        <w:t xml:space="preserve"> </w:t>
      </w:r>
      <w:r>
        <w:rPr>
          <w:w w:val="110"/>
        </w:rPr>
        <w:t>Article</w:t>
      </w:r>
      <w:r>
        <w:rPr>
          <w:spacing w:val="-1"/>
          <w:w w:val="110"/>
        </w:rPr>
        <w:t xml:space="preserve"> </w:t>
      </w:r>
      <w:r>
        <w:rPr>
          <w:w w:val="110"/>
        </w:rPr>
        <w:t>122</w:t>
      </w:r>
      <w:r>
        <w:rPr>
          <w:spacing w:val="-2"/>
          <w:w w:val="110"/>
        </w:rPr>
        <w:t xml:space="preserve"> </w:t>
      </w:r>
      <w:r>
        <w:rPr>
          <w:w w:val="110"/>
        </w:rPr>
        <w:t>of</w:t>
      </w:r>
      <w:r>
        <w:rPr>
          <w:spacing w:val="-1"/>
          <w:w w:val="110"/>
        </w:rPr>
        <w:t xml:space="preserve"> </w:t>
      </w:r>
      <w:r>
        <w:rPr>
          <w:w w:val="110"/>
        </w:rPr>
        <w:t>the</w:t>
      </w:r>
      <w:r>
        <w:rPr>
          <w:spacing w:val="-1"/>
          <w:w w:val="110"/>
        </w:rPr>
        <w:t xml:space="preserve"> </w:t>
      </w:r>
      <w:r>
        <w:rPr>
          <w:w w:val="110"/>
        </w:rPr>
        <w:t>TFEU</w:t>
      </w:r>
      <w:hyperlink w:history="1" w:anchor="_bookmark13">
        <w:r>
          <w:rPr>
            <w:w w:val="110"/>
            <w:position w:val="8"/>
            <w:sz w:val="13"/>
          </w:rPr>
          <w:t>5</w:t>
        </w:r>
      </w:hyperlink>
      <w:r>
        <w:rPr>
          <w:spacing w:val="23"/>
          <w:w w:val="110"/>
          <w:position w:val="8"/>
          <w:sz w:val="13"/>
        </w:rPr>
        <w:t xml:space="preserve"> </w:t>
      </w:r>
      <w:r>
        <w:rPr>
          <w:w w:val="110"/>
        </w:rPr>
        <w:t>to underpin this proposal which</w:t>
      </w:r>
      <w:r>
        <w:rPr>
          <w:spacing w:val="-2"/>
          <w:w w:val="110"/>
        </w:rPr>
        <w:t xml:space="preserve"> </w:t>
      </w:r>
      <w:r>
        <w:rPr>
          <w:w w:val="110"/>
        </w:rPr>
        <w:t>is intended for allowing expenditure in specific and limited circumstances:</w:t>
      </w:r>
    </w:p>
    <w:p w:rsidR="00B84CED" w:rsidRDefault="00B84CED" w14:paraId="310492B1" w14:textId="77777777">
      <w:pPr>
        <w:pStyle w:val="BodyText"/>
        <w:rPr>
          <w:sz w:val="20"/>
        </w:rPr>
      </w:pPr>
    </w:p>
    <w:p w:rsidR="00B84CED" w:rsidRDefault="00794452" w14:paraId="177C5397" w14:textId="77777777">
      <w:pPr>
        <w:pStyle w:val="BodyText"/>
        <w:spacing w:before="6"/>
        <w:rPr>
          <w:sz w:val="20"/>
        </w:rPr>
      </w:pPr>
      <w:r>
        <w:rPr>
          <w:noProof/>
          <w:sz w:val="20"/>
        </w:rPr>
        <mc:AlternateContent>
          <mc:Choice Requires="wps">
            <w:drawing>
              <wp:anchor distT="0" distB="0" distL="0" distR="0" simplePos="0" relativeHeight="487590912" behindDoc="1" locked="0" layoutInCell="1" allowOverlap="1" wp14:editId="2F0DFD89" wp14:anchorId="742E4B5C">
                <wp:simplePos x="0" y="0"/>
                <wp:positionH relativeFrom="page">
                  <wp:posOffset>900683</wp:posOffset>
                </wp:positionH>
                <wp:positionV relativeFrom="paragraph">
                  <wp:posOffset>174663</wp:posOffset>
                </wp:positionV>
                <wp:extent cx="1828800" cy="9525"/>
                <wp:effectExtent l="0" t="0" r="0" b="0"/>
                <wp:wrapTopAndBottom/>
                <wp:docPr id="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48" style="position:absolute;margin-left:70.9pt;margin-top:13.75pt;width:2in;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3r1828800,l1828800,xe" w14:anchorId="6B854C65">
                <v:path arrowok="t"/>
                <w10:wrap type="topAndBottom" anchorx="page"/>
              </v:shape>
            </w:pict>
          </mc:Fallback>
        </mc:AlternateContent>
      </w:r>
    </w:p>
    <w:p w:rsidR="00B84CED" w:rsidRDefault="00794452" w14:paraId="179F7FAE" w14:textId="77777777">
      <w:pPr>
        <w:spacing w:before="123"/>
        <w:ind w:left="1"/>
        <w:rPr>
          <w:sz w:val="16"/>
        </w:rPr>
      </w:pPr>
      <w:bookmarkStart w:name="_bookmark12" w:id="29"/>
      <w:bookmarkEnd w:id="29"/>
      <w:r>
        <w:rPr>
          <w:w w:val="110"/>
          <w:position w:val="6"/>
          <w:sz w:val="10"/>
        </w:rPr>
        <w:t>4</w:t>
      </w:r>
      <w:r>
        <w:rPr>
          <w:spacing w:val="1"/>
          <w:w w:val="110"/>
          <w:position w:val="6"/>
          <w:sz w:val="10"/>
        </w:rPr>
        <w:t xml:space="preserve"> </w:t>
      </w:r>
      <w:hyperlink r:id="rId23">
        <w:r>
          <w:rPr>
            <w:color w:val="0000FF"/>
            <w:w w:val="110"/>
            <w:sz w:val="16"/>
            <w:u w:val="single" w:color="0000FF"/>
          </w:rPr>
          <w:t>https://ipexl.europarl.europa.eu/IPEXL-WEB/document/COM-2025-</w:t>
        </w:r>
        <w:r>
          <w:rPr>
            <w:color w:val="0000FF"/>
            <w:spacing w:val="-4"/>
            <w:w w:val="110"/>
            <w:sz w:val="16"/>
            <w:u w:val="single" w:color="0000FF"/>
          </w:rPr>
          <w:t>0122</w:t>
        </w:r>
      </w:hyperlink>
    </w:p>
    <w:p w:rsidR="00B84CED" w:rsidRDefault="00B84CED" w14:paraId="5CF1F60C" w14:textId="77777777">
      <w:pPr>
        <w:pStyle w:val="BodyText"/>
        <w:spacing w:before="21"/>
        <w:rPr>
          <w:sz w:val="16"/>
        </w:rPr>
      </w:pPr>
    </w:p>
    <w:p w:rsidR="00B84CED" w:rsidRDefault="00794452" w14:paraId="49792145" w14:textId="77777777">
      <w:pPr>
        <w:spacing w:before="1"/>
        <w:ind w:left="1"/>
        <w:rPr>
          <w:sz w:val="16"/>
        </w:rPr>
      </w:pPr>
      <w:bookmarkStart w:name="_bookmark13" w:id="30"/>
      <w:bookmarkEnd w:id="30"/>
      <w:r>
        <w:rPr>
          <w:spacing w:val="-2"/>
          <w:w w:val="120"/>
          <w:position w:val="6"/>
          <w:sz w:val="10"/>
        </w:rPr>
        <w:t>5</w:t>
      </w:r>
      <w:r>
        <w:rPr>
          <w:spacing w:val="10"/>
          <w:w w:val="120"/>
          <w:position w:val="6"/>
          <w:sz w:val="10"/>
        </w:rPr>
        <w:t xml:space="preserve"> </w:t>
      </w:r>
      <w:hyperlink r:id="rId24">
        <w:r>
          <w:rPr>
            <w:color w:val="0000FF"/>
            <w:spacing w:val="-2"/>
            <w:w w:val="120"/>
            <w:sz w:val="16"/>
            <w:u w:val="single" w:color="0000FF"/>
          </w:rPr>
          <w:t>EUR-Lex</w:t>
        </w:r>
        <w:r>
          <w:rPr>
            <w:color w:val="0000FF"/>
            <w:spacing w:val="-8"/>
            <w:w w:val="120"/>
            <w:sz w:val="16"/>
            <w:u w:val="single" w:color="0000FF"/>
          </w:rPr>
          <w:t xml:space="preserve"> </w:t>
        </w:r>
        <w:r>
          <w:rPr>
            <w:color w:val="0000FF"/>
            <w:spacing w:val="-2"/>
            <w:w w:val="120"/>
            <w:sz w:val="16"/>
            <w:u w:val="single" w:color="0000FF"/>
          </w:rPr>
          <w:t>-</w:t>
        </w:r>
        <w:r>
          <w:rPr>
            <w:color w:val="0000FF"/>
            <w:spacing w:val="-5"/>
            <w:w w:val="120"/>
            <w:sz w:val="16"/>
            <w:u w:val="single" w:color="0000FF"/>
          </w:rPr>
          <w:t xml:space="preserve"> </w:t>
        </w:r>
        <w:r>
          <w:rPr>
            <w:color w:val="0000FF"/>
            <w:spacing w:val="-2"/>
            <w:w w:val="120"/>
            <w:sz w:val="16"/>
            <w:u w:val="single" w:color="0000FF"/>
          </w:rPr>
          <w:t>12008E122</w:t>
        </w:r>
        <w:r>
          <w:rPr>
            <w:color w:val="0000FF"/>
            <w:spacing w:val="-7"/>
            <w:w w:val="120"/>
            <w:sz w:val="16"/>
            <w:u w:val="single" w:color="0000FF"/>
          </w:rPr>
          <w:t xml:space="preserve"> </w:t>
        </w:r>
        <w:r>
          <w:rPr>
            <w:color w:val="0000FF"/>
            <w:spacing w:val="-2"/>
            <w:w w:val="120"/>
            <w:sz w:val="16"/>
            <w:u w:val="single" w:color="0000FF"/>
          </w:rPr>
          <w:t>-</w:t>
        </w:r>
        <w:r>
          <w:rPr>
            <w:color w:val="0000FF"/>
            <w:spacing w:val="-5"/>
            <w:w w:val="120"/>
            <w:sz w:val="16"/>
            <w:u w:val="single" w:color="0000FF"/>
          </w:rPr>
          <w:t xml:space="preserve"> EN</w:t>
        </w:r>
      </w:hyperlink>
    </w:p>
    <w:p w:rsidR="00B84CED" w:rsidRDefault="00B84CED" w14:paraId="46FE3805" w14:textId="77777777">
      <w:pPr>
        <w:rPr>
          <w:sz w:val="16"/>
        </w:rPr>
        <w:sectPr w:rsidR="00B84CED" w:rsidSect="00196DB0">
          <w:footerReference w:type="even" r:id="Rb964f5830f1d4f6b"/>
          <w:footerReference w:type="first" r:id="R98eb0125f98e4de1"/>
          <w:headerReference w:type="even" r:id="Rc4281985b953485f"/>
          <w:headerReference w:type="first" r:id="Rb708a7415a7c43bf"/>
          <w:pgSz w:w="11907" w:h="16839"/>
          <w:pgMar w:top="1134" w:right="1134" w:bottom="1134" w:left="1134" w:header="567" w:footer="567" w:gutter="0"/>
          <w:cols w:space="720"/>
          <w:docGrid w:linePitch="299"/>
        </w:sectPr>
      </w:pPr>
    </w:p>
    <w:p w:rsidR="00B84CED" w:rsidRDefault="00794452" w14:paraId="21B7FD7F" w14:textId="77777777">
      <w:pPr>
        <w:spacing w:before="109" w:line="357" w:lineRule="auto"/>
        <w:ind w:left="721" w:right="293"/>
        <w:rPr>
          <w:i/>
        </w:rPr>
      </w:pPr>
      <w:r>
        <w:rPr>
          <w:i/>
          <w:w w:val="110"/>
        </w:rPr>
        <w:lastRenderedPageBreak/>
        <w:t>“1.</w:t>
      </w:r>
      <w:r>
        <w:rPr>
          <w:i/>
          <w:spacing w:val="-13"/>
          <w:w w:val="110"/>
        </w:rPr>
        <w:t xml:space="preserve"> </w:t>
      </w:r>
      <w:r>
        <w:rPr>
          <w:i/>
          <w:w w:val="110"/>
        </w:rPr>
        <w:t>Without</w:t>
      </w:r>
      <w:r>
        <w:rPr>
          <w:i/>
          <w:spacing w:val="-14"/>
          <w:w w:val="110"/>
        </w:rPr>
        <w:t xml:space="preserve"> </w:t>
      </w:r>
      <w:r>
        <w:rPr>
          <w:i/>
          <w:w w:val="110"/>
        </w:rPr>
        <w:t>prejudice</w:t>
      </w:r>
      <w:r>
        <w:rPr>
          <w:i/>
          <w:spacing w:val="-13"/>
          <w:w w:val="110"/>
        </w:rPr>
        <w:t xml:space="preserve"> </w:t>
      </w:r>
      <w:r>
        <w:rPr>
          <w:i/>
          <w:w w:val="110"/>
        </w:rPr>
        <w:t>to</w:t>
      </w:r>
      <w:r>
        <w:rPr>
          <w:i/>
          <w:spacing w:val="-13"/>
          <w:w w:val="110"/>
        </w:rPr>
        <w:t xml:space="preserve"> </w:t>
      </w:r>
      <w:r>
        <w:rPr>
          <w:i/>
          <w:w w:val="110"/>
        </w:rPr>
        <w:t>any</w:t>
      </w:r>
      <w:r>
        <w:rPr>
          <w:i/>
          <w:spacing w:val="-13"/>
          <w:w w:val="110"/>
        </w:rPr>
        <w:t xml:space="preserve"> </w:t>
      </w:r>
      <w:r>
        <w:rPr>
          <w:i/>
          <w:w w:val="110"/>
        </w:rPr>
        <w:t>other</w:t>
      </w:r>
      <w:r>
        <w:rPr>
          <w:i/>
          <w:spacing w:val="-13"/>
          <w:w w:val="110"/>
        </w:rPr>
        <w:t xml:space="preserve"> </w:t>
      </w:r>
      <w:r>
        <w:rPr>
          <w:i/>
          <w:w w:val="110"/>
        </w:rPr>
        <w:t>procedures</w:t>
      </w:r>
      <w:r>
        <w:rPr>
          <w:i/>
          <w:spacing w:val="-14"/>
          <w:w w:val="110"/>
        </w:rPr>
        <w:t xml:space="preserve"> </w:t>
      </w:r>
      <w:r>
        <w:rPr>
          <w:i/>
          <w:w w:val="110"/>
        </w:rPr>
        <w:t>provided</w:t>
      </w:r>
      <w:r>
        <w:rPr>
          <w:i/>
          <w:spacing w:val="-11"/>
          <w:w w:val="110"/>
        </w:rPr>
        <w:t xml:space="preserve"> </w:t>
      </w:r>
      <w:r>
        <w:rPr>
          <w:i/>
          <w:w w:val="110"/>
        </w:rPr>
        <w:t>for</w:t>
      </w:r>
      <w:r>
        <w:rPr>
          <w:i/>
          <w:spacing w:val="-10"/>
          <w:w w:val="110"/>
        </w:rPr>
        <w:t xml:space="preserve"> </w:t>
      </w:r>
      <w:r>
        <w:rPr>
          <w:i/>
          <w:w w:val="110"/>
        </w:rPr>
        <w:t>in</w:t>
      </w:r>
      <w:r>
        <w:rPr>
          <w:i/>
          <w:spacing w:val="-11"/>
          <w:w w:val="110"/>
        </w:rPr>
        <w:t xml:space="preserve"> </w:t>
      </w:r>
      <w:r>
        <w:rPr>
          <w:i/>
          <w:w w:val="110"/>
        </w:rPr>
        <w:t>the</w:t>
      </w:r>
      <w:r>
        <w:rPr>
          <w:i/>
          <w:spacing w:val="-11"/>
          <w:w w:val="110"/>
        </w:rPr>
        <w:t xml:space="preserve"> </w:t>
      </w:r>
      <w:r>
        <w:rPr>
          <w:i/>
          <w:w w:val="110"/>
        </w:rPr>
        <w:t>Treaties,</w:t>
      </w:r>
      <w:r>
        <w:rPr>
          <w:i/>
          <w:spacing w:val="-12"/>
          <w:w w:val="110"/>
        </w:rPr>
        <w:t xml:space="preserve"> </w:t>
      </w:r>
      <w:r>
        <w:rPr>
          <w:i/>
          <w:w w:val="110"/>
        </w:rPr>
        <w:t>the</w:t>
      </w:r>
      <w:r>
        <w:rPr>
          <w:i/>
          <w:spacing w:val="-11"/>
          <w:w w:val="110"/>
        </w:rPr>
        <w:t xml:space="preserve"> </w:t>
      </w:r>
      <w:r>
        <w:rPr>
          <w:i/>
          <w:w w:val="110"/>
        </w:rPr>
        <w:t>Council, on a proposal from the Commission, may decide, in a spirit of solidarity between Member States, upon</w:t>
      </w:r>
      <w:r>
        <w:rPr>
          <w:i/>
          <w:spacing w:val="-1"/>
          <w:w w:val="110"/>
        </w:rPr>
        <w:t xml:space="preserve"> </w:t>
      </w:r>
      <w:r>
        <w:rPr>
          <w:i/>
          <w:w w:val="110"/>
        </w:rPr>
        <w:t>the</w:t>
      </w:r>
      <w:r>
        <w:rPr>
          <w:i/>
          <w:spacing w:val="-1"/>
          <w:w w:val="110"/>
        </w:rPr>
        <w:t xml:space="preserve"> </w:t>
      </w:r>
      <w:r>
        <w:rPr>
          <w:i/>
          <w:w w:val="110"/>
        </w:rPr>
        <w:t>measures</w:t>
      </w:r>
      <w:r>
        <w:rPr>
          <w:i/>
          <w:spacing w:val="-2"/>
          <w:w w:val="110"/>
        </w:rPr>
        <w:t xml:space="preserve"> </w:t>
      </w:r>
      <w:r>
        <w:rPr>
          <w:i/>
          <w:w w:val="110"/>
        </w:rPr>
        <w:t>appropriate to the economic situation, in particular if severe difficulties arise in the supply of certain products, notably in the field of energy.</w:t>
      </w:r>
    </w:p>
    <w:p w:rsidR="00B84CED" w:rsidRDefault="00794452" w14:paraId="2A84B745" w14:textId="77777777">
      <w:pPr>
        <w:spacing w:before="161" w:line="357" w:lineRule="auto"/>
        <w:ind w:left="721" w:right="450"/>
        <w:rPr>
          <w:i/>
        </w:rPr>
      </w:pPr>
      <w:r>
        <w:rPr>
          <w:i/>
          <w:w w:val="110"/>
        </w:rPr>
        <w:t>2. Where</w:t>
      </w:r>
      <w:r>
        <w:rPr>
          <w:i/>
          <w:spacing w:val="-2"/>
          <w:w w:val="110"/>
        </w:rPr>
        <w:t xml:space="preserve"> </w:t>
      </w:r>
      <w:r>
        <w:rPr>
          <w:i/>
          <w:w w:val="110"/>
        </w:rPr>
        <w:t>a</w:t>
      </w:r>
      <w:r>
        <w:rPr>
          <w:i/>
          <w:spacing w:val="-1"/>
          <w:w w:val="110"/>
        </w:rPr>
        <w:t xml:space="preserve"> </w:t>
      </w:r>
      <w:r>
        <w:rPr>
          <w:i/>
          <w:w w:val="110"/>
        </w:rPr>
        <w:t>Member State</w:t>
      </w:r>
      <w:r>
        <w:rPr>
          <w:i/>
          <w:spacing w:val="-2"/>
          <w:w w:val="110"/>
        </w:rPr>
        <w:t xml:space="preserve"> </w:t>
      </w:r>
      <w:r>
        <w:rPr>
          <w:i/>
          <w:w w:val="110"/>
        </w:rPr>
        <w:t>is in difficulties</w:t>
      </w:r>
      <w:r>
        <w:rPr>
          <w:i/>
          <w:spacing w:val="-3"/>
          <w:w w:val="110"/>
        </w:rPr>
        <w:t xml:space="preserve"> </w:t>
      </w:r>
      <w:r>
        <w:rPr>
          <w:i/>
          <w:w w:val="110"/>
        </w:rPr>
        <w:t>or</w:t>
      </w:r>
      <w:r>
        <w:rPr>
          <w:i/>
          <w:spacing w:val="-1"/>
          <w:w w:val="110"/>
        </w:rPr>
        <w:t xml:space="preserve"> </w:t>
      </w:r>
      <w:r>
        <w:rPr>
          <w:i/>
          <w:w w:val="110"/>
        </w:rPr>
        <w:t>is seriously</w:t>
      </w:r>
      <w:r>
        <w:rPr>
          <w:i/>
          <w:spacing w:val="-1"/>
          <w:w w:val="110"/>
        </w:rPr>
        <w:t xml:space="preserve"> </w:t>
      </w:r>
      <w:r>
        <w:rPr>
          <w:i/>
          <w:w w:val="110"/>
        </w:rPr>
        <w:t>threatened with severe difficulties caused</w:t>
      </w:r>
      <w:r>
        <w:rPr>
          <w:i/>
          <w:spacing w:val="-1"/>
          <w:w w:val="110"/>
        </w:rPr>
        <w:t xml:space="preserve"> </w:t>
      </w:r>
      <w:r>
        <w:rPr>
          <w:i/>
          <w:w w:val="110"/>
        </w:rPr>
        <w:t>by natural disasters</w:t>
      </w:r>
      <w:r>
        <w:rPr>
          <w:i/>
          <w:spacing w:val="-3"/>
          <w:w w:val="110"/>
        </w:rPr>
        <w:t xml:space="preserve"> </w:t>
      </w:r>
      <w:r>
        <w:rPr>
          <w:i/>
          <w:w w:val="110"/>
        </w:rPr>
        <w:t>or</w:t>
      </w:r>
      <w:r>
        <w:rPr>
          <w:i/>
          <w:spacing w:val="-1"/>
          <w:w w:val="110"/>
        </w:rPr>
        <w:t xml:space="preserve"> </w:t>
      </w:r>
      <w:r>
        <w:rPr>
          <w:i/>
          <w:w w:val="110"/>
        </w:rPr>
        <w:t>exceptional</w:t>
      </w:r>
      <w:r>
        <w:rPr>
          <w:i/>
          <w:spacing w:val="-3"/>
          <w:w w:val="110"/>
        </w:rPr>
        <w:t xml:space="preserve"> </w:t>
      </w:r>
      <w:r>
        <w:rPr>
          <w:i/>
          <w:w w:val="110"/>
        </w:rPr>
        <w:t>occurrences beyond</w:t>
      </w:r>
      <w:r>
        <w:rPr>
          <w:i/>
          <w:spacing w:val="-1"/>
          <w:w w:val="110"/>
        </w:rPr>
        <w:t xml:space="preserve"> </w:t>
      </w:r>
      <w:r>
        <w:rPr>
          <w:i/>
          <w:w w:val="110"/>
        </w:rPr>
        <w:t>its control, the</w:t>
      </w:r>
      <w:r>
        <w:rPr>
          <w:i/>
          <w:spacing w:val="-7"/>
          <w:w w:val="110"/>
        </w:rPr>
        <w:t xml:space="preserve"> </w:t>
      </w:r>
      <w:r>
        <w:rPr>
          <w:i/>
          <w:w w:val="110"/>
        </w:rPr>
        <w:t>Council,</w:t>
      </w:r>
      <w:r>
        <w:rPr>
          <w:i/>
          <w:spacing w:val="-8"/>
          <w:w w:val="110"/>
        </w:rPr>
        <w:t xml:space="preserve"> </w:t>
      </w:r>
      <w:r>
        <w:rPr>
          <w:i/>
          <w:w w:val="110"/>
        </w:rPr>
        <w:t>on</w:t>
      </w:r>
      <w:r>
        <w:rPr>
          <w:i/>
          <w:spacing w:val="-10"/>
          <w:w w:val="110"/>
        </w:rPr>
        <w:t xml:space="preserve"> </w:t>
      </w:r>
      <w:r>
        <w:rPr>
          <w:i/>
          <w:w w:val="110"/>
        </w:rPr>
        <w:t>a</w:t>
      </w:r>
      <w:r>
        <w:rPr>
          <w:i/>
          <w:spacing w:val="-9"/>
          <w:w w:val="110"/>
        </w:rPr>
        <w:t xml:space="preserve"> </w:t>
      </w:r>
      <w:r>
        <w:rPr>
          <w:i/>
          <w:w w:val="110"/>
        </w:rPr>
        <w:t>proposal</w:t>
      </w:r>
      <w:r>
        <w:rPr>
          <w:i/>
          <w:spacing w:val="-8"/>
          <w:w w:val="110"/>
        </w:rPr>
        <w:t xml:space="preserve"> </w:t>
      </w:r>
      <w:r>
        <w:rPr>
          <w:i/>
          <w:w w:val="110"/>
        </w:rPr>
        <w:t>from</w:t>
      </w:r>
      <w:r>
        <w:rPr>
          <w:i/>
          <w:spacing w:val="-7"/>
          <w:w w:val="110"/>
        </w:rPr>
        <w:t xml:space="preserve"> </w:t>
      </w:r>
      <w:r>
        <w:rPr>
          <w:i/>
          <w:w w:val="110"/>
        </w:rPr>
        <w:t>the</w:t>
      </w:r>
      <w:r>
        <w:rPr>
          <w:i/>
          <w:spacing w:val="-10"/>
          <w:w w:val="110"/>
        </w:rPr>
        <w:t xml:space="preserve"> </w:t>
      </w:r>
      <w:r>
        <w:rPr>
          <w:i/>
          <w:w w:val="110"/>
        </w:rPr>
        <w:t>Commission,</w:t>
      </w:r>
      <w:r>
        <w:rPr>
          <w:i/>
          <w:spacing w:val="-10"/>
          <w:w w:val="110"/>
        </w:rPr>
        <w:t xml:space="preserve"> </w:t>
      </w:r>
      <w:r>
        <w:rPr>
          <w:i/>
          <w:w w:val="110"/>
        </w:rPr>
        <w:t>may</w:t>
      </w:r>
      <w:r>
        <w:rPr>
          <w:i/>
          <w:spacing w:val="-9"/>
          <w:w w:val="110"/>
        </w:rPr>
        <w:t xml:space="preserve"> </w:t>
      </w:r>
      <w:r>
        <w:rPr>
          <w:i/>
          <w:w w:val="110"/>
        </w:rPr>
        <w:t>grant,</w:t>
      </w:r>
      <w:r>
        <w:rPr>
          <w:i/>
          <w:spacing w:val="-8"/>
          <w:w w:val="110"/>
        </w:rPr>
        <w:t xml:space="preserve"> </w:t>
      </w:r>
      <w:r>
        <w:rPr>
          <w:i/>
          <w:w w:val="110"/>
        </w:rPr>
        <w:t>under</w:t>
      </w:r>
      <w:r>
        <w:rPr>
          <w:i/>
          <w:spacing w:val="-7"/>
          <w:w w:val="110"/>
        </w:rPr>
        <w:t xml:space="preserve"> </w:t>
      </w:r>
      <w:r>
        <w:rPr>
          <w:i/>
          <w:w w:val="110"/>
        </w:rPr>
        <w:t>certain</w:t>
      </w:r>
      <w:r>
        <w:rPr>
          <w:i/>
          <w:spacing w:val="-12"/>
          <w:w w:val="110"/>
        </w:rPr>
        <w:t xml:space="preserve"> </w:t>
      </w:r>
      <w:r>
        <w:rPr>
          <w:i/>
          <w:w w:val="110"/>
        </w:rPr>
        <w:t>conditions, Union financial assistance to the Member State concerned. The President of the Council shall inform the European Parliament of the decision taken. “</w:t>
      </w:r>
    </w:p>
    <w:p w:rsidR="00B84CED" w:rsidRDefault="00794452" w14:paraId="4077AC81" w14:textId="77777777">
      <w:pPr>
        <w:pStyle w:val="BodyText"/>
        <w:spacing w:before="159" w:line="357" w:lineRule="auto"/>
        <w:ind w:left="1" w:right="450"/>
      </w:pPr>
      <w:r>
        <w:rPr>
          <w:w w:val="110"/>
        </w:rPr>
        <w:t>As such,</w:t>
      </w:r>
      <w:r>
        <w:rPr>
          <w:spacing w:val="-1"/>
          <w:w w:val="110"/>
        </w:rPr>
        <w:t xml:space="preserve"> </w:t>
      </w:r>
      <w:r>
        <w:rPr>
          <w:w w:val="110"/>
        </w:rPr>
        <w:t>the</w:t>
      </w:r>
      <w:r>
        <w:rPr>
          <w:spacing w:val="-2"/>
          <w:w w:val="110"/>
        </w:rPr>
        <w:t xml:space="preserve"> </w:t>
      </w:r>
      <w:r>
        <w:rPr>
          <w:w w:val="110"/>
        </w:rPr>
        <w:t>submission</w:t>
      </w:r>
      <w:r>
        <w:rPr>
          <w:spacing w:val="-4"/>
          <w:w w:val="110"/>
        </w:rPr>
        <w:t xml:space="preserve"> </w:t>
      </w:r>
      <w:r>
        <w:rPr>
          <w:w w:val="110"/>
        </w:rPr>
        <w:t>takes the</w:t>
      </w:r>
      <w:r>
        <w:rPr>
          <w:spacing w:val="-2"/>
          <w:w w:val="110"/>
        </w:rPr>
        <w:t xml:space="preserve"> </w:t>
      </w:r>
      <w:r>
        <w:rPr>
          <w:w w:val="110"/>
        </w:rPr>
        <w:t>view that</w:t>
      </w:r>
      <w:r>
        <w:rPr>
          <w:spacing w:val="-1"/>
          <w:w w:val="110"/>
        </w:rPr>
        <w:t xml:space="preserve"> </w:t>
      </w:r>
      <w:r>
        <w:rPr>
          <w:w w:val="110"/>
        </w:rPr>
        <w:t>the</w:t>
      </w:r>
      <w:r>
        <w:rPr>
          <w:spacing w:val="-2"/>
          <w:w w:val="110"/>
        </w:rPr>
        <w:t xml:space="preserve"> </w:t>
      </w:r>
      <w:r>
        <w:rPr>
          <w:w w:val="110"/>
        </w:rPr>
        <w:t>wording</w:t>
      </w:r>
      <w:r>
        <w:rPr>
          <w:spacing w:val="-2"/>
          <w:w w:val="110"/>
        </w:rPr>
        <w:t xml:space="preserve"> </w:t>
      </w:r>
      <w:r>
        <w:rPr>
          <w:w w:val="110"/>
        </w:rPr>
        <w:t>of</w:t>
      </w:r>
      <w:r>
        <w:rPr>
          <w:spacing w:val="-2"/>
          <w:w w:val="110"/>
        </w:rPr>
        <w:t xml:space="preserve"> </w:t>
      </w:r>
      <w:r>
        <w:rPr>
          <w:w w:val="110"/>
        </w:rPr>
        <w:t>this</w:t>
      </w:r>
      <w:r>
        <w:rPr>
          <w:spacing w:val="-2"/>
          <w:w w:val="110"/>
        </w:rPr>
        <w:t xml:space="preserve"> </w:t>
      </w:r>
      <w:r>
        <w:rPr>
          <w:w w:val="110"/>
        </w:rPr>
        <w:t>Article</w:t>
      </w:r>
      <w:r>
        <w:rPr>
          <w:spacing w:val="-2"/>
          <w:w w:val="110"/>
        </w:rPr>
        <w:t xml:space="preserve"> </w:t>
      </w:r>
      <w:r>
        <w:rPr>
          <w:w w:val="110"/>
        </w:rPr>
        <w:t>is</w:t>
      </w:r>
      <w:r>
        <w:rPr>
          <w:spacing w:val="-6"/>
          <w:w w:val="110"/>
        </w:rPr>
        <w:t xml:space="preserve"> </w:t>
      </w:r>
      <w:r>
        <w:rPr>
          <w:w w:val="110"/>
        </w:rPr>
        <w:t>clear that</w:t>
      </w:r>
      <w:r>
        <w:rPr>
          <w:spacing w:val="-1"/>
          <w:w w:val="110"/>
        </w:rPr>
        <w:t xml:space="preserve"> </w:t>
      </w:r>
      <w:r>
        <w:rPr>
          <w:w w:val="110"/>
        </w:rPr>
        <w:t>it</w:t>
      </w:r>
      <w:r>
        <w:rPr>
          <w:spacing w:val="-4"/>
          <w:w w:val="110"/>
        </w:rPr>
        <w:t xml:space="preserve"> </w:t>
      </w:r>
      <w:r>
        <w:rPr>
          <w:w w:val="110"/>
        </w:rPr>
        <w:t>should not be used as a legal basis for military purposes.</w:t>
      </w:r>
    </w:p>
    <w:p w:rsidR="00B84CED" w:rsidRDefault="00794452" w14:paraId="4A21B3EB" w14:textId="77777777">
      <w:pPr>
        <w:pStyle w:val="BodyText"/>
        <w:spacing w:before="162" w:line="357" w:lineRule="auto"/>
        <w:ind w:left="1" w:right="521"/>
      </w:pPr>
      <w:r>
        <w:rPr>
          <w:w w:val="110"/>
        </w:rPr>
        <w:t>The submission received from the Centre of Full Employment and Equity (CofFEE) also draws</w:t>
      </w:r>
      <w:r>
        <w:rPr>
          <w:spacing w:val="-3"/>
          <w:w w:val="110"/>
        </w:rPr>
        <w:t xml:space="preserve"> </w:t>
      </w:r>
      <w:r>
        <w:rPr>
          <w:w w:val="110"/>
        </w:rPr>
        <w:t>attention</w:t>
      </w:r>
      <w:r>
        <w:rPr>
          <w:spacing w:val="-4"/>
          <w:w w:val="110"/>
        </w:rPr>
        <w:t xml:space="preserve"> </w:t>
      </w:r>
      <w:r>
        <w:rPr>
          <w:w w:val="110"/>
        </w:rPr>
        <w:t>to</w:t>
      </w:r>
      <w:r>
        <w:rPr>
          <w:spacing w:val="-3"/>
          <w:w w:val="110"/>
        </w:rPr>
        <w:t xml:space="preserve"> </w:t>
      </w:r>
      <w:r>
        <w:rPr>
          <w:w w:val="110"/>
        </w:rPr>
        <w:t>the use</w:t>
      </w:r>
      <w:r>
        <w:rPr>
          <w:spacing w:val="-3"/>
          <w:w w:val="110"/>
        </w:rPr>
        <w:t xml:space="preserve"> </w:t>
      </w:r>
      <w:r>
        <w:rPr>
          <w:w w:val="110"/>
        </w:rPr>
        <w:t>of</w:t>
      </w:r>
      <w:r>
        <w:rPr>
          <w:spacing w:val="-3"/>
          <w:w w:val="110"/>
        </w:rPr>
        <w:t xml:space="preserve"> </w:t>
      </w:r>
      <w:r>
        <w:rPr>
          <w:w w:val="110"/>
        </w:rPr>
        <w:t>Article 122</w:t>
      </w:r>
      <w:r>
        <w:rPr>
          <w:spacing w:val="-4"/>
          <w:w w:val="110"/>
        </w:rPr>
        <w:t xml:space="preserve"> </w:t>
      </w:r>
      <w:r>
        <w:rPr>
          <w:w w:val="110"/>
        </w:rPr>
        <w:t>as</w:t>
      </w:r>
      <w:r>
        <w:rPr>
          <w:spacing w:val="-1"/>
          <w:w w:val="110"/>
        </w:rPr>
        <w:t xml:space="preserve"> </w:t>
      </w:r>
      <w:r>
        <w:rPr>
          <w:w w:val="110"/>
        </w:rPr>
        <w:t>the legal</w:t>
      </w:r>
      <w:r>
        <w:rPr>
          <w:spacing w:val="-4"/>
          <w:w w:val="110"/>
        </w:rPr>
        <w:t xml:space="preserve"> </w:t>
      </w:r>
      <w:r>
        <w:rPr>
          <w:w w:val="110"/>
        </w:rPr>
        <w:t>underpinning</w:t>
      </w:r>
      <w:r>
        <w:rPr>
          <w:spacing w:val="-3"/>
          <w:w w:val="110"/>
        </w:rPr>
        <w:t xml:space="preserve"> </w:t>
      </w:r>
      <w:r>
        <w:rPr>
          <w:w w:val="110"/>
        </w:rPr>
        <w:t>of</w:t>
      </w:r>
      <w:r>
        <w:rPr>
          <w:spacing w:val="-3"/>
          <w:w w:val="110"/>
        </w:rPr>
        <w:t xml:space="preserve"> </w:t>
      </w:r>
      <w:r>
        <w:rPr>
          <w:w w:val="110"/>
        </w:rPr>
        <w:t>the</w:t>
      </w:r>
      <w:r>
        <w:rPr>
          <w:spacing w:val="-3"/>
          <w:w w:val="110"/>
        </w:rPr>
        <w:t xml:space="preserve"> </w:t>
      </w:r>
      <w:r>
        <w:rPr>
          <w:w w:val="110"/>
        </w:rPr>
        <w:t>SAFE</w:t>
      </w:r>
      <w:r>
        <w:rPr>
          <w:spacing w:val="-1"/>
          <w:w w:val="110"/>
        </w:rPr>
        <w:t xml:space="preserve"> </w:t>
      </w:r>
      <w:r>
        <w:rPr>
          <w:w w:val="110"/>
        </w:rPr>
        <w:t>Regulation.</w:t>
      </w:r>
    </w:p>
    <w:p w:rsidR="00B84CED" w:rsidRDefault="00794452" w14:paraId="0A001D29" w14:textId="77777777">
      <w:pPr>
        <w:pStyle w:val="BodyText"/>
        <w:spacing w:before="160" w:line="357" w:lineRule="auto"/>
        <w:ind w:left="1" w:right="591"/>
      </w:pPr>
      <w:r>
        <w:rPr>
          <w:w w:val="110"/>
        </w:rPr>
        <w:t>The</w:t>
      </w:r>
      <w:r>
        <w:rPr>
          <w:spacing w:val="-3"/>
          <w:w w:val="110"/>
        </w:rPr>
        <w:t xml:space="preserve"> </w:t>
      </w:r>
      <w:r>
        <w:rPr>
          <w:w w:val="110"/>
        </w:rPr>
        <w:t>submission</w:t>
      </w:r>
      <w:r>
        <w:rPr>
          <w:spacing w:val="-2"/>
          <w:w w:val="110"/>
        </w:rPr>
        <w:t xml:space="preserve"> </w:t>
      </w:r>
      <w:r>
        <w:rPr>
          <w:w w:val="110"/>
        </w:rPr>
        <w:t>highlights</w:t>
      </w:r>
      <w:r>
        <w:rPr>
          <w:spacing w:val="-1"/>
          <w:w w:val="110"/>
        </w:rPr>
        <w:t xml:space="preserve"> </w:t>
      </w:r>
      <w:r>
        <w:rPr>
          <w:w w:val="110"/>
        </w:rPr>
        <w:t>the</w:t>
      </w:r>
      <w:r>
        <w:rPr>
          <w:spacing w:val="-3"/>
          <w:w w:val="110"/>
        </w:rPr>
        <w:t xml:space="preserve"> </w:t>
      </w:r>
      <w:r>
        <w:rPr>
          <w:w w:val="110"/>
        </w:rPr>
        <w:t>wording</w:t>
      </w:r>
      <w:r>
        <w:rPr>
          <w:spacing w:val="-3"/>
          <w:w w:val="110"/>
        </w:rPr>
        <w:t xml:space="preserve"> </w:t>
      </w:r>
      <w:r>
        <w:rPr>
          <w:w w:val="110"/>
        </w:rPr>
        <w:t>of</w:t>
      </w:r>
      <w:r>
        <w:rPr>
          <w:spacing w:val="-1"/>
          <w:w w:val="110"/>
        </w:rPr>
        <w:t xml:space="preserve"> </w:t>
      </w:r>
      <w:r>
        <w:rPr>
          <w:w w:val="110"/>
        </w:rPr>
        <w:t>the Article and</w:t>
      </w:r>
      <w:r>
        <w:rPr>
          <w:spacing w:val="-2"/>
          <w:w w:val="110"/>
        </w:rPr>
        <w:t xml:space="preserve"> </w:t>
      </w:r>
      <w:r>
        <w:rPr>
          <w:w w:val="110"/>
        </w:rPr>
        <w:t>lists</w:t>
      </w:r>
      <w:r>
        <w:rPr>
          <w:spacing w:val="-1"/>
          <w:w w:val="110"/>
        </w:rPr>
        <w:t xml:space="preserve"> </w:t>
      </w:r>
      <w:r>
        <w:rPr>
          <w:w w:val="110"/>
        </w:rPr>
        <w:t>the instances</w:t>
      </w:r>
      <w:r>
        <w:rPr>
          <w:spacing w:val="-1"/>
          <w:w w:val="110"/>
        </w:rPr>
        <w:t xml:space="preserve"> </w:t>
      </w:r>
      <w:r>
        <w:rPr>
          <w:w w:val="110"/>
        </w:rPr>
        <w:t>where this Article has previously been utilised to justify action:</w:t>
      </w:r>
    </w:p>
    <w:p w:rsidR="00B84CED" w:rsidRDefault="00794452" w14:paraId="416B58C1" w14:textId="77777777">
      <w:pPr>
        <w:pStyle w:val="ListParagraph"/>
        <w:numPr>
          <w:ilvl w:val="0"/>
          <w:numId w:val="3"/>
        </w:numPr>
        <w:tabs>
          <w:tab w:val="left" w:pos="937"/>
          <w:tab w:val="left" w:pos="939"/>
        </w:tabs>
        <w:spacing w:before="160" w:line="357" w:lineRule="auto"/>
        <w:ind w:right="1089"/>
      </w:pPr>
      <w:r>
        <w:rPr>
          <w:w w:val="110"/>
        </w:rPr>
        <w:t>To</w:t>
      </w:r>
      <w:r>
        <w:rPr>
          <w:spacing w:val="-1"/>
          <w:w w:val="110"/>
        </w:rPr>
        <w:t xml:space="preserve"> </w:t>
      </w:r>
      <w:r>
        <w:rPr>
          <w:w w:val="110"/>
        </w:rPr>
        <w:t>establish a</w:t>
      </w:r>
      <w:r>
        <w:rPr>
          <w:spacing w:val="-2"/>
          <w:w w:val="110"/>
        </w:rPr>
        <w:t xml:space="preserve"> </w:t>
      </w:r>
      <w:r>
        <w:rPr>
          <w:w w:val="110"/>
        </w:rPr>
        <w:t>European</w:t>
      </w:r>
      <w:r>
        <w:rPr>
          <w:spacing w:val="-2"/>
          <w:w w:val="110"/>
        </w:rPr>
        <w:t xml:space="preserve"> </w:t>
      </w:r>
      <w:r>
        <w:rPr>
          <w:w w:val="110"/>
        </w:rPr>
        <w:t>financial stabilisation mechanism during the Global Financial Crisis</w:t>
      </w:r>
    </w:p>
    <w:p w:rsidR="00B84CED" w:rsidRDefault="00794452" w14:paraId="4E38BA0E" w14:textId="77777777">
      <w:pPr>
        <w:pStyle w:val="ListParagraph"/>
        <w:numPr>
          <w:ilvl w:val="0"/>
          <w:numId w:val="3"/>
        </w:numPr>
        <w:tabs>
          <w:tab w:val="left" w:pos="937"/>
          <w:tab w:val="left" w:pos="939"/>
        </w:tabs>
        <w:spacing w:before="162" w:line="357" w:lineRule="auto"/>
        <w:ind w:right="675"/>
      </w:pPr>
      <w:r>
        <w:rPr>
          <w:w w:val="110"/>
        </w:rPr>
        <w:t>During</w:t>
      </w:r>
      <w:r>
        <w:rPr>
          <w:spacing w:val="-6"/>
          <w:w w:val="110"/>
        </w:rPr>
        <w:t xml:space="preserve"> </w:t>
      </w:r>
      <w:r>
        <w:rPr>
          <w:w w:val="110"/>
        </w:rPr>
        <w:t>the</w:t>
      </w:r>
      <w:r>
        <w:rPr>
          <w:spacing w:val="-6"/>
          <w:w w:val="110"/>
        </w:rPr>
        <w:t xml:space="preserve"> </w:t>
      </w:r>
      <w:r>
        <w:rPr>
          <w:w w:val="110"/>
        </w:rPr>
        <w:t>early</w:t>
      </w:r>
      <w:r>
        <w:rPr>
          <w:spacing w:val="-5"/>
          <w:w w:val="110"/>
        </w:rPr>
        <w:t xml:space="preserve"> </w:t>
      </w:r>
      <w:r>
        <w:rPr>
          <w:w w:val="110"/>
        </w:rPr>
        <w:t>period</w:t>
      </w:r>
      <w:r>
        <w:rPr>
          <w:spacing w:val="-8"/>
          <w:w w:val="110"/>
        </w:rPr>
        <w:t xml:space="preserve"> </w:t>
      </w:r>
      <w:r>
        <w:rPr>
          <w:w w:val="110"/>
        </w:rPr>
        <w:t>of</w:t>
      </w:r>
      <w:r>
        <w:rPr>
          <w:spacing w:val="-5"/>
          <w:w w:val="110"/>
        </w:rPr>
        <w:t xml:space="preserve"> </w:t>
      </w:r>
      <w:r>
        <w:rPr>
          <w:w w:val="110"/>
        </w:rPr>
        <w:t>the</w:t>
      </w:r>
      <w:r>
        <w:rPr>
          <w:spacing w:val="-6"/>
          <w:w w:val="110"/>
        </w:rPr>
        <w:t xml:space="preserve"> </w:t>
      </w:r>
      <w:r>
        <w:rPr>
          <w:w w:val="110"/>
        </w:rPr>
        <w:t>Covid-19</w:t>
      </w:r>
      <w:r>
        <w:rPr>
          <w:spacing w:val="-7"/>
          <w:w w:val="110"/>
        </w:rPr>
        <w:t xml:space="preserve"> </w:t>
      </w:r>
      <w:r>
        <w:rPr>
          <w:w w:val="110"/>
        </w:rPr>
        <w:t>pandemic</w:t>
      </w:r>
      <w:r>
        <w:rPr>
          <w:spacing w:val="-8"/>
          <w:w w:val="110"/>
        </w:rPr>
        <w:t xml:space="preserve"> </w:t>
      </w:r>
      <w:r>
        <w:rPr>
          <w:w w:val="110"/>
        </w:rPr>
        <w:t>to</w:t>
      </w:r>
      <w:r>
        <w:rPr>
          <w:spacing w:val="-4"/>
          <w:w w:val="110"/>
        </w:rPr>
        <w:t xml:space="preserve"> </w:t>
      </w:r>
      <w:r>
        <w:rPr>
          <w:w w:val="110"/>
        </w:rPr>
        <w:t>provide</w:t>
      </w:r>
      <w:r>
        <w:rPr>
          <w:spacing w:val="-6"/>
          <w:w w:val="110"/>
        </w:rPr>
        <w:t xml:space="preserve"> </w:t>
      </w:r>
      <w:r>
        <w:rPr>
          <w:w w:val="110"/>
        </w:rPr>
        <w:t>emergency</w:t>
      </w:r>
      <w:r>
        <w:rPr>
          <w:spacing w:val="-7"/>
          <w:w w:val="110"/>
        </w:rPr>
        <w:t xml:space="preserve"> </w:t>
      </w:r>
      <w:r>
        <w:rPr>
          <w:w w:val="110"/>
        </w:rPr>
        <w:t>support under Council Regulation (EU) 2020/521 (April 14, 2020)</w:t>
      </w:r>
    </w:p>
    <w:p w:rsidR="00B84CED" w:rsidRDefault="00794452" w14:paraId="71469209" w14:textId="77777777">
      <w:pPr>
        <w:pStyle w:val="ListParagraph"/>
        <w:numPr>
          <w:ilvl w:val="0"/>
          <w:numId w:val="3"/>
        </w:numPr>
        <w:tabs>
          <w:tab w:val="left" w:pos="937"/>
          <w:tab w:val="left" w:pos="939"/>
        </w:tabs>
        <w:spacing w:before="159" w:line="357" w:lineRule="auto"/>
        <w:ind w:right="640"/>
      </w:pPr>
      <w:r>
        <w:rPr>
          <w:w w:val="110"/>
        </w:rPr>
        <w:t>To establish a European instrument for temporary support to mitigate unemployment</w:t>
      </w:r>
      <w:r>
        <w:rPr>
          <w:spacing w:val="-1"/>
          <w:w w:val="110"/>
        </w:rPr>
        <w:t xml:space="preserve"> </w:t>
      </w:r>
      <w:r>
        <w:rPr>
          <w:w w:val="110"/>
        </w:rPr>
        <w:t>risks in</w:t>
      </w:r>
      <w:r>
        <w:rPr>
          <w:spacing w:val="-3"/>
          <w:w w:val="110"/>
        </w:rPr>
        <w:t xml:space="preserve"> </w:t>
      </w:r>
      <w:r>
        <w:rPr>
          <w:w w:val="110"/>
        </w:rPr>
        <w:t>an</w:t>
      </w:r>
      <w:r>
        <w:rPr>
          <w:spacing w:val="-1"/>
          <w:w w:val="110"/>
        </w:rPr>
        <w:t xml:space="preserve"> </w:t>
      </w:r>
      <w:r>
        <w:rPr>
          <w:w w:val="110"/>
        </w:rPr>
        <w:t>emergency</w:t>
      </w:r>
      <w:r>
        <w:rPr>
          <w:spacing w:val="-3"/>
          <w:w w:val="110"/>
        </w:rPr>
        <w:t xml:space="preserve"> </w:t>
      </w:r>
      <w:r>
        <w:rPr>
          <w:w w:val="110"/>
        </w:rPr>
        <w:t>(SURE) following the</w:t>
      </w:r>
      <w:r>
        <w:rPr>
          <w:spacing w:val="-2"/>
          <w:w w:val="110"/>
        </w:rPr>
        <w:t xml:space="preserve"> </w:t>
      </w:r>
      <w:r>
        <w:rPr>
          <w:w w:val="110"/>
        </w:rPr>
        <w:t>outbreak</w:t>
      </w:r>
      <w:r>
        <w:rPr>
          <w:spacing w:val="-2"/>
          <w:w w:val="110"/>
        </w:rPr>
        <w:t xml:space="preserve"> </w:t>
      </w:r>
      <w:r>
        <w:rPr>
          <w:w w:val="110"/>
        </w:rPr>
        <w:t>of</w:t>
      </w:r>
      <w:r>
        <w:rPr>
          <w:spacing w:val="-2"/>
          <w:w w:val="110"/>
        </w:rPr>
        <w:t xml:space="preserve"> </w:t>
      </w:r>
      <w:r>
        <w:rPr>
          <w:w w:val="110"/>
        </w:rPr>
        <w:t>Covid-19</w:t>
      </w:r>
    </w:p>
    <w:p w:rsidR="00B84CED" w:rsidRDefault="00794452" w14:paraId="3B5D5323" w14:textId="77777777">
      <w:pPr>
        <w:pStyle w:val="ListParagraph"/>
        <w:numPr>
          <w:ilvl w:val="0"/>
          <w:numId w:val="3"/>
        </w:numPr>
        <w:tabs>
          <w:tab w:val="left" w:pos="937"/>
          <w:tab w:val="left" w:pos="939"/>
        </w:tabs>
        <w:spacing w:before="160" w:line="357" w:lineRule="auto"/>
        <w:ind w:right="697"/>
      </w:pPr>
      <w:r>
        <w:rPr>
          <w:w w:val="110"/>
        </w:rPr>
        <w:t>To</w:t>
      </w:r>
      <w:r>
        <w:rPr>
          <w:spacing w:val="-6"/>
          <w:w w:val="110"/>
        </w:rPr>
        <w:t xml:space="preserve"> </w:t>
      </w:r>
      <w:r>
        <w:rPr>
          <w:w w:val="110"/>
        </w:rPr>
        <w:t>justify</w:t>
      </w:r>
      <w:r>
        <w:rPr>
          <w:spacing w:val="-7"/>
          <w:w w:val="110"/>
        </w:rPr>
        <w:t xml:space="preserve"> </w:t>
      </w:r>
      <w:r>
        <w:rPr>
          <w:w w:val="110"/>
        </w:rPr>
        <w:t>the</w:t>
      </w:r>
      <w:r>
        <w:rPr>
          <w:spacing w:val="-6"/>
          <w:w w:val="110"/>
        </w:rPr>
        <w:t xml:space="preserve"> </w:t>
      </w:r>
      <w:r>
        <w:rPr>
          <w:w w:val="110"/>
        </w:rPr>
        <w:t>establishment</w:t>
      </w:r>
      <w:r>
        <w:rPr>
          <w:spacing w:val="-5"/>
          <w:w w:val="110"/>
        </w:rPr>
        <w:t xml:space="preserve"> </w:t>
      </w:r>
      <w:r>
        <w:rPr>
          <w:w w:val="110"/>
        </w:rPr>
        <w:t>of</w:t>
      </w:r>
      <w:r>
        <w:rPr>
          <w:spacing w:val="-4"/>
          <w:w w:val="110"/>
        </w:rPr>
        <w:t xml:space="preserve"> </w:t>
      </w:r>
      <w:r>
        <w:rPr>
          <w:w w:val="110"/>
        </w:rPr>
        <w:t>the</w:t>
      </w:r>
      <w:r>
        <w:rPr>
          <w:spacing w:val="-3"/>
          <w:w w:val="110"/>
        </w:rPr>
        <w:t xml:space="preserve"> </w:t>
      </w:r>
      <w:r>
        <w:rPr>
          <w:w w:val="110"/>
        </w:rPr>
        <w:t>coordinated</w:t>
      </w:r>
      <w:r>
        <w:rPr>
          <w:spacing w:val="-5"/>
          <w:w w:val="110"/>
        </w:rPr>
        <w:t xml:space="preserve"> </w:t>
      </w:r>
      <w:r>
        <w:rPr>
          <w:w w:val="110"/>
        </w:rPr>
        <w:t>demand-reduction</w:t>
      </w:r>
      <w:r>
        <w:rPr>
          <w:spacing w:val="-5"/>
          <w:w w:val="110"/>
        </w:rPr>
        <w:t xml:space="preserve"> </w:t>
      </w:r>
      <w:r>
        <w:rPr>
          <w:w w:val="110"/>
        </w:rPr>
        <w:t>measures</w:t>
      </w:r>
      <w:r>
        <w:rPr>
          <w:spacing w:val="-6"/>
          <w:w w:val="110"/>
        </w:rPr>
        <w:t xml:space="preserve"> </w:t>
      </w:r>
      <w:r>
        <w:rPr>
          <w:w w:val="110"/>
        </w:rPr>
        <w:t>for gas following the outbreak of Russia’s war of aggression against Ukraine</w:t>
      </w:r>
    </w:p>
    <w:p w:rsidR="00B84CED" w:rsidRDefault="00794452" w14:paraId="064B46E7" w14:textId="77777777">
      <w:pPr>
        <w:pStyle w:val="ListParagraph"/>
        <w:numPr>
          <w:ilvl w:val="0"/>
          <w:numId w:val="3"/>
        </w:numPr>
        <w:tabs>
          <w:tab w:val="left" w:pos="937"/>
          <w:tab w:val="left" w:pos="939"/>
        </w:tabs>
        <w:spacing w:before="162" w:line="357" w:lineRule="auto"/>
        <w:ind w:right="773"/>
      </w:pPr>
      <w:r>
        <w:rPr>
          <w:w w:val="110"/>
        </w:rPr>
        <w:t>Also</w:t>
      </w:r>
      <w:r>
        <w:rPr>
          <w:spacing w:val="-8"/>
          <w:w w:val="110"/>
        </w:rPr>
        <w:t xml:space="preserve"> </w:t>
      </w:r>
      <w:r>
        <w:rPr>
          <w:w w:val="110"/>
        </w:rPr>
        <w:t>in</w:t>
      </w:r>
      <w:r>
        <w:rPr>
          <w:spacing w:val="-7"/>
          <w:w w:val="110"/>
        </w:rPr>
        <w:t xml:space="preserve"> </w:t>
      </w:r>
      <w:r>
        <w:rPr>
          <w:w w:val="110"/>
        </w:rPr>
        <w:t>the</w:t>
      </w:r>
      <w:r>
        <w:rPr>
          <w:spacing w:val="-8"/>
          <w:w w:val="110"/>
        </w:rPr>
        <w:t xml:space="preserve"> </w:t>
      </w:r>
      <w:r>
        <w:rPr>
          <w:w w:val="110"/>
        </w:rPr>
        <w:t>Ukraine</w:t>
      </w:r>
      <w:r>
        <w:rPr>
          <w:spacing w:val="-8"/>
          <w:w w:val="110"/>
        </w:rPr>
        <w:t xml:space="preserve"> </w:t>
      </w:r>
      <w:r>
        <w:rPr>
          <w:w w:val="110"/>
        </w:rPr>
        <w:t>context,</w:t>
      </w:r>
      <w:r>
        <w:rPr>
          <w:spacing w:val="-6"/>
          <w:w w:val="110"/>
        </w:rPr>
        <w:t xml:space="preserve"> </w:t>
      </w:r>
      <w:r>
        <w:rPr>
          <w:w w:val="110"/>
        </w:rPr>
        <w:t>the</w:t>
      </w:r>
      <w:r>
        <w:rPr>
          <w:spacing w:val="-8"/>
          <w:w w:val="110"/>
        </w:rPr>
        <w:t xml:space="preserve"> </w:t>
      </w:r>
      <w:r>
        <w:rPr>
          <w:w w:val="110"/>
        </w:rPr>
        <w:t>emergency</w:t>
      </w:r>
      <w:r>
        <w:rPr>
          <w:spacing w:val="-9"/>
          <w:w w:val="110"/>
        </w:rPr>
        <w:t xml:space="preserve"> </w:t>
      </w:r>
      <w:r>
        <w:rPr>
          <w:w w:val="110"/>
        </w:rPr>
        <w:t>intervention</w:t>
      </w:r>
      <w:r>
        <w:rPr>
          <w:spacing w:val="-7"/>
          <w:w w:val="110"/>
        </w:rPr>
        <w:t xml:space="preserve"> </w:t>
      </w:r>
      <w:r>
        <w:rPr>
          <w:w w:val="110"/>
        </w:rPr>
        <w:t>to</w:t>
      </w:r>
      <w:r>
        <w:rPr>
          <w:spacing w:val="-5"/>
          <w:w w:val="110"/>
        </w:rPr>
        <w:t xml:space="preserve"> </w:t>
      </w:r>
      <w:r>
        <w:rPr>
          <w:w w:val="110"/>
        </w:rPr>
        <w:t>address</w:t>
      </w:r>
      <w:r>
        <w:rPr>
          <w:spacing w:val="-6"/>
          <w:w w:val="110"/>
        </w:rPr>
        <w:t xml:space="preserve"> </w:t>
      </w:r>
      <w:r>
        <w:rPr>
          <w:w w:val="110"/>
        </w:rPr>
        <w:t>high</w:t>
      </w:r>
      <w:r>
        <w:rPr>
          <w:spacing w:val="-10"/>
          <w:w w:val="110"/>
        </w:rPr>
        <w:t xml:space="preserve"> </w:t>
      </w:r>
      <w:r>
        <w:rPr>
          <w:w w:val="110"/>
        </w:rPr>
        <w:t xml:space="preserve">energy </w:t>
      </w:r>
      <w:r>
        <w:rPr>
          <w:spacing w:val="-2"/>
          <w:w w:val="110"/>
        </w:rPr>
        <w:t>prices</w:t>
      </w:r>
    </w:p>
    <w:p w:rsidR="00B84CED" w:rsidRDefault="00794452" w14:paraId="10EBAF96" w14:textId="77777777">
      <w:pPr>
        <w:pStyle w:val="BodyText"/>
        <w:spacing w:before="160" w:line="357" w:lineRule="auto"/>
        <w:ind w:left="1" w:right="521"/>
      </w:pPr>
      <w:r>
        <w:rPr>
          <w:w w:val="110"/>
        </w:rPr>
        <w:t>The submission notes that while Article 122 is intended as a vehicle to address emergencies,</w:t>
      </w:r>
      <w:r>
        <w:rPr>
          <w:spacing w:val="-2"/>
          <w:w w:val="110"/>
        </w:rPr>
        <w:t xml:space="preserve"> </w:t>
      </w:r>
      <w:r>
        <w:rPr>
          <w:w w:val="110"/>
        </w:rPr>
        <w:t>the</w:t>
      </w:r>
      <w:r>
        <w:rPr>
          <w:spacing w:val="-4"/>
          <w:w w:val="110"/>
        </w:rPr>
        <w:t xml:space="preserve"> </w:t>
      </w:r>
      <w:r>
        <w:rPr>
          <w:w w:val="110"/>
        </w:rPr>
        <w:t>way</w:t>
      </w:r>
      <w:r>
        <w:rPr>
          <w:spacing w:val="-2"/>
          <w:w w:val="110"/>
        </w:rPr>
        <w:t xml:space="preserve"> </w:t>
      </w:r>
      <w:r>
        <w:rPr>
          <w:w w:val="110"/>
        </w:rPr>
        <w:t>that</w:t>
      </w:r>
      <w:r>
        <w:rPr>
          <w:spacing w:val="-3"/>
          <w:w w:val="110"/>
        </w:rPr>
        <w:t xml:space="preserve"> </w:t>
      </w:r>
      <w:r>
        <w:rPr>
          <w:w w:val="110"/>
        </w:rPr>
        <w:t>it</w:t>
      </w:r>
      <w:r>
        <w:rPr>
          <w:spacing w:val="-3"/>
          <w:w w:val="110"/>
        </w:rPr>
        <w:t xml:space="preserve"> </w:t>
      </w:r>
      <w:r>
        <w:rPr>
          <w:w w:val="110"/>
        </w:rPr>
        <w:t>is</w:t>
      </w:r>
      <w:r>
        <w:rPr>
          <w:spacing w:val="-2"/>
          <w:w w:val="110"/>
        </w:rPr>
        <w:t xml:space="preserve"> </w:t>
      </w:r>
      <w:r>
        <w:rPr>
          <w:w w:val="110"/>
        </w:rPr>
        <w:t>being</w:t>
      </w:r>
      <w:r>
        <w:rPr>
          <w:spacing w:val="-4"/>
          <w:w w:val="110"/>
        </w:rPr>
        <w:t xml:space="preserve"> </w:t>
      </w:r>
      <w:r>
        <w:rPr>
          <w:w w:val="110"/>
        </w:rPr>
        <w:t>used</w:t>
      </w:r>
      <w:r>
        <w:rPr>
          <w:spacing w:val="-3"/>
          <w:w w:val="110"/>
        </w:rPr>
        <w:t xml:space="preserve"> </w:t>
      </w:r>
      <w:r>
        <w:rPr>
          <w:w w:val="110"/>
        </w:rPr>
        <w:t>is</w:t>
      </w:r>
      <w:r>
        <w:rPr>
          <w:spacing w:val="-4"/>
          <w:w w:val="110"/>
        </w:rPr>
        <w:t xml:space="preserve"> </w:t>
      </w:r>
      <w:r>
        <w:rPr>
          <w:w w:val="110"/>
        </w:rPr>
        <w:t>suggestive</w:t>
      </w:r>
      <w:r>
        <w:rPr>
          <w:spacing w:val="-4"/>
          <w:w w:val="110"/>
        </w:rPr>
        <w:t xml:space="preserve"> </w:t>
      </w:r>
      <w:r>
        <w:rPr>
          <w:w w:val="110"/>
        </w:rPr>
        <w:t>of</w:t>
      </w:r>
      <w:r>
        <w:rPr>
          <w:spacing w:val="-2"/>
          <w:w w:val="110"/>
        </w:rPr>
        <w:t xml:space="preserve"> </w:t>
      </w:r>
      <w:r>
        <w:rPr>
          <w:w w:val="110"/>
        </w:rPr>
        <w:t>policy</w:t>
      </w:r>
      <w:r>
        <w:rPr>
          <w:spacing w:val="-2"/>
          <w:w w:val="110"/>
        </w:rPr>
        <w:t xml:space="preserve"> </w:t>
      </w:r>
      <w:r>
        <w:rPr>
          <w:w w:val="110"/>
        </w:rPr>
        <w:t>development</w:t>
      </w:r>
      <w:r>
        <w:rPr>
          <w:spacing w:val="-3"/>
          <w:w w:val="110"/>
        </w:rPr>
        <w:t xml:space="preserve"> </w:t>
      </w:r>
      <w:r>
        <w:rPr>
          <w:w w:val="110"/>
        </w:rPr>
        <w:t>that</w:t>
      </w:r>
      <w:r>
        <w:rPr>
          <w:spacing w:val="-3"/>
          <w:w w:val="110"/>
        </w:rPr>
        <w:t xml:space="preserve"> </w:t>
      </w:r>
      <w:r>
        <w:rPr>
          <w:w w:val="110"/>
        </w:rPr>
        <w:t>is</w:t>
      </w:r>
      <w:r>
        <w:rPr>
          <w:spacing w:val="-4"/>
          <w:w w:val="110"/>
        </w:rPr>
        <w:t xml:space="preserve"> </w:t>
      </w:r>
      <w:r>
        <w:rPr>
          <w:w w:val="110"/>
        </w:rPr>
        <w:t>more structural rather than reactive.</w:t>
      </w:r>
    </w:p>
    <w:p w:rsidR="00B84CED" w:rsidRDefault="00B84CED" w14:paraId="3CBBD2A7" w14:textId="77777777">
      <w:pPr>
        <w:pStyle w:val="BodyText"/>
        <w:spacing w:line="357" w:lineRule="auto"/>
        <w:sectPr w:rsidR="00B84CED" w:rsidSect="00196DB0">
          <w:footerReference w:type="even" r:id="R4a53e5178a2745a6"/>
          <w:footerReference w:type="first" r:id="R21191e522eff4633"/>
          <w:headerReference w:type="even" r:id="R81959847b2c246a3"/>
          <w:headerReference w:type="first" r:id="Re2d628e715584399"/>
          <w:pgSz w:w="11907" w:h="16839"/>
          <w:pgMar w:top="1134" w:right="1134" w:bottom="1134" w:left="1134" w:header="567" w:footer="567" w:gutter="0"/>
          <w:cols w:space="720"/>
          <w:docGrid w:linePitch="299"/>
        </w:sectPr>
      </w:pPr>
    </w:p>
    <w:p w:rsidR="00B84CED" w:rsidRDefault="00794452" w14:paraId="0C8D1D40" w14:textId="77777777">
      <w:pPr>
        <w:pStyle w:val="BodyText"/>
        <w:spacing w:before="109" w:line="357" w:lineRule="auto"/>
        <w:ind w:left="1" w:right="450"/>
      </w:pPr>
      <w:r>
        <w:rPr>
          <w:w w:val="110"/>
        </w:rPr>
        <w:lastRenderedPageBreak/>
        <w:t>The</w:t>
      </w:r>
      <w:r>
        <w:rPr>
          <w:spacing w:val="-3"/>
          <w:w w:val="110"/>
        </w:rPr>
        <w:t xml:space="preserve"> </w:t>
      </w:r>
      <w:r>
        <w:rPr>
          <w:w w:val="110"/>
        </w:rPr>
        <w:t>submission</w:t>
      </w:r>
      <w:r>
        <w:rPr>
          <w:spacing w:val="-4"/>
          <w:w w:val="110"/>
        </w:rPr>
        <w:t xml:space="preserve"> </w:t>
      </w:r>
      <w:r>
        <w:rPr>
          <w:w w:val="110"/>
        </w:rPr>
        <w:t>further</w:t>
      </w:r>
      <w:r>
        <w:rPr>
          <w:spacing w:val="-3"/>
          <w:w w:val="110"/>
        </w:rPr>
        <w:t xml:space="preserve"> </w:t>
      </w:r>
      <w:r>
        <w:rPr>
          <w:w w:val="110"/>
        </w:rPr>
        <w:t>refers</w:t>
      </w:r>
      <w:r>
        <w:rPr>
          <w:spacing w:val="-3"/>
          <w:w w:val="110"/>
        </w:rPr>
        <w:t xml:space="preserve"> </w:t>
      </w:r>
      <w:r>
        <w:rPr>
          <w:w w:val="110"/>
        </w:rPr>
        <w:t>to</w:t>
      </w:r>
      <w:r>
        <w:rPr>
          <w:spacing w:val="-3"/>
          <w:w w:val="110"/>
        </w:rPr>
        <w:t xml:space="preserve"> </w:t>
      </w:r>
      <w:r>
        <w:rPr>
          <w:w w:val="110"/>
        </w:rPr>
        <w:t>the</w:t>
      </w:r>
      <w:r>
        <w:rPr>
          <w:spacing w:val="-3"/>
          <w:w w:val="110"/>
        </w:rPr>
        <w:t xml:space="preserve"> </w:t>
      </w:r>
      <w:r>
        <w:rPr>
          <w:w w:val="110"/>
        </w:rPr>
        <w:t>suggestion</w:t>
      </w:r>
      <w:r>
        <w:rPr>
          <w:spacing w:val="-7"/>
          <w:w w:val="110"/>
        </w:rPr>
        <w:t xml:space="preserve"> </w:t>
      </w:r>
      <w:r>
        <w:rPr>
          <w:w w:val="110"/>
        </w:rPr>
        <w:t>within</w:t>
      </w:r>
      <w:r>
        <w:rPr>
          <w:spacing w:val="-2"/>
          <w:w w:val="110"/>
        </w:rPr>
        <w:t xml:space="preserve"> </w:t>
      </w:r>
      <w:r>
        <w:rPr>
          <w:w w:val="110"/>
        </w:rPr>
        <w:t>the</w:t>
      </w:r>
      <w:r>
        <w:rPr>
          <w:spacing w:val="-3"/>
          <w:w w:val="110"/>
        </w:rPr>
        <w:t xml:space="preserve"> </w:t>
      </w:r>
      <w:r>
        <w:rPr>
          <w:w w:val="110"/>
        </w:rPr>
        <w:t>White</w:t>
      </w:r>
      <w:r>
        <w:rPr>
          <w:spacing w:val="-3"/>
          <w:w w:val="110"/>
        </w:rPr>
        <w:t xml:space="preserve"> </w:t>
      </w:r>
      <w:r>
        <w:rPr>
          <w:w w:val="110"/>
        </w:rPr>
        <w:t>Paper</w:t>
      </w:r>
      <w:r>
        <w:rPr>
          <w:spacing w:val="-3"/>
          <w:w w:val="110"/>
        </w:rPr>
        <w:t xml:space="preserve"> </w:t>
      </w:r>
      <w:r>
        <w:rPr>
          <w:w w:val="110"/>
        </w:rPr>
        <w:t>–</w:t>
      </w:r>
      <w:r>
        <w:rPr>
          <w:spacing w:val="-4"/>
          <w:w w:val="110"/>
        </w:rPr>
        <w:t xml:space="preserve"> </w:t>
      </w:r>
      <w:r>
        <w:rPr>
          <w:i/>
          <w:w w:val="110"/>
        </w:rPr>
        <w:t>European</w:t>
      </w:r>
      <w:r>
        <w:rPr>
          <w:i/>
          <w:spacing w:val="-1"/>
          <w:w w:val="110"/>
        </w:rPr>
        <w:t xml:space="preserve"> </w:t>
      </w:r>
      <w:r>
        <w:rPr>
          <w:i/>
          <w:w w:val="110"/>
        </w:rPr>
        <w:t>Defence and</w:t>
      </w:r>
      <w:r>
        <w:rPr>
          <w:i/>
          <w:spacing w:val="-1"/>
          <w:w w:val="110"/>
        </w:rPr>
        <w:t xml:space="preserve"> </w:t>
      </w:r>
      <w:r>
        <w:rPr>
          <w:i/>
          <w:w w:val="110"/>
        </w:rPr>
        <w:t>the</w:t>
      </w:r>
      <w:r>
        <w:rPr>
          <w:i/>
          <w:spacing w:val="-2"/>
          <w:w w:val="110"/>
        </w:rPr>
        <w:t xml:space="preserve"> </w:t>
      </w:r>
      <w:r>
        <w:rPr>
          <w:i/>
          <w:w w:val="110"/>
        </w:rPr>
        <w:t>ReArm Europe/Readiness 2030</w:t>
      </w:r>
      <w:r>
        <w:rPr>
          <w:i/>
          <w:spacing w:val="-2"/>
          <w:w w:val="110"/>
        </w:rPr>
        <w:t xml:space="preserve"> </w:t>
      </w:r>
      <w:r>
        <w:rPr>
          <w:w w:val="110"/>
        </w:rPr>
        <w:t>of an</w:t>
      </w:r>
      <w:r>
        <w:rPr>
          <w:spacing w:val="-2"/>
          <w:w w:val="110"/>
        </w:rPr>
        <w:t xml:space="preserve"> </w:t>
      </w:r>
      <w:r>
        <w:rPr>
          <w:w w:val="110"/>
        </w:rPr>
        <w:t>extra 1.5%</w:t>
      </w:r>
      <w:r>
        <w:rPr>
          <w:spacing w:val="-3"/>
          <w:w w:val="110"/>
        </w:rPr>
        <w:t xml:space="preserve"> </w:t>
      </w:r>
      <w:r>
        <w:rPr>
          <w:w w:val="110"/>
        </w:rPr>
        <w:t>of GDP</w:t>
      </w:r>
      <w:r>
        <w:rPr>
          <w:spacing w:val="-1"/>
          <w:w w:val="110"/>
        </w:rPr>
        <w:t xml:space="preserve"> </w:t>
      </w:r>
      <w:r>
        <w:rPr>
          <w:w w:val="110"/>
        </w:rPr>
        <w:t>being added to</w:t>
      </w:r>
      <w:r>
        <w:rPr>
          <w:spacing w:val="-1"/>
          <w:w w:val="110"/>
        </w:rPr>
        <w:t xml:space="preserve"> </w:t>
      </w:r>
      <w:r>
        <w:rPr>
          <w:w w:val="110"/>
        </w:rPr>
        <w:t>the</w:t>
      </w:r>
      <w:r>
        <w:rPr>
          <w:spacing w:val="-1"/>
          <w:w w:val="110"/>
        </w:rPr>
        <w:t xml:space="preserve"> </w:t>
      </w:r>
      <w:r>
        <w:rPr>
          <w:w w:val="110"/>
        </w:rPr>
        <w:t>Stability and</w:t>
      </w:r>
      <w:r>
        <w:rPr>
          <w:spacing w:val="-1"/>
          <w:w w:val="110"/>
        </w:rPr>
        <w:t xml:space="preserve"> </w:t>
      </w:r>
      <w:r>
        <w:rPr>
          <w:w w:val="110"/>
        </w:rPr>
        <w:t>Growth</w:t>
      </w:r>
      <w:r>
        <w:rPr>
          <w:spacing w:val="-4"/>
          <w:w w:val="110"/>
        </w:rPr>
        <w:t xml:space="preserve"> </w:t>
      </w:r>
      <w:r>
        <w:rPr>
          <w:w w:val="110"/>
        </w:rPr>
        <w:t>Pact</w:t>
      </w:r>
      <w:r>
        <w:rPr>
          <w:spacing w:val="-1"/>
          <w:w w:val="110"/>
        </w:rPr>
        <w:t xml:space="preserve"> </w:t>
      </w:r>
      <w:r>
        <w:rPr>
          <w:w w:val="110"/>
        </w:rPr>
        <w:t>(SGP) fiscal</w:t>
      </w:r>
      <w:r>
        <w:rPr>
          <w:spacing w:val="-1"/>
          <w:w w:val="110"/>
        </w:rPr>
        <w:t xml:space="preserve"> </w:t>
      </w:r>
      <w:r>
        <w:rPr>
          <w:w w:val="110"/>
        </w:rPr>
        <w:t>deficit</w:t>
      </w:r>
      <w:r>
        <w:rPr>
          <w:spacing w:val="-1"/>
          <w:w w:val="110"/>
        </w:rPr>
        <w:t xml:space="preserve"> </w:t>
      </w:r>
      <w:r>
        <w:rPr>
          <w:w w:val="110"/>
        </w:rPr>
        <w:t>threshold</w:t>
      </w:r>
      <w:r>
        <w:rPr>
          <w:spacing w:val="-1"/>
          <w:w w:val="110"/>
        </w:rPr>
        <w:t xml:space="preserve"> </w:t>
      </w:r>
      <w:r>
        <w:rPr>
          <w:w w:val="110"/>
        </w:rPr>
        <w:t>and</w:t>
      </w:r>
      <w:r>
        <w:rPr>
          <w:spacing w:val="-1"/>
          <w:w w:val="110"/>
        </w:rPr>
        <w:t xml:space="preserve"> </w:t>
      </w:r>
      <w:r>
        <w:rPr>
          <w:w w:val="110"/>
        </w:rPr>
        <w:t>observes that</w:t>
      </w:r>
      <w:r>
        <w:rPr>
          <w:spacing w:val="-1"/>
          <w:w w:val="110"/>
        </w:rPr>
        <w:t xml:space="preserve"> </w:t>
      </w:r>
      <w:r>
        <w:rPr>
          <w:w w:val="110"/>
        </w:rPr>
        <w:t>this proposal</w:t>
      </w:r>
      <w:r>
        <w:rPr>
          <w:spacing w:val="-1"/>
          <w:w w:val="110"/>
        </w:rPr>
        <w:t xml:space="preserve"> </w:t>
      </w:r>
      <w:r>
        <w:rPr>
          <w:w w:val="110"/>
        </w:rPr>
        <w:t>may have the effect</w:t>
      </w:r>
      <w:r>
        <w:rPr>
          <w:spacing w:val="-1"/>
          <w:w w:val="110"/>
        </w:rPr>
        <w:t xml:space="preserve"> </w:t>
      </w:r>
      <w:r>
        <w:rPr>
          <w:w w:val="110"/>
        </w:rPr>
        <w:t>of forcing Member States into austerity. Reference is made to the fact that Member States predominantly procure military equipment from beyond their borders, particularly from the US. As such, the submission observes that there is the potential for considerable leakage from the domestic economy of Member States investing in military expenditure under the SAFE instrument.</w:t>
      </w:r>
    </w:p>
    <w:p w:rsidR="00B84CED" w:rsidRDefault="00B84CED" w14:paraId="1CA7C5CB" w14:textId="77777777">
      <w:pPr>
        <w:pStyle w:val="BodyText"/>
        <w:spacing w:before="42"/>
      </w:pPr>
    </w:p>
    <w:p w:rsidR="00B84CED" w:rsidRDefault="00794452" w14:paraId="6B5BB04B" w14:textId="77777777">
      <w:pPr>
        <w:pStyle w:val="Heading1"/>
      </w:pPr>
      <w:bookmarkStart w:name="COM(2025)123:_Mid-term_review_of_Cohesio" w:id="31"/>
      <w:bookmarkStart w:name="_bookmark14" w:id="32"/>
      <w:bookmarkEnd w:id="31"/>
      <w:bookmarkEnd w:id="32"/>
      <w:r>
        <w:rPr>
          <w:color w:val="3A5C66"/>
          <w:spacing w:val="-6"/>
        </w:rPr>
        <w:t>COM(2025)123:</w:t>
      </w:r>
      <w:r>
        <w:rPr>
          <w:color w:val="3A5C66"/>
          <w:spacing w:val="-4"/>
        </w:rPr>
        <w:t xml:space="preserve"> </w:t>
      </w:r>
      <w:r>
        <w:rPr>
          <w:color w:val="3A5C66"/>
          <w:spacing w:val="-6"/>
        </w:rPr>
        <w:t>Mid-term</w:t>
      </w:r>
      <w:r>
        <w:rPr>
          <w:color w:val="3A5C66"/>
          <w:spacing w:val="-7"/>
        </w:rPr>
        <w:t xml:space="preserve"> </w:t>
      </w:r>
      <w:r>
        <w:rPr>
          <w:color w:val="3A5C66"/>
          <w:spacing w:val="-6"/>
        </w:rPr>
        <w:t>review of Cohesion</w:t>
      </w:r>
      <w:r>
        <w:rPr>
          <w:color w:val="3A5C66"/>
          <w:spacing w:val="-7"/>
        </w:rPr>
        <w:t xml:space="preserve"> </w:t>
      </w:r>
      <w:r>
        <w:rPr>
          <w:color w:val="3A5C66"/>
          <w:spacing w:val="-6"/>
        </w:rPr>
        <w:t>Policy</w:t>
      </w:r>
    </w:p>
    <w:p w:rsidR="00B84CED" w:rsidRDefault="00794452" w14:paraId="37872C40" w14:textId="77777777">
      <w:pPr>
        <w:pStyle w:val="BodyText"/>
        <w:spacing w:before="154" w:line="357" w:lineRule="auto"/>
        <w:ind w:left="1" w:right="530"/>
      </w:pPr>
      <w:r>
        <w:rPr>
          <w:w w:val="110"/>
        </w:rPr>
        <w:t>COM(2025)123</w:t>
      </w:r>
      <w:r>
        <w:rPr>
          <w:spacing w:val="-4"/>
          <w:w w:val="110"/>
        </w:rPr>
        <w:t xml:space="preserve"> </w:t>
      </w:r>
      <w:r>
        <w:rPr>
          <w:w w:val="110"/>
        </w:rPr>
        <w:t>is</w:t>
      </w:r>
      <w:r>
        <w:rPr>
          <w:spacing w:val="-3"/>
          <w:w w:val="110"/>
        </w:rPr>
        <w:t xml:space="preserve"> </w:t>
      </w:r>
      <w:r>
        <w:rPr>
          <w:w w:val="110"/>
        </w:rPr>
        <w:t>a</w:t>
      </w:r>
      <w:r>
        <w:rPr>
          <w:spacing w:val="-2"/>
          <w:w w:val="110"/>
        </w:rPr>
        <w:t xml:space="preserve"> </w:t>
      </w:r>
      <w:r>
        <w:rPr>
          <w:w w:val="110"/>
        </w:rPr>
        <w:t>proposal</w:t>
      </w:r>
      <w:r>
        <w:rPr>
          <w:spacing w:val="-4"/>
          <w:w w:val="110"/>
        </w:rPr>
        <w:t xml:space="preserve"> </w:t>
      </w:r>
      <w:r>
        <w:rPr>
          <w:w w:val="110"/>
        </w:rPr>
        <w:t>for</w:t>
      </w:r>
      <w:r>
        <w:rPr>
          <w:spacing w:val="-1"/>
          <w:w w:val="110"/>
        </w:rPr>
        <w:t xml:space="preserve"> </w:t>
      </w:r>
      <w:r>
        <w:rPr>
          <w:w w:val="110"/>
        </w:rPr>
        <w:t>a</w:t>
      </w:r>
      <w:r>
        <w:rPr>
          <w:spacing w:val="-4"/>
          <w:w w:val="110"/>
        </w:rPr>
        <w:t xml:space="preserve"> </w:t>
      </w:r>
      <w:r>
        <w:rPr>
          <w:w w:val="110"/>
        </w:rPr>
        <w:t>regulation</w:t>
      </w:r>
      <w:r>
        <w:rPr>
          <w:spacing w:val="-5"/>
          <w:w w:val="110"/>
        </w:rPr>
        <w:t xml:space="preserve"> </w:t>
      </w:r>
      <w:r>
        <w:rPr>
          <w:w w:val="110"/>
        </w:rPr>
        <w:t>of</w:t>
      </w:r>
      <w:r>
        <w:rPr>
          <w:spacing w:val="-1"/>
          <w:w w:val="110"/>
        </w:rPr>
        <w:t xml:space="preserve"> </w:t>
      </w:r>
      <w:r>
        <w:rPr>
          <w:w w:val="110"/>
        </w:rPr>
        <w:t>the</w:t>
      </w:r>
      <w:r>
        <w:rPr>
          <w:spacing w:val="-3"/>
          <w:w w:val="110"/>
        </w:rPr>
        <w:t xml:space="preserve"> </w:t>
      </w:r>
      <w:r>
        <w:rPr>
          <w:w w:val="110"/>
        </w:rPr>
        <w:t>European</w:t>
      </w:r>
      <w:r>
        <w:rPr>
          <w:spacing w:val="-5"/>
          <w:w w:val="110"/>
        </w:rPr>
        <w:t xml:space="preserve"> </w:t>
      </w:r>
      <w:r>
        <w:rPr>
          <w:w w:val="110"/>
        </w:rPr>
        <w:t>Parliament</w:t>
      </w:r>
      <w:r>
        <w:rPr>
          <w:spacing w:val="-4"/>
          <w:w w:val="110"/>
        </w:rPr>
        <w:t xml:space="preserve"> </w:t>
      </w:r>
      <w:r>
        <w:rPr>
          <w:w w:val="110"/>
        </w:rPr>
        <w:t>and</w:t>
      </w:r>
      <w:r>
        <w:rPr>
          <w:spacing w:val="-2"/>
          <w:w w:val="110"/>
        </w:rPr>
        <w:t xml:space="preserve"> </w:t>
      </w:r>
      <w:r>
        <w:rPr>
          <w:w w:val="110"/>
        </w:rPr>
        <w:t>of</w:t>
      </w:r>
      <w:r>
        <w:rPr>
          <w:spacing w:val="-3"/>
          <w:w w:val="110"/>
        </w:rPr>
        <w:t xml:space="preserve"> </w:t>
      </w:r>
      <w:r>
        <w:rPr>
          <w:w w:val="110"/>
        </w:rPr>
        <w:t>the Council amending Regulations (EU)</w:t>
      </w:r>
      <w:r>
        <w:rPr>
          <w:spacing w:val="28"/>
          <w:w w:val="110"/>
        </w:rPr>
        <w:t xml:space="preserve"> </w:t>
      </w:r>
      <w:r>
        <w:rPr>
          <w:w w:val="110"/>
        </w:rPr>
        <w:t>2021/1058 and (EU) 2021/1056 as</w:t>
      </w:r>
      <w:r>
        <w:rPr>
          <w:spacing w:val="28"/>
          <w:w w:val="110"/>
        </w:rPr>
        <w:t xml:space="preserve"> </w:t>
      </w:r>
      <w:r>
        <w:rPr>
          <w:w w:val="110"/>
        </w:rPr>
        <w:t>regards specific measures</w:t>
      </w:r>
      <w:r>
        <w:rPr>
          <w:spacing w:val="40"/>
          <w:w w:val="110"/>
        </w:rPr>
        <w:t xml:space="preserve"> </w:t>
      </w:r>
      <w:r>
        <w:rPr>
          <w:w w:val="110"/>
        </w:rPr>
        <w:t>to address strategic challenges in the context of the mid-term review.</w:t>
      </w:r>
    </w:p>
    <w:p w:rsidR="00B84CED" w:rsidRDefault="00794452" w14:paraId="57B96898" w14:textId="77777777">
      <w:pPr>
        <w:pStyle w:val="Heading2"/>
        <w:spacing w:before="204"/>
        <w:ind w:left="1"/>
        <w:jc w:val="both"/>
      </w:pPr>
      <w:bookmarkStart w:name="Background_to_proposal" w:id="33"/>
      <w:bookmarkStart w:name="_bookmark15" w:id="34"/>
      <w:bookmarkEnd w:id="33"/>
      <w:bookmarkEnd w:id="34"/>
      <w:r>
        <w:rPr>
          <w:color w:val="3A5C66"/>
          <w:w w:val="110"/>
        </w:rPr>
        <w:t>Background</w:t>
      </w:r>
      <w:r>
        <w:rPr>
          <w:color w:val="3A5C66"/>
          <w:spacing w:val="-5"/>
          <w:w w:val="110"/>
        </w:rPr>
        <w:t xml:space="preserve"> </w:t>
      </w:r>
      <w:r>
        <w:rPr>
          <w:color w:val="3A5C66"/>
          <w:w w:val="110"/>
        </w:rPr>
        <w:t>to</w:t>
      </w:r>
      <w:r>
        <w:rPr>
          <w:color w:val="3A5C66"/>
          <w:spacing w:val="-4"/>
          <w:w w:val="110"/>
        </w:rPr>
        <w:t xml:space="preserve"> </w:t>
      </w:r>
      <w:r>
        <w:rPr>
          <w:color w:val="3A5C66"/>
          <w:spacing w:val="-2"/>
          <w:w w:val="110"/>
        </w:rPr>
        <w:t>proposal</w:t>
      </w:r>
    </w:p>
    <w:p w:rsidR="00B84CED" w:rsidRDefault="00794452" w14:paraId="7EEE64C9" w14:textId="77777777">
      <w:pPr>
        <w:pStyle w:val="BodyText"/>
        <w:spacing w:before="124" w:line="357" w:lineRule="auto"/>
        <w:ind w:left="1" w:right="863"/>
        <w:jc w:val="both"/>
      </w:pPr>
      <w:r>
        <w:rPr>
          <w:w w:val="110"/>
        </w:rPr>
        <w:t>The EU’s main investment policy encompasses a number of programmes which seek to support job creation, competitiveness,</w:t>
      </w:r>
      <w:r>
        <w:rPr>
          <w:spacing w:val="-2"/>
          <w:w w:val="110"/>
        </w:rPr>
        <w:t xml:space="preserve"> </w:t>
      </w:r>
      <w:r>
        <w:rPr>
          <w:w w:val="110"/>
        </w:rPr>
        <w:t>economic growth,</w:t>
      </w:r>
      <w:r>
        <w:rPr>
          <w:spacing w:val="-2"/>
          <w:w w:val="110"/>
        </w:rPr>
        <w:t xml:space="preserve"> </w:t>
      </w:r>
      <w:r>
        <w:rPr>
          <w:w w:val="110"/>
        </w:rPr>
        <w:t>sustainable development and improvements</w:t>
      </w:r>
      <w:r>
        <w:rPr>
          <w:spacing w:val="-5"/>
          <w:w w:val="110"/>
        </w:rPr>
        <w:t xml:space="preserve"> </w:t>
      </w:r>
      <w:r>
        <w:rPr>
          <w:w w:val="110"/>
        </w:rPr>
        <w:t>to</w:t>
      </w:r>
      <w:r>
        <w:rPr>
          <w:spacing w:val="-3"/>
          <w:w w:val="110"/>
        </w:rPr>
        <w:t xml:space="preserve"> </w:t>
      </w:r>
      <w:r>
        <w:rPr>
          <w:w w:val="110"/>
        </w:rPr>
        <w:t>quality</w:t>
      </w:r>
      <w:r>
        <w:rPr>
          <w:spacing w:val="-6"/>
          <w:w w:val="110"/>
        </w:rPr>
        <w:t xml:space="preserve"> </w:t>
      </w:r>
      <w:r>
        <w:rPr>
          <w:w w:val="110"/>
        </w:rPr>
        <w:t>of</w:t>
      </w:r>
      <w:r>
        <w:rPr>
          <w:spacing w:val="-5"/>
          <w:w w:val="110"/>
        </w:rPr>
        <w:t xml:space="preserve"> </w:t>
      </w:r>
      <w:r>
        <w:rPr>
          <w:w w:val="110"/>
        </w:rPr>
        <w:t>life.</w:t>
      </w:r>
      <w:r>
        <w:rPr>
          <w:spacing w:val="-5"/>
          <w:w w:val="110"/>
        </w:rPr>
        <w:t xml:space="preserve"> </w:t>
      </w:r>
      <w:r>
        <w:rPr>
          <w:w w:val="110"/>
        </w:rPr>
        <w:t>Cohesion</w:t>
      </w:r>
      <w:r>
        <w:rPr>
          <w:spacing w:val="-5"/>
          <w:w w:val="110"/>
        </w:rPr>
        <w:t xml:space="preserve"> </w:t>
      </w:r>
      <w:r>
        <w:rPr>
          <w:w w:val="110"/>
        </w:rPr>
        <w:t>policy</w:t>
      </w:r>
      <w:r>
        <w:rPr>
          <w:spacing w:val="-4"/>
          <w:w w:val="110"/>
        </w:rPr>
        <w:t xml:space="preserve"> </w:t>
      </w:r>
      <w:r>
        <w:rPr>
          <w:w w:val="110"/>
        </w:rPr>
        <w:t>is</w:t>
      </w:r>
      <w:r>
        <w:rPr>
          <w:spacing w:val="-4"/>
          <w:w w:val="110"/>
        </w:rPr>
        <w:t xml:space="preserve"> </w:t>
      </w:r>
      <w:r>
        <w:rPr>
          <w:w w:val="110"/>
        </w:rPr>
        <w:t>delivered</w:t>
      </w:r>
      <w:r>
        <w:rPr>
          <w:spacing w:val="-5"/>
          <w:w w:val="110"/>
        </w:rPr>
        <w:t xml:space="preserve"> </w:t>
      </w:r>
      <w:r>
        <w:rPr>
          <w:w w:val="110"/>
        </w:rPr>
        <w:t>through</w:t>
      </w:r>
      <w:r>
        <w:rPr>
          <w:spacing w:val="-6"/>
          <w:w w:val="110"/>
        </w:rPr>
        <w:t xml:space="preserve"> </w:t>
      </w:r>
      <w:r>
        <w:rPr>
          <w:w w:val="110"/>
        </w:rPr>
        <w:t>four</w:t>
      </w:r>
      <w:r>
        <w:rPr>
          <w:spacing w:val="-5"/>
          <w:w w:val="110"/>
        </w:rPr>
        <w:t xml:space="preserve"> </w:t>
      </w:r>
      <w:r>
        <w:rPr>
          <w:w w:val="110"/>
        </w:rPr>
        <w:t>specific</w:t>
      </w:r>
      <w:r>
        <w:rPr>
          <w:spacing w:val="-6"/>
          <w:w w:val="110"/>
        </w:rPr>
        <w:t xml:space="preserve"> </w:t>
      </w:r>
      <w:r>
        <w:rPr>
          <w:w w:val="110"/>
        </w:rPr>
        <w:t xml:space="preserve">funds, </w:t>
      </w:r>
      <w:r>
        <w:rPr>
          <w:spacing w:val="-2"/>
          <w:w w:val="110"/>
        </w:rPr>
        <w:t>namely:</w:t>
      </w:r>
    </w:p>
    <w:p w:rsidR="00B84CED" w:rsidRDefault="00794452" w14:paraId="1A9D5D7F" w14:textId="77777777">
      <w:pPr>
        <w:pStyle w:val="Heading3"/>
        <w:numPr>
          <w:ilvl w:val="0"/>
          <w:numId w:val="4"/>
        </w:numPr>
        <w:tabs>
          <w:tab w:val="left" w:pos="939"/>
        </w:tabs>
        <w:spacing w:before="149"/>
        <w:ind w:left="939" w:hanging="362"/>
        <w:rPr>
          <w:rFonts w:ascii="Calibri" w:hAnsi="Calibri"/>
          <w:b w:val="0"/>
          <w:u w:val="none"/>
        </w:rPr>
      </w:pPr>
      <w:r>
        <w:rPr>
          <w:rFonts w:ascii="Calibri" w:hAnsi="Calibri"/>
          <w:b w:val="0"/>
          <w:spacing w:val="-4"/>
          <w:u w:val="none"/>
        </w:rPr>
        <w:t>The</w:t>
      </w:r>
      <w:r>
        <w:rPr>
          <w:rFonts w:ascii="Calibri" w:hAnsi="Calibri"/>
          <w:b w:val="0"/>
          <w:spacing w:val="7"/>
          <w:u w:val="none"/>
        </w:rPr>
        <w:t xml:space="preserve"> </w:t>
      </w:r>
      <w:hyperlink r:id="rId25">
        <w:r>
          <w:rPr>
            <w:color w:val="0000FF"/>
            <w:spacing w:val="-4"/>
            <w:u w:color="0000FF"/>
          </w:rPr>
          <w:t>European Regional</w:t>
        </w:r>
        <w:r>
          <w:rPr>
            <w:color w:val="0000FF"/>
            <w:spacing w:val="-7"/>
            <w:u w:color="0000FF"/>
          </w:rPr>
          <w:t xml:space="preserve"> </w:t>
        </w:r>
        <w:r>
          <w:rPr>
            <w:color w:val="0000FF"/>
            <w:spacing w:val="-4"/>
            <w:u w:color="0000FF"/>
          </w:rPr>
          <w:t>Development</w:t>
        </w:r>
        <w:r>
          <w:rPr>
            <w:color w:val="0000FF"/>
            <w:spacing w:val="-6"/>
            <w:u w:color="0000FF"/>
          </w:rPr>
          <w:t xml:space="preserve"> </w:t>
        </w:r>
        <w:r>
          <w:rPr>
            <w:color w:val="0000FF"/>
            <w:spacing w:val="-4"/>
            <w:u w:color="0000FF"/>
          </w:rPr>
          <w:t>Fund</w:t>
        </w:r>
        <w:r>
          <w:rPr>
            <w:color w:val="0000FF"/>
            <w:spacing w:val="-2"/>
            <w:u w:color="0000FF"/>
          </w:rPr>
          <w:t xml:space="preserve"> </w:t>
        </w:r>
        <w:r>
          <w:rPr>
            <w:color w:val="0000FF"/>
            <w:spacing w:val="-4"/>
            <w:u w:color="0000FF"/>
          </w:rPr>
          <w:t>(ERDF)</w:t>
        </w:r>
      </w:hyperlink>
      <w:r>
        <w:rPr>
          <w:rFonts w:ascii="Calibri" w:hAnsi="Calibri"/>
          <w:b w:val="0"/>
          <w:spacing w:val="-4"/>
          <w:u w:val="none"/>
        </w:rPr>
        <w:t>,</w:t>
      </w:r>
    </w:p>
    <w:p w:rsidR="00B84CED" w:rsidRDefault="00B84CED" w14:paraId="221888F6" w14:textId="77777777">
      <w:pPr>
        <w:pStyle w:val="BodyText"/>
        <w:spacing w:before="13"/>
      </w:pPr>
    </w:p>
    <w:p w:rsidR="00B84CED" w:rsidRDefault="00794452" w14:paraId="224B0535" w14:textId="77777777">
      <w:pPr>
        <w:pStyle w:val="Heading3"/>
        <w:numPr>
          <w:ilvl w:val="0"/>
          <w:numId w:val="4"/>
        </w:numPr>
        <w:tabs>
          <w:tab w:val="left" w:pos="939"/>
        </w:tabs>
        <w:ind w:left="939" w:hanging="362"/>
        <w:rPr>
          <w:u w:val="none"/>
        </w:rPr>
      </w:pPr>
      <w:r>
        <w:rPr>
          <w:rFonts w:ascii="Calibri" w:hAnsi="Calibri"/>
          <w:b w:val="0"/>
          <w:u w:val="none"/>
        </w:rPr>
        <w:t>The</w:t>
      </w:r>
      <w:r>
        <w:rPr>
          <w:rFonts w:ascii="Calibri" w:hAnsi="Calibri"/>
          <w:b w:val="0"/>
          <w:spacing w:val="-9"/>
          <w:u w:val="none"/>
        </w:rPr>
        <w:t xml:space="preserve"> </w:t>
      </w:r>
      <w:hyperlink r:id="rId26">
        <w:r>
          <w:rPr>
            <w:color w:val="0000FF"/>
            <w:u w:color="0000FF"/>
          </w:rPr>
          <w:t>Cohesion</w:t>
        </w:r>
        <w:r>
          <w:rPr>
            <w:color w:val="0000FF"/>
            <w:spacing w:val="-15"/>
            <w:u w:color="0000FF"/>
          </w:rPr>
          <w:t xml:space="preserve"> </w:t>
        </w:r>
        <w:r>
          <w:rPr>
            <w:color w:val="0000FF"/>
            <w:u w:color="0000FF"/>
          </w:rPr>
          <w:t>Fund</w:t>
        </w:r>
        <w:r>
          <w:rPr>
            <w:color w:val="0000FF"/>
            <w:spacing w:val="-16"/>
            <w:u w:color="0000FF"/>
          </w:rPr>
          <w:t xml:space="preserve"> </w:t>
        </w:r>
        <w:r>
          <w:rPr>
            <w:color w:val="0000FF"/>
            <w:spacing w:val="-4"/>
            <w:u w:color="0000FF"/>
          </w:rPr>
          <w:t>(CF)</w:t>
        </w:r>
      </w:hyperlink>
    </w:p>
    <w:p w:rsidR="00B84CED" w:rsidRDefault="00B84CED" w14:paraId="331392CE" w14:textId="77777777">
      <w:pPr>
        <w:pStyle w:val="BodyText"/>
        <w:spacing w:before="9"/>
        <w:rPr>
          <w:rFonts w:ascii="Century Gothic"/>
          <w:b/>
        </w:rPr>
      </w:pPr>
    </w:p>
    <w:p w:rsidR="00B84CED" w:rsidRDefault="00794452" w14:paraId="10F3A66E" w14:textId="77777777">
      <w:pPr>
        <w:pStyle w:val="Heading3"/>
        <w:numPr>
          <w:ilvl w:val="0"/>
          <w:numId w:val="4"/>
        </w:numPr>
        <w:tabs>
          <w:tab w:val="left" w:pos="939"/>
        </w:tabs>
        <w:ind w:left="939" w:hanging="362"/>
        <w:rPr>
          <w:u w:val="none"/>
        </w:rPr>
      </w:pPr>
      <w:r>
        <w:rPr>
          <w:rFonts w:ascii="Calibri" w:hAnsi="Calibri"/>
          <w:b w:val="0"/>
          <w:u w:val="none"/>
        </w:rPr>
        <w:t>The</w:t>
      </w:r>
      <w:r>
        <w:rPr>
          <w:rFonts w:ascii="Calibri" w:hAnsi="Calibri"/>
          <w:b w:val="0"/>
          <w:spacing w:val="7"/>
          <w:u w:val="none"/>
        </w:rPr>
        <w:t xml:space="preserve"> </w:t>
      </w:r>
      <w:hyperlink r:id="rId27">
        <w:r>
          <w:rPr>
            <w:color w:val="0000FF"/>
            <w:u w:color="0000FF"/>
          </w:rPr>
          <w:t>European</w:t>
        </w:r>
        <w:r>
          <w:rPr>
            <w:color w:val="0000FF"/>
            <w:spacing w:val="-4"/>
            <w:u w:color="0000FF"/>
          </w:rPr>
          <w:t xml:space="preserve"> </w:t>
        </w:r>
        <w:r>
          <w:rPr>
            <w:color w:val="0000FF"/>
            <w:u w:color="0000FF"/>
          </w:rPr>
          <w:t>Social</w:t>
        </w:r>
        <w:r>
          <w:rPr>
            <w:color w:val="0000FF"/>
            <w:spacing w:val="-2"/>
            <w:u w:color="0000FF"/>
          </w:rPr>
          <w:t xml:space="preserve"> </w:t>
        </w:r>
        <w:r>
          <w:rPr>
            <w:color w:val="0000FF"/>
            <w:u w:color="0000FF"/>
          </w:rPr>
          <w:t>Fund</w:t>
        </w:r>
        <w:r>
          <w:rPr>
            <w:color w:val="0000FF"/>
            <w:spacing w:val="-2"/>
            <w:u w:color="0000FF"/>
          </w:rPr>
          <w:t xml:space="preserve"> </w:t>
        </w:r>
        <w:r>
          <w:rPr>
            <w:color w:val="0000FF"/>
            <w:u w:color="0000FF"/>
          </w:rPr>
          <w:t>Plus</w:t>
        </w:r>
        <w:r>
          <w:rPr>
            <w:color w:val="0000FF"/>
            <w:spacing w:val="-6"/>
            <w:u w:color="0000FF"/>
          </w:rPr>
          <w:t xml:space="preserve"> </w:t>
        </w:r>
        <w:r>
          <w:rPr>
            <w:color w:val="0000FF"/>
            <w:spacing w:val="-2"/>
            <w:u w:color="0000FF"/>
          </w:rPr>
          <w:t>(ESF+)</w:t>
        </w:r>
      </w:hyperlink>
    </w:p>
    <w:p w:rsidR="00B84CED" w:rsidRDefault="00B84CED" w14:paraId="6E448946" w14:textId="77777777">
      <w:pPr>
        <w:pStyle w:val="BodyText"/>
        <w:spacing w:before="11"/>
        <w:rPr>
          <w:rFonts w:ascii="Century Gothic"/>
          <w:b/>
        </w:rPr>
      </w:pPr>
    </w:p>
    <w:p w:rsidR="00B84CED" w:rsidRDefault="00794452" w14:paraId="56532EED" w14:textId="77777777">
      <w:pPr>
        <w:pStyle w:val="Heading3"/>
        <w:numPr>
          <w:ilvl w:val="0"/>
          <w:numId w:val="4"/>
        </w:numPr>
        <w:tabs>
          <w:tab w:val="left" w:pos="939"/>
        </w:tabs>
        <w:spacing w:before="1"/>
        <w:ind w:left="939" w:hanging="362"/>
        <w:rPr>
          <w:u w:val="none"/>
        </w:rPr>
      </w:pPr>
      <w:r>
        <w:rPr>
          <w:rFonts w:ascii="Calibri" w:hAnsi="Calibri"/>
          <w:b w:val="0"/>
          <w:u w:val="none"/>
        </w:rPr>
        <w:t>The</w:t>
      </w:r>
      <w:r>
        <w:rPr>
          <w:rFonts w:ascii="Calibri" w:hAnsi="Calibri"/>
          <w:b w:val="0"/>
          <w:spacing w:val="37"/>
          <w:u w:val="none"/>
        </w:rPr>
        <w:t xml:space="preserve"> </w:t>
      </w:r>
      <w:hyperlink r:id="rId28">
        <w:r>
          <w:rPr>
            <w:color w:val="0000FF"/>
            <w:u w:color="0000FF"/>
          </w:rPr>
          <w:t>Just</w:t>
        </w:r>
        <w:r>
          <w:rPr>
            <w:color w:val="0000FF"/>
            <w:spacing w:val="27"/>
            <w:u w:color="0000FF"/>
          </w:rPr>
          <w:t xml:space="preserve"> </w:t>
        </w:r>
        <w:r>
          <w:rPr>
            <w:color w:val="0000FF"/>
            <w:u w:color="0000FF"/>
          </w:rPr>
          <w:t>Transition</w:t>
        </w:r>
        <w:r>
          <w:rPr>
            <w:color w:val="0000FF"/>
            <w:spacing w:val="25"/>
            <w:u w:color="0000FF"/>
          </w:rPr>
          <w:t xml:space="preserve"> </w:t>
        </w:r>
        <w:r>
          <w:rPr>
            <w:color w:val="0000FF"/>
            <w:u w:color="0000FF"/>
          </w:rPr>
          <w:t>Fund</w:t>
        </w:r>
        <w:r>
          <w:rPr>
            <w:color w:val="0000FF"/>
            <w:spacing w:val="29"/>
            <w:u w:color="0000FF"/>
          </w:rPr>
          <w:t xml:space="preserve"> </w:t>
        </w:r>
        <w:r>
          <w:rPr>
            <w:color w:val="0000FF"/>
            <w:spacing w:val="-4"/>
            <w:u w:color="0000FF"/>
          </w:rPr>
          <w:t>(JTF)</w:t>
        </w:r>
      </w:hyperlink>
    </w:p>
    <w:p w:rsidR="00B84CED" w:rsidRDefault="00B84CED" w14:paraId="503C1489" w14:textId="77777777">
      <w:pPr>
        <w:pStyle w:val="BodyText"/>
        <w:spacing w:before="20"/>
        <w:rPr>
          <w:rFonts w:ascii="Century Gothic"/>
          <w:b/>
        </w:rPr>
      </w:pPr>
    </w:p>
    <w:p w:rsidR="00B84CED" w:rsidRDefault="00794452" w14:paraId="2BECAED4" w14:textId="77777777">
      <w:pPr>
        <w:pStyle w:val="BodyText"/>
        <w:spacing w:before="1" w:line="357" w:lineRule="auto"/>
        <w:ind w:left="1" w:right="450"/>
      </w:pPr>
      <w:r>
        <w:rPr>
          <w:w w:val="110"/>
        </w:rPr>
        <w:t>The</w:t>
      </w:r>
      <w:r>
        <w:rPr>
          <w:spacing w:val="-6"/>
          <w:w w:val="110"/>
        </w:rPr>
        <w:t xml:space="preserve"> </w:t>
      </w:r>
      <w:r>
        <w:rPr>
          <w:w w:val="110"/>
        </w:rPr>
        <w:t>legal</w:t>
      </w:r>
      <w:r>
        <w:rPr>
          <w:spacing w:val="-7"/>
          <w:w w:val="110"/>
        </w:rPr>
        <w:t xml:space="preserve"> </w:t>
      </w:r>
      <w:r>
        <w:rPr>
          <w:w w:val="110"/>
        </w:rPr>
        <w:t>framework</w:t>
      </w:r>
      <w:r>
        <w:rPr>
          <w:spacing w:val="-6"/>
          <w:w w:val="110"/>
        </w:rPr>
        <w:t xml:space="preserve"> </w:t>
      </w:r>
      <w:r>
        <w:rPr>
          <w:w w:val="110"/>
        </w:rPr>
        <w:t>for</w:t>
      </w:r>
      <w:r>
        <w:rPr>
          <w:spacing w:val="-6"/>
          <w:w w:val="110"/>
        </w:rPr>
        <w:t xml:space="preserve"> </w:t>
      </w:r>
      <w:r>
        <w:rPr>
          <w:w w:val="110"/>
        </w:rPr>
        <w:t>the</w:t>
      </w:r>
      <w:r>
        <w:rPr>
          <w:spacing w:val="-4"/>
          <w:w w:val="110"/>
        </w:rPr>
        <w:t xml:space="preserve"> </w:t>
      </w:r>
      <w:r>
        <w:rPr>
          <w:w w:val="110"/>
        </w:rPr>
        <w:t>cohesion</w:t>
      </w:r>
      <w:r>
        <w:rPr>
          <w:spacing w:val="-5"/>
          <w:w w:val="110"/>
        </w:rPr>
        <w:t xml:space="preserve"> </w:t>
      </w:r>
      <w:r>
        <w:rPr>
          <w:w w:val="110"/>
        </w:rPr>
        <w:t>policy</w:t>
      </w:r>
      <w:r>
        <w:rPr>
          <w:spacing w:val="-5"/>
          <w:w w:val="110"/>
        </w:rPr>
        <w:t xml:space="preserve"> </w:t>
      </w:r>
      <w:r>
        <w:rPr>
          <w:w w:val="110"/>
        </w:rPr>
        <w:t>programmes</w:t>
      </w:r>
      <w:r>
        <w:rPr>
          <w:spacing w:val="-6"/>
          <w:w w:val="110"/>
        </w:rPr>
        <w:t xml:space="preserve"> </w:t>
      </w:r>
      <w:r>
        <w:rPr>
          <w:w w:val="110"/>
        </w:rPr>
        <w:t>provides</w:t>
      </w:r>
      <w:r>
        <w:rPr>
          <w:spacing w:val="-6"/>
          <w:w w:val="110"/>
        </w:rPr>
        <w:t xml:space="preserve"> </w:t>
      </w:r>
      <w:r>
        <w:rPr>
          <w:w w:val="110"/>
        </w:rPr>
        <w:t>for</w:t>
      </w:r>
      <w:r>
        <w:rPr>
          <w:spacing w:val="-6"/>
          <w:w w:val="110"/>
        </w:rPr>
        <w:t xml:space="preserve"> </w:t>
      </w:r>
      <w:r>
        <w:rPr>
          <w:w w:val="110"/>
        </w:rPr>
        <w:t>a</w:t>
      </w:r>
      <w:r>
        <w:rPr>
          <w:spacing w:val="-5"/>
          <w:w w:val="110"/>
        </w:rPr>
        <w:t xml:space="preserve"> </w:t>
      </w:r>
      <w:r>
        <w:rPr>
          <w:w w:val="110"/>
        </w:rPr>
        <w:t>mid-term</w:t>
      </w:r>
      <w:r>
        <w:rPr>
          <w:spacing w:val="-8"/>
          <w:w w:val="110"/>
        </w:rPr>
        <w:t xml:space="preserve"> </w:t>
      </w:r>
      <w:r>
        <w:rPr>
          <w:w w:val="110"/>
        </w:rPr>
        <w:t>review</w:t>
      </w:r>
      <w:r>
        <w:rPr>
          <w:spacing w:val="-5"/>
          <w:w w:val="110"/>
        </w:rPr>
        <w:t xml:space="preserve"> </w:t>
      </w:r>
      <w:r>
        <w:rPr>
          <w:w w:val="110"/>
        </w:rPr>
        <w:t xml:space="preserve">in 2025, offering member states the option to redirect resources from the 2021-2027 period towards investment in areas such as EU defence capabilities, competitiveness and other emerging priorities, by submitting corresponding programme amendments to the </w:t>
      </w:r>
      <w:r>
        <w:rPr>
          <w:spacing w:val="-2"/>
          <w:w w:val="110"/>
        </w:rPr>
        <w:t>Commission.</w:t>
      </w:r>
    </w:p>
    <w:p w:rsidR="00B84CED" w:rsidRDefault="00794452" w14:paraId="31FBB370" w14:textId="77777777">
      <w:pPr>
        <w:pStyle w:val="BodyText"/>
        <w:spacing w:before="161" w:line="357" w:lineRule="auto"/>
        <w:ind w:left="1"/>
      </w:pPr>
      <w:r>
        <w:rPr>
          <w:w w:val="110"/>
        </w:rPr>
        <w:t>However, the Commission has taken the view that the framework for cohesion policy investments as set out in the ERDF, Cohesion Fund and JTF regulations is not sufficiently</w:t>
      </w:r>
    </w:p>
    <w:p w:rsidR="00B84CED" w:rsidRDefault="00B84CED" w14:paraId="201FA0E9" w14:textId="77777777">
      <w:pPr>
        <w:pStyle w:val="BodyText"/>
        <w:spacing w:line="357" w:lineRule="auto"/>
        <w:sectPr w:rsidR="00B84CED" w:rsidSect="00196DB0">
          <w:footerReference w:type="even" r:id="Read5b055a9624a94"/>
          <w:footerReference w:type="first" r:id="Rb6ec0d4d4f6d4a5a"/>
          <w:headerReference w:type="even" r:id="Rf246f23745464066"/>
          <w:headerReference w:type="first" r:id="R68903eb363814e6a"/>
          <w:pgSz w:w="11907" w:h="16839"/>
          <w:pgMar w:top="1134" w:right="1134" w:bottom="1134" w:left="1134" w:header="567" w:footer="567" w:gutter="0"/>
          <w:cols w:space="720"/>
          <w:docGrid w:linePitch="299"/>
        </w:sectPr>
      </w:pPr>
    </w:p>
    <w:p w:rsidR="00B84CED" w:rsidRDefault="00794452" w14:paraId="786CE096" w14:textId="77777777">
      <w:pPr>
        <w:pStyle w:val="BodyText"/>
        <w:spacing w:before="109" w:line="357" w:lineRule="auto"/>
        <w:ind w:left="1"/>
      </w:pPr>
      <w:r>
        <w:rPr>
          <w:w w:val="110"/>
        </w:rPr>
        <w:lastRenderedPageBreak/>
        <w:t>aligned</w:t>
      </w:r>
      <w:r>
        <w:rPr>
          <w:spacing w:val="-7"/>
          <w:w w:val="110"/>
        </w:rPr>
        <w:t xml:space="preserve"> </w:t>
      </w:r>
      <w:r>
        <w:rPr>
          <w:w w:val="110"/>
        </w:rPr>
        <w:t>with</w:t>
      </w:r>
      <w:r>
        <w:rPr>
          <w:spacing w:val="-6"/>
          <w:w w:val="110"/>
        </w:rPr>
        <w:t xml:space="preserve"> </w:t>
      </w:r>
      <w:r>
        <w:rPr>
          <w:w w:val="110"/>
        </w:rPr>
        <w:t>emerging</w:t>
      </w:r>
      <w:r>
        <w:rPr>
          <w:spacing w:val="-5"/>
          <w:w w:val="110"/>
        </w:rPr>
        <w:t xml:space="preserve"> </w:t>
      </w:r>
      <w:r>
        <w:rPr>
          <w:w w:val="110"/>
        </w:rPr>
        <w:t>priorities</w:t>
      </w:r>
      <w:r>
        <w:rPr>
          <w:spacing w:val="-5"/>
          <w:w w:val="110"/>
        </w:rPr>
        <w:t xml:space="preserve"> </w:t>
      </w:r>
      <w:r>
        <w:rPr>
          <w:w w:val="110"/>
        </w:rPr>
        <w:t>and</w:t>
      </w:r>
      <w:r>
        <w:rPr>
          <w:spacing w:val="-4"/>
          <w:w w:val="110"/>
        </w:rPr>
        <w:t xml:space="preserve"> </w:t>
      </w:r>
      <w:r>
        <w:rPr>
          <w:w w:val="110"/>
        </w:rPr>
        <w:t>further,</w:t>
      </w:r>
      <w:r>
        <w:rPr>
          <w:spacing w:val="-6"/>
          <w:w w:val="110"/>
        </w:rPr>
        <w:t xml:space="preserve"> </w:t>
      </w:r>
      <w:r>
        <w:rPr>
          <w:w w:val="110"/>
        </w:rPr>
        <w:t>additional</w:t>
      </w:r>
      <w:r>
        <w:rPr>
          <w:spacing w:val="-3"/>
          <w:w w:val="110"/>
        </w:rPr>
        <w:t xml:space="preserve"> </w:t>
      </w:r>
      <w:r>
        <w:rPr>
          <w:w w:val="110"/>
        </w:rPr>
        <w:t>flexibility</w:t>
      </w:r>
      <w:r>
        <w:rPr>
          <w:spacing w:val="-3"/>
          <w:w w:val="110"/>
        </w:rPr>
        <w:t xml:space="preserve"> </w:t>
      </w:r>
      <w:r>
        <w:rPr>
          <w:w w:val="110"/>
        </w:rPr>
        <w:t>is</w:t>
      </w:r>
      <w:r>
        <w:rPr>
          <w:spacing w:val="-3"/>
          <w:w w:val="110"/>
        </w:rPr>
        <w:t xml:space="preserve"> </w:t>
      </w:r>
      <w:r>
        <w:rPr>
          <w:w w:val="110"/>
        </w:rPr>
        <w:t>considered</w:t>
      </w:r>
      <w:r>
        <w:rPr>
          <w:spacing w:val="-4"/>
          <w:w w:val="110"/>
        </w:rPr>
        <w:t xml:space="preserve"> </w:t>
      </w:r>
      <w:r>
        <w:rPr>
          <w:w w:val="110"/>
        </w:rPr>
        <w:t>necessary</w:t>
      </w:r>
      <w:r>
        <w:rPr>
          <w:spacing w:val="-6"/>
          <w:w w:val="110"/>
        </w:rPr>
        <w:t xml:space="preserve"> </w:t>
      </w:r>
      <w:r>
        <w:rPr>
          <w:w w:val="110"/>
        </w:rPr>
        <w:t>to accelerate investment in these areas.</w:t>
      </w:r>
    </w:p>
    <w:p w:rsidR="00B84CED" w:rsidRDefault="00794452" w14:paraId="03F0C173" w14:textId="77777777">
      <w:pPr>
        <w:pStyle w:val="BodyText"/>
        <w:spacing w:before="160" w:line="357" w:lineRule="auto"/>
        <w:ind w:left="1" w:right="450"/>
      </w:pPr>
      <w:r>
        <w:rPr>
          <w:w w:val="110"/>
        </w:rPr>
        <w:t>In light of this, the Commission has adopted targeted amendments to Regulations (EU) 2021/1056 (JTF) and (EU) 2021/1058 (ERDF and CF) with the aim of using the mid-term review</w:t>
      </w:r>
      <w:r>
        <w:rPr>
          <w:spacing w:val="-3"/>
          <w:w w:val="110"/>
        </w:rPr>
        <w:t xml:space="preserve"> </w:t>
      </w:r>
      <w:r>
        <w:rPr>
          <w:w w:val="110"/>
        </w:rPr>
        <w:t>of</w:t>
      </w:r>
      <w:r>
        <w:rPr>
          <w:spacing w:val="-1"/>
          <w:w w:val="110"/>
        </w:rPr>
        <w:t xml:space="preserve"> </w:t>
      </w:r>
      <w:r>
        <w:rPr>
          <w:w w:val="110"/>
        </w:rPr>
        <w:t>cohesion</w:t>
      </w:r>
      <w:r>
        <w:rPr>
          <w:spacing w:val="-5"/>
          <w:w w:val="110"/>
        </w:rPr>
        <w:t xml:space="preserve"> </w:t>
      </w:r>
      <w:r>
        <w:rPr>
          <w:w w:val="110"/>
        </w:rPr>
        <w:t>policy</w:t>
      </w:r>
      <w:r>
        <w:rPr>
          <w:spacing w:val="-1"/>
          <w:w w:val="110"/>
        </w:rPr>
        <w:t xml:space="preserve"> </w:t>
      </w:r>
      <w:r>
        <w:rPr>
          <w:w w:val="110"/>
        </w:rPr>
        <w:t>to maximise</w:t>
      </w:r>
      <w:r>
        <w:rPr>
          <w:spacing w:val="-3"/>
          <w:w w:val="110"/>
        </w:rPr>
        <w:t xml:space="preserve"> </w:t>
      </w:r>
      <w:r>
        <w:rPr>
          <w:w w:val="110"/>
        </w:rPr>
        <w:t>its</w:t>
      </w:r>
      <w:r>
        <w:rPr>
          <w:spacing w:val="-1"/>
          <w:w w:val="110"/>
        </w:rPr>
        <w:t xml:space="preserve"> </w:t>
      </w:r>
      <w:r>
        <w:rPr>
          <w:w w:val="110"/>
        </w:rPr>
        <w:t>contribution</w:t>
      </w:r>
      <w:r>
        <w:rPr>
          <w:spacing w:val="-2"/>
          <w:w w:val="110"/>
        </w:rPr>
        <w:t xml:space="preserve"> </w:t>
      </w:r>
      <w:r>
        <w:rPr>
          <w:w w:val="110"/>
        </w:rPr>
        <w:t>to</w:t>
      </w:r>
      <w:r>
        <w:rPr>
          <w:spacing w:val="-3"/>
          <w:w w:val="110"/>
        </w:rPr>
        <w:t xml:space="preserve"> </w:t>
      </w:r>
      <w:r>
        <w:rPr>
          <w:w w:val="110"/>
        </w:rPr>
        <w:t>the current</w:t>
      </w:r>
      <w:r>
        <w:rPr>
          <w:spacing w:val="-2"/>
          <w:w w:val="110"/>
        </w:rPr>
        <w:t xml:space="preserve"> </w:t>
      </w:r>
      <w:r>
        <w:rPr>
          <w:w w:val="110"/>
        </w:rPr>
        <w:t>and</w:t>
      </w:r>
      <w:r>
        <w:rPr>
          <w:spacing w:val="-6"/>
          <w:w w:val="110"/>
        </w:rPr>
        <w:t xml:space="preserve"> </w:t>
      </w:r>
      <w:r>
        <w:rPr>
          <w:w w:val="110"/>
        </w:rPr>
        <w:t>emerging political priorities</w:t>
      </w:r>
      <w:r>
        <w:rPr>
          <w:spacing w:val="-10"/>
          <w:w w:val="110"/>
        </w:rPr>
        <w:t xml:space="preserve"> </w:t>
      </w:r>
      <w:r>
        <w:rPr>
          <w:w w:val="110"/>
        </w:rPr>
        <w:t>of</w:t>
      </w:r>
      <w:r>
        <w:rPr>
          <w:spacing w:val="-8"/>
          <w:w w:val="110"/>
        </w:rPr>
        <w:t xml:space="preserve"> </w:t>
      </w:r>
      <w:r>
        <w:rPr>
          <w:w w:val="110"/>
        </w:rPr>
        <w:t>the</w:t>
      </w:r>
      <w:r>
        <w:rPr>
          <w:spacing w:val="-10"/>
          <w:w w:val="110"/>
        </w:rPr>
        <w:t xml:space="preserve"> </w:t>
      </w:r>
      <w:r>
        <w:rPr>
          <w:w w:val="110"/>
        </w:rPr>
        <w:t>Union.</w:t>
      </w:r>
      <w:r>
        <w:rPr>
          <w:spacing w:val="-11"/>
          <w:w w:val="110"/>
        </w:rPr>
        <w:t xml:space="preserve"> </w:t>
      </w:r>
      <w:r>
        <w:rPr>
          <w:w w:val="110"/>
        </w:rPr>
        <w:t>The</w:t>
      </w:r>
      <w:r>
        <w:rPr>
          <w:spacing w:val="-8"/>
          <w:w w:val="110"/>
        </w:rPr>
        <w:t xml:space="preserve"> </w:t>
      </w:r>
      <w:r>
        <w:rPr>
          <w:w w:val="110"/>
        </w:rPr>
        <w:t>amendments</w:t>
      </w:r>
      <w:r>
        <w:rPr>
          <w:spacing w:val="-10"/>
          <w:w w:val="110"/>
        </w:rPr>
        <w:t xml:space="preserve"> </w:t>
      </w:r>
      <w:r>
        <w:rPr>
          <w:w w:val="110"/>
        </w:rPr>
        <w:t>aim</w:t>
      </w:r>
      <w:r>
        <w:rPr>
          <w:spacing w:val="-9"/>
          <w:w w:val="110"/>
        </w:rPr>
        <w:t xml:space="preserve"> </w:t>
      </w:r>
      <w:r>
        <w:rPr>
          <w:w w:val="110"/>
        </w:rPr>
        <w:t>to</w:t>
      </w:r>
      <w:r>
        <w:rPr>
          <w:spacing w:val="-10"/>
          <w:w w:val="110"/>
        </w:rPr>
        <w:t xml:space="preserve"> </w:t>
      </w:r>
      <w:r>
        <w:rPr>
          <w:w w:val="110"/>
        </w:rPr>
        <w:t>align</w:t>
      </w:r>
      <w:r>
        <w:rPr>
          <w:spacing w:val="-9"/>
          <w:w w:val="110"/>
        </w:rPr>
        <w:t xml:space="preserve"> </w:t>
      </w:r>
      <w:r>
        <w:rPr>
          <w:w w:val="110"/>
        </w:rPr>
        <w:t>investment</w:t>
      </w:r>
      <w:r>
        <w:rPr>
          <w:spacing w:val="-12"/>
          <w:w w:val="110"/>
        </w:rPr>
        <w:t xml:space="preserve"> </w:t>
      </w:r>
      <w:r>
        <w:rPr>
          <w:w w:val="110"/>
        </w:rPr>
        <w:t>priorities</w:t>
      </w:r>
      <w:r>
        <w:rPr>
          <w:spacing w:val="-10"/>
          <w:w w:val="110"/>
        </w:rPr>
        <w:t xml:space="preserve"> </w:t>
      </w:r>
      <w:r>
        <w:rPr>
          <w:w w:val="110"/>
        </w:rPr>
        <w:t>with</w:t>
      </w:r>
      <w:r>
        <w:rPr>
          <w:spacing w:val="-9"/>
          <w:w w:val="110"/>
        </w:rPr>
        <w:t xml:space="preserve"> </w:t>
      </w:r>
      <w:r>
        <w:rPr>
          <w:w w:val="110"/>
        </w:rPr>
        <w:t>the</w:t>
      </w:r>
      <w:r>
        <w:rPr>
          <w:spacing w:val="-10"/>
          <w:w w:val="110"/>
        </w:rPr>
        <w:t xml:space="preserve"> </w:t>
      </w:r>
      <w:r>
        <w:rPr>
          <w:w w:val="110"/>
        </w:rPr>
        <w:t>evolving economic, societal and geopolitical context, as well as introduce greater flexibility to allow rapid deployment of resources and accelerate implementation.</w:t>
      </w:r>
    </w:p>
    <w:p w:rsidR="00B84CED" w:rsidRDefault="00794452" w14:paraId="4639FC12" w14:textId="77777777">
      <w:pPr>
        <w:pStyle w:val="BodyText"/>
        <w:spacing w:before="161"/>
        <w:ind w:left="1"/>
      </w:pPr>
      <w:r>
        <w:rPr>
          <w:w w:val="110"/>
        </w:rPr>
        <w:t>Redirection</w:t>
      </w:r>
      <w:r>
        <w:rPr>
          <w:spacing w:val="-7"/>
          <w:w w:val="110"/>
        </w:rPr>
        <w:t xml:space="preserve"> </w:t>
      </w:r>
      <w:r>
        <w:rPr>
          <w:w w:val="110"/>
        </w:rPr>
        <w:t>of</w:t>
      </w:r>
      <w:r>
        <w:rPr>
          <w:spacing w:val="-4"/>
          <w:w w:val="110"/>
        </w:rPr>
        <w:t xml:space="preserve"> </w:t>
      </w:r>
      <w:r>
        <w:rPr>
          <w:w w:val="110"/>
        </w:rPr>
        <w:t>cohesion</w:t>
      </w:r>
      <w:r>
        <w:rPr>
          <w:spacing w:val="-7"/>
          <w:w w:val="110"/>
        </w:rPr>
        <w:t xml:space="preserve"> </w:t>
      </w:r>
      <w:r>
        <w:rPr>
          <w:w w:val="110"/>
        </w:rPr>
        <w:t>funds</w:t>
      </w:r>
      <w:r>
        <w:rPr>
          <w:spacing w:val="-4"/>
          <w:w w:val="110"/>
        </w:rPr>
        <w:t xml:space="preserve"> </w:t>
      </w:r>
      <w:r>
        <w:rPr>
          <w:w w:val="110"/>
        </w:rPr>
        <w:t>to</w:t>
      </w:r>
      <w:r>
        <w:rPr>
          <w:spacing w:val="-5"/>
          <w:w w:val="110"/>
        </w:rPr>
        <w:t xml:space="preserve"> </w:t>
      </w:r>
      <w:r>
        <w:rPr>
          <w:w w:val="110"/>
        </w:rPr>
        <w:t>EU</w:t>
      </w:r>
      <w:r>
        <w:rPr>
          <w:spacing w:val="-5"/>
          <w:w w:val="110"/>
        </w:rPr>
        <w:t xml:space="preserve"> </w:t>
      </w:r>
      <w:r>
        <w:rPr>
          <w:w w:val="110"/>
        </w:rPr>
        <w:t>strategic</w:t>
      </w:r>
      <w:r>
        <w:rPr>
          <w:spacing w:val="-5"/>
          <w:w w:val="110"/>
        </w:rPr>
        <w:t xml:space="preserve"> </w:t>
      </w:r>
      <w:r>
        <w:rPr>
          <w:w w:val="110"/>
        </w:rPr>
        <w:t>priorities</w:t>
      </w:r>
      <w:r>
        <w:rPr>
          <w:spacing w:val="-6"/>
          <w:w w:val="110"/>
        </w:rPr>
        <w:t xml:space="preserve"> </w:t>
      </w:r>
      <w:r>
        <w:rPr>
          <w:w w:val="110"/>
        </w:rPr>
        <w:t>is</w:t>
      </w:r>
      <w:r>
        <w:rPr>
          <w:spacing w:val="-5"/>
          <w:w w:val="110"/>
        </w:rPr>
        <w:t xml:space="preserve"> </w:t>
      </w:r>
      <w:r>
        <w:rPr>
          <w:w w:val="110"/>
        </w:rPr>
        <w:t>not</w:t>
      </w:r>
      <w:r>
        <w:rPr>
          <w:spacing w:val="-5"/>
          <w:w w:val="110"/>
        </w:rPr>
        <w:t xml:space="preserve"> </w:t>
      </w:r>
      <w:r>
        <w:rPr>
          <w:spacing w:val="-2"/>
          <w:w w:val="110"/>
        </w:rPr>
        <w:t>mandatory.</w:t>
      </w:r>
    </w:p>
    <w:p w:rsidR="00B84CED" w:rsidRDefault="00B84CED" w14:paraId="39880738" w14:textId="77777777">
      <w:pPr>
        <w:pStyle w:val="BodyText"/>
        <w:spacing w:before="66"/>
      </w:pPr>
    </w:p>
    <w:p w:rsidR="00B84CED" w:rsidRDefault="00794452" w14:paraId="3289D087" w14:textId="77777777">
      <w:pPr>
        <w:pStyle w:val="Heading2"/>
        <w:ind w:left="1"/>
        <w:jc w:val="both"/>
      </w:pPr>
      <w:bookmarkStart w:name="Key_issues_raised_in_submissions" w:id="35"/>
      <w:bookmarkStart w:name="_bookmark16" w:id="36"/>
      <w:bookmarkEnd w:id="35"/>
      <w:bookmarkEnd w:id="36"/>
      <w:r>
        <w:rPr>
          <w:color w:val="3A5C66"/>
          <w:w w:val="110"/>
        </w:rPr>
        <w:t>Key</w:t>
      </w:r>
      <w:r>
        <w:rPr>
          <w:color w:val="3A5C66"/>
          <w:spacing w:val="9"/>
          <w:w w:val="110"/>
        </w:rPr>
        <w:t xml:space="preserve"> </w:t>
      </w:r>
      <w:r>
        <w:rPr>
          <w:color w:val="3A5C66"/>
          <w:w w:val="110"/>
        </w:rPr>
        <w:t>issues</w:t>
      </w:r>
      <w:r>
        <w:rPr>
          <w:color w:val="3A5C66"/>
          <w:spacing w:val="12"/>
          <w:w w:val="110"/>
        </w:rPr>
        <w:t xml:space="preserve"> </w:t>
      </w:r>
      <w:r>
        <w:rPr>
          <w:color w:val="3A5C66"/>
          <w:w w:val="110"/>
        </w:rPr>
        <w:t>raised</w:t>
      </w:r>
      <w:r>
        <w:rPr>
          <w:color w:val="3A5C66"/>
          <w:spacing w:val="11"/>
          <w:w w:val="110"/>
        </w:rPr>
        <w:t xml:space="preserve"> </w:t>
      </w:r>
      <w:r>
        <w:rPr>
          <w:color w:val="3A5C66"/>
          <w:w w:val="110"/>
        </w:rPr>
        <w:t>in</w:t>
      </w:r>
      <w:r>
        <w:rPr>
          <w:color w:val="3A5C66"/>
          <w:spacing w:val="6"/>
          <w:w w:val="110"/>
        </w:rPr>
        <w:t xml:space="preserve"> </w:t>
      </w:r>
      <w:r>
        <w:rPr>
          <w:color w:val="3A5C66"/>
          <w:spacing w:val="-2"/>
          <w:w w:val="110"/>
        </w:rPr>
        <w:t>submissions</w:t>
      </w:r>
    </w:p>
    <w:p w:rsidR="00B84CED" w:rsidRDefault="00794452" w14:paraId="6C119512" w14:textId="77777777">
      <w:pPr>
        <w:pStyle w:val="BodyText"/>
        <w:spacing w:before="127" w:line="357" w:lineRule="auto"/>
        <w:ind w:left="1" w:right="564"/>
        <w:jc w:val="both"/>
      </w:pPr>
      <w:r>
        <w:rPr>
          <w:w w:val="110"/>
        </w:rPr>
        <w:t>An open call</w:t>
      </w:r>
      <w:r>
        <w:rPr>
          <w:spacing w:val="-2"/>
          <w:w w:val="110"/>
        </w:rPr>
        <w:t xml:space="preserve"> </w:t>
      </w:r>
      <w:r>
        <w:rPr>
          <w:w w:val="110"/>
        </w:rPr>
        <w:t>for submissions</w:t>
      </w:r>
      <w:r>
        <w:rPr>
          <w:spacing w:val="-1"/>
          <w:w w:val="110"/>
        </w:rPr>
        <w:t xml:space="preserve"> </w:t>
      </w:r>
      <w:r>
        <w:rPr>
          <w:w w:val="110"/>
        </w:rPr>
        <w:t>was</w:t>
      </w:r>
      <w:r>
        <w:rPr>
          <w:spacing w:val="-1"/>
          <w:w w:val="110"/>
        </w:rPr>
        <w:t xml:space="preserve"> </w:t>
      </w:r>
      <w:r>
        <w:rPr>
          <w:w w:val="110"/>
        </w:rPr>
        <w:t>made</w:t>
      </w:r>
      <w:r>
        <w:rPr>
          <w:spacing w:val="-1"/>
          <w:w w:val="110"/>
        </w:rPr>
        <w:t xml:space="preserve"> </w:t>
      </w:r>
      <w:r>
        <w:rPr>
          <w:w w:val="110"/>
        </w:rPr>
        <w:t>on</w:t>
      </w:r>
      <w:r>
        <w:rPr>
          <w:spacing w:val="-2"/>
          <w:w w:val="110"/>
        </w:rPr>
        <w:t xml:space="preserve"> </w:t>
      </w:r>
      <w:r>
        <w:rPr>
          <w:w w:val="110"/>
        </w:rPr>
        <w:t>this proposal,</w:t>
      </w:r>
      <w:r>
        <w:rPr>
          <w:spacing w:val="-2"/>
          <w:w w:val="110"/>
        </w:rPr>
        <w:t xml:space="preserve"> </w:t>
      </w:r>
      <w:r>
        <w:rPr>
          <w:w w:val="110"/>
        </w:rPr>
        <w:t>with a large number</w:t>
      </w:r>
      <w:r>
        <w:rPr>
          <w:spacing w:val="-1"/>
          <w:w w:val="110"/>
        </w:rPr>
        <w:t xml:space="preserve"> </w:t>
      </w:r>
      <w:r>
        <w:rPr>
          <w:w w:val="110"/>
        </w:rPr>
        <w:t>of</w:t>
      </w:r>
      <w:r>
        <w:rPr>
          <w:spacing w:val="-1"/>
          <w:w w:val="110"/>
        </w:rPr>
        <w:t xml:space="preserve"> </w:t>
      </w:r>
      <w:r>
        <w:rPr>
          <w:w w:val="110"/>
        </w:rPr>
        <w:t>responses received.</w:t>
      </w:r>
      <w:r>
        <w:rPr>
          <w:spacing w:val="-4"/>
          <w:w w:val="110"/>
        </w:rPr>
        <w:t xml:space="preserve"> </w:t>
      </w:r>
      <w:r>
        <w:rPr>
          <w:w w:val="110"/>
        </w:rPr>
        <w:t>Across</w:t>
      </w:r>
      <w:r>
        <w:rPr>
          <w:spacing w:val="-3"/>
          <w:w w:val="110"/>
        </w:rPr>
        <w:t xml:space="preserve"> </w:t>
      </w:r>
      <w:r>
        <w:rPr>
          <w:w w:val="110"/>
        </w:rPr>
        <w:t>the</w:t>
      </w:r>
      <w:r>
        <w:rPr>
          <w:spacing w:val="-3"/>
          <w:w w:val="110"/>
        </w:rPr>
        <w:t xml:space="preserve"> </w:t>
      </w:r>
      <w:r>
        <w:rPr>
          <w:w w:val="110"/>
        </w:rPr>
        <w:t>range</w:t>
      </w:r>
      <w:r>
        <w:rPr>
          <w:spacing w:val="-3"/>
          <w:w w:val="110"/>
        </w:rPr>
        <w:t xml:space="preserve"> </w:t>
      </w:r>
      <w:r>
        <w:rPr>
          <w:w w:val="110"/>
        </w:rPr>
        <w:t>of</w:t>
      </w:r>
      <w:r>
        <w:rPr>
          <w:spacing w:val="-1"/>
          <w:w w:val="110"/>
        </w:rPr>
        <w:t xml:space="preserve"> </w:t>
      </w:r>
      <w:r>
        <w:rPr>
          <w:w w:val="110"/>
        </w:rPr>
        <w:t>submissions</w:t>
      </w:r>
      <w:r>
        <w:rPr>
          <w:spacing w:val="-3"/>
          <w:w w:val="110"/>
        </w:rPr>
        <w:t xml:space="preserve"> </w:t>
      </w:r>
      <w:r>
        <w:rPr>
          <w:w w:val="110"/>
        </w:rPr>
        <w:t>received</w:t>
      </w:r>
      <w:r>
        <w:rPr>
          <w:spacing w:val="-5"/>
          <w:w w:val="110"/>
        </w:rPr>
        <w:t xml:space="preserve"> </w:t>
      </w:r>
      <w:r>
        <w:rPr>
          <w:w w:val="110"/>
        </w:rPr>
        <w:t>on</w:t>
      </w:r>
      <w:r>
        <w:rPr>
          <w:spacing w:val="-2"/>
          <w:w w:val="110"/>
        </w:rPr>
        <w:t xml:space="preserve"> </w:t>
      </w:r>
      <w:r>
        <w:rPr>
          <w:w w:val="110"/>
        </w:rPr>
        <w:t>this</w:t>
      </w:r>
      <w:r>
        <w:rPr>
          <w:spacing w:val="-1"/>
          <w:w w:val="110"/>
        </w:rPr>
        <w:t xml:space="preserve"> </w:t>
      </w:r>
      <w:r>
        <w:rPr>
          <w:w w:val="110"/>
        </w:rPr>
        <w:t>proposal,</w:t>
      </w:r>
      <w:r>
        <w:rPr>
          <w:spacing w:val="-4"/>
          <w:w w:val="110"/>
        </w:rPr>
        <w:t xml:space="preserve"> </w:t>
      </w:r>
      <w:r>
        <w:rPr>
          <w:w w:val="110"/>
        </w:rPr>
        <w:t>there are</w:t>
      </w:r>
      <w:r>
        <w:rPr>
          <w:spacing w:val="-3"/>
          <w:w w:val="110"/>
        </w:rPr>
        <w:t xml:space="preserve"> </w:t>
      </w:r>
      <w:r>
        <w:rPr>
          <w:w w:val="110"/>
        </w:rPr>
        <w:t>a</w:t>
      </w:r>
      <w:r>
        <w:rPr>
          <w:spacing w:val="-2"/>
          <w:w w:val="110"/>
        </w:rPr>
        <w:t xml:space="preserve"> </w:t>
      </w:r>
      <w:r>
        <w:rPr>
          <w:w w:val="110"/>
        </w:rPr>
        <w:t>number</w:t>
      </w:r>
      <w:r>
        <w:rPr>
          <w:spacing w:val="-3"/>
          <w:w w:val="110"/>
        </w:rPr>
        <w:t xml:space="preserve"> </w:t>
      </w:r>
      <w:r>
        <w:rPr>
          <w:w w:val="110"/>
        </w:rPr>
        <w:t>of key issues raised which relate to:</w:t>
      </w:r>
    </w:p>
    <w:p w:rsidR="00B84CED" w:rsidRDefault="00794452" w14:paraId="7990BF0F" w14:textId="77777777">
      <w:pPr>
        <w:pStyle w:val="ListParagraph"/>
        <w:numPr>
          <w:ilvl w:val="0"/>
          <w:numId w:val="4"/>
        </w:numPr>
        <w:tabs>
          <w:tab w:val="left" w:pos="940"/>
        </w:tabs>
        <w:spacing w:before="148" w:line="352" w:lineRule="auto"/>
        <w:ind w:right="843"/>
      </w:pPr>
      <w:r>
        <w:rPr>
          <w:w w:val="110"/>
        </w:rPr>
        <w:t>The</w:t>
      </w:r>
      <w:r>
        <w:rPr>
          <w:spacing w:val="-6"/>
          <w:w w:val="110"/>
        </w:rPr>
        <w:t xml:space="preserve"> </w:t>
      </w:r>
      <w:r>
        <w:rPr>
          <w:w w:val="110"/>
        </w:rPr>
        <w:t>proposed</w:t>
      </w:r>
      <w:r>
        <w:rPr>
          <w:spacing w:val="-5"/>
          <w:w w:val="110"/>
        </w:rPr>
        <w:t xml:space="preserve"> </w:t>
      </w:r>
      <w:r>
        <w:rPr>
          <w:w w:val="110"/>
        </w:rPr>
        <w:t>redirection</w:t>
      </w:r>
      <w:r>
        <w:rPr>
          <w:spacing w:val="-5"/>
          <w:w w:val="110"/>
        </w:rPr>
        <w:t xml:space="preserve"> </w:t>
      </w:r>
      <w:r>
        <w:rPr>
          <w:w w:val="110"/>
        </w:rPr>
        <w:t>of</w:t>
      </w:r>
      <w:r>
        <w:rPr>
          <w:spacing w:val="-6"/>
          <w:w w:val="110"/>
        </w:rPr>
        <w:t xml:space="preserve"> </w:t>
      </w:r>
      <w:r>
        <w:rPr>
          <w:w w:val="110"/>
        </w:rPr>
        <w:t>Cohesion</w:t>
      </w:r>
      <w:r>
        <w:rPr>
          <w:spacing w:val="-5"/>
          <w:w w:val="110"/>
        </w:rPr>
        <w:t xml:space="preserve"> </w:t>
      </w:r>
      <w:r>
        <w:rPr>
          <w:w w:val="110"/>
        </w:rPr>
        <w:t>Funding</w:t>
      </w:r>
      <w:r>
        <w:rPr>
          <w:spacing w:val="-6"/>
          <w:w w:val="110"/>
        </w:rPr>
        <w:t xml:space="preserve"> </w:t>
      </w:r>
      <w:r>
        <w:rPr>
          <w:w w:val="110"/>
        </w:rPr>
        <w:t>towards</w:t>
      </w:r>
      <w:r>
        <w:rPr>
          <w:spacing w:val="-6"/>
          <w:w w:val="110"/>
        </w:rPr>
        <w:t xml:space="preserve"> </w:t>
      </w:r>
      <w:r>
        <w:rPr>
          <w:w w:val="110"/>
        </w:rPr>
        <w:t>objectives</w:t>
      </w:r>
      <w:r>
        <w:rPr>
          <w:spacing w:val="-4"/>
          <w:w w:val="110"/>
        </w:rPr>
        <w:t xml:space="preserve"> </w:t>
      </w:r>
      <w:r>
        <w:rPr>
          <w:w w:val="110"/>
        </w:rPr>
        <w:t>which</w:t>
      </w:r>
      <w:r>
        <w:rPr>
          <w:spacing w:val="-10"/>
          <w:w w:val="110"/>
        </w:rPr>
        <w:t xml:space="preserve"> </w:t>
      </w:r>
      <w:r>
        <w:rPr>
          <w:w w:val="110"/>
        </w:rPr>
        <w:t>are</w:t>
      </w:r>
      <w:r>
        <w:rPr>
          <w:spacing w:val="-6"/>
          <w:w w:val="110"/>
        </w:rPr>
        <w:t xml:space="preserve"> </w:t>
      </w:r>
      <w:r>
        <w:rPr>
          <w:w w:val="110"/>
        </w:rPr>
        <w:t>in opposition to its stated objectives</w:t>
      </w:r>
    </w:p>
    <w:p w:rsidR="00B84CED" w:rsidRDefault="00794452" w14:paraId="40FE9577" w14:textId="77777777">
      <w:pPr>
        <w:pStyle w:val="ListParagraph"/>
        <w:numPr>
          <w:ilvl w:val="0"/>
          <w:numId w:val="4"/>
        </w:numPr>
        <w:tabs>
          <w:tab w:val="left" w:pos="940"/>
        </w:tabs>
        <w:spacing w:before="158" w:line="352" w:lineRule="auto"/>
        <w:ind w:right="762"/>
      </w:pPr>
      <w:r>
        <w:rPr>
          <w:w w:val="110"/>
        </w:rPr>
        <w:t>Potential conflict</w:t>
      </w:r>
      <w:r>
        <w:rPr>
          <w:spacing w:val="-3"/>
          <w:w w:val="110"/>
        </w:rPr>
        <w:t xml:space="preserve"> </w:t>
      </w:r>
      <w:r>
        <w:rPr>
          <w:w w:val="110"/>
        </w:rPr>
        <w:t>with Article 29</w:t>
      </w:r>
      <w:r>
        <w:rPr>
          <w:spacing w:val="-2"/>
          <w:w w:val="110"/>
        </w:rPr>
        <w:t xml:space="preserve"> </w:t>
      </w:r>
      <w:r>
        <w:rPr>
          <w:w w:val="110"/>
        </w:rPr>
        <w:t>of</w:t>
      </w:r>
      <w:r>
        <w:rPr>
          <w:spacing w:val="-1"/>
          <w:w w:val="110"/>
        </w:rPr>
        <w:t xml:space="preserve"> </w:t>
      </w:r>
      <w:r>
        <w:rPr>
          <w:w w:val="110"/>
        </w:rPr>
        <w:t>Bunreacht Na</w:t>
      </w:r>
      <w:r>
        <w:rPr>
          <w:spacing w:val="-2"/>
          <w:w w:val="110"/>
        </w:rPr>
        <w:t xml:space="preserve"> </w:t>
      </w:r>
      <w:r>
        <w:rPr>
          <w:w w:val="110"/>
        </w:rPr>
        <w:t>hÉireann and Ireland’s stated position of neutrality</w:t>
      </w:r>
    </w:p>
    <w:p w:rsidR="00B84CED" w:rsidRDefault="00794452" w14:paraId="01B8C92E" w14:textId="77777777">
      <w:pPr>
        <w:pStyle w:val="ListParagraph"/>
        <w:numPr>
          <w:ilvl w:val="0"/>
          <w:numId w:val="4"/>
        </w:numPr>
        <w:tabs>
          <w:tab w:val="left" w:pos="940"/>
        </w:tabs>
        <w:spacing w:before="159"/>
      </w:pPr>
      <w:r>
        <w:rPr>
          <w:w w:val="110"/>
        </w:rPr>
        <w:t>Potential</w:t>
      </w:r>
      <w:r>
        <w:rPr>
          <w:spacing w:val="-4"/>
          <w:w w:val="110"/>
        </w:rPr>
        <w:t xml:space="preserve"> </w:t>
      </w:r>
      <w:r>
        <w:rPr>
          <w:w w:val="110"/>
        </w:rPr>
        <w:t>conflict</w:t>
      </w:r>
      <w:r>
        <w:rPr>
          <w:spacing w:val="-7"/>
          <w:w w:val="110"/>
        </w:rPr>
        <w:t xml:space="preserve"> </w:t>
      </w:r>
      <w:r>
        <w:rPr>
          <w:w w:val="110"/>
        </w:rPr>
        <w:t>with</w:t>
      </w:r>
      <w:r>
        <w:rPr>
          <w:spacing w:val="-4"/>
          <w:w w:val="110"/>
        </w:rPr>
        <w:t xml:space="preserve"> </w:t>
      </w:r>
      <w:r>
        <w:rPr>
          <w:w w:val="110"/>
        </w:rPr>
        <w:t>Article</w:t>
      </w:r>
      <w:r>
        <w:rPr>
          <w:spacing w:val="-2"/>
          <w:w w:val="110"/>
        </w:rPr>
        <w:t xml:space="preserve"> </w:t>
      </w:r>
      <w:r>
        <w:rPr>
          <w:w w:val="110"/>
        </w:rPr>
        <w:t>41.2</w:t>
      </w:r>
      <w:r>
        <w:rPr>
          <w:spacing w:val="-6"/>
          <w:w w:val="110"/>
        </w:rPr>
        <w:t xml:space="preserve"> </w:t>
      </w:r>
      <w:r>
        <w:rPr>
          <w:w w:val="110"/>
        </w:rPr>
        <w:t>of</w:t>
      </w:r>
      <w:r>
        <w:rPr>
          <w:spacing w:val="-5"/>
          <w:w w:val="110"/>
        </w:rPr>
        <w:t xml:space="preserve"> </w:t>
      </w:r>
      <w:r>
        <w:rPr>
          <w:w w:val="110"/>
        </w:rPr>
        <w:t>the</w:t>
      </w:r>
      <w:r>
        <w:rPr>
          <w:spacing w:val="-5"/>
          <w:w w:val="110"/>
        </w:rPr>
        <w:t xml:space="preserve"> TEU</w:t>
      </w:r>
    </w:p>
    <w:p w:rsidR="00B84CED" w:rsidRDefault="00B84CED" w14:paraId="290AA01C" w14:textId="77777777">
      <w:pPr>
        <w:pStyle w:val="BodyText"/>
        <w:spacing w:before="12"/>
      </w:pPr>
    </w:p>
    <w:p w:rsidR="00B84CED" w:rsidRDefault="00794452" w14:paraId="17AD2712" w14:textId="77777777">
      <w:pPr>
        <w:pStyle w:val="ListParagraph"/>
        <w:numPr>
          <w:ilvl w:val="0"/>
          <w:numId w:val="4"/>
        </w:numPr>
        <w:tabs>
          <w:tab w:val="left" w:pos="940"/>
        </w:tabs>
      </w:pPr>
      <w:r>
        <w:rPr>
          <w:w w:val="110"/>
        </w:rPr>
        <w:t>The</w:t>
      </w:r>
      <w:r>
        <w:rPr>
          <w:spacing w:val="-7"/>
          <w:w w:val="110"/>
        </w:rPr>
        <w:t xml:space="preserve"> </w:t>
      </w:r>
      <w:r>
        <w:rPr>
          <w:w w:val="110"/>
        </w:rPr>
        <w:t>environmental</w:t>
      </w:r>
      <w:r>
        <w:rPr>
          <w:spacing w:val="-5"/>
          <w:w w:val="110"/>
        </w:rPr>
        <w:t xml:space="preserve"> </w:t>
      </w:r>
      <w:r>
        <w:rPr>
          <w:w w:val="110"/>
        </w:rPr>
        <w:t>impacts</w:t>
      </w:r>
      <w:r>
        <w:rPr>
          <w:spacing w:val="-4"/>
          <w:w w:val="110"/>
        </w:rPr>
        <w:t xml:space="preserve"> </w:t>
      </w:r>
      <w:r>
        <w:rPr>
          <w:w w:val="110"/>
        </w:rPr>
        <w:t>of</w:t>
      </w:r>
      <w:r>
        <w:rPr>
          <w:spacing w:val="-7"/>
          <w:w w:val="110"/>
        </w:rPr>
        <w:t xml:space="preserve"> </w:t>
      </w:r>
      <w:r>
        <w:rPr>
          <w:w w:val="110"/>
        </w:rPr>
        <w:t>increased</w:t>
      </w:r>
      <w:r>
        <w:rPr>
          <w:spacing w:val="-5"/>
          <w:w w:val="110"/>
        </w:rPr>
        <w:t xml:space="preserve"> </w:t>
      </w:r>
      <w:r>
        <w:rPr>
          <w:w w:val="110"/>
        </w:rPr>
        <w:t>military</w:t>
      </w:r>
      <w:r>
        <w:rPr>
          <w:spacing w:val="-8"/>
          <w:w w:val="110"/>
        </w:rPr>
        <w:t xml:space="preserve"> </w:t>
      </w:r>
      <w:r>
        <w:rPr>
          <w:w w:val="110"/>
        </w:rPr>
        <w:t>and</w:t>
      </w:r>
      <w:r>
        <w:rPr>
          <w:spacing w:val="-6"/>
          <w:w w:val="110"/>
        </w:rPr>
        <w:t xml:space="preserve"> </w:t>
      </w:r>
      <w:r>
        <w:rPr>
          <w:w w:val="110"/>
        </w:rPr>
        <w:t>defence</w:t>
      </w:r>
      <w:r>
        <w:rPr>
          <w:spacing w:val="-6"/>
          <w:w w:val="110"/>
        </w:rPr>
        <w:t xml:space="preserve"> </w:t>
      </w:r>
      <w:r>
        <w:rPr>
          <w:spacing w:val="-2"/>
          <w:w w:val="110"/>
        </w:rPr>
        <w:t>spending</w:t>
      </w:r>
    </w:p>
    <w:p w:rsidR="00B84CED" w:rsidRDefault="00B84CED" w14:paraId="68C0A04C" w14:textId="77777777">
      <w:pPr>
        <w:pStyle w:val="BodyText"/>
        <w:spacing w:before="11"/>
      </w:pPr>
    </w:p>
    <w:p w:rsidR="00B84CED" w:rsidRDefault="00794452" w14:paraId="40D27DBE" w14:textId="77777777">
      <w:pPr>
        <w:pStyle w:val="ListParagraph"/>
        <w:numPr>
          <w:ilvl w:val="0"/>
          <w:numId w:val="4"/>
        </w:numPr>
        <w:tabs>
          <w:tab w:val="left" w:pos="940"/>
        </w:tabs>
        <w:ind w:hanging="362"/>
      </w:pPr>
      <w:r>
        <w:rPr>
          <w:w w:val="110"/>
        </w:rPr>
        <w:t>Potential</w:t>
      </w:r>
      <w:r>
        <w:rPr>
          <w:spacing w:val="-2"/>
          <w:w w:val="110"/>
        </w:rPr>
        <w:t xml:space="preserve"> </w:t>
      </w:r>
      <w:r>
        <w:rPr>
          <w:w w:val="110"/>
        </w:rPr>
        <w:t>impacts</w:t>
      </w:r>
      <w:r>
        <w:rPr>
          <w:spacing w:val="-2"/>
          <w:w w:val="110"/>
        </w:rPr>
        <w:t xml:space="preserve"> </w:t>
      </w:r>
      <w:r>
        <w:rPr>
          <w:w w:val="110"/>
        </w:rPr>
        <w:t>to</w:t>
      </w:r>
      <w:r>
        <w:rPr>
          <w:spacing w:val="-1"/>
          <w:w w:val="110"/>
        </w:rPr>
        <w:t xml:space="preserve"> </w:t>
      </w:r>
      <w:r>
        <w:rPr>
          <w:w w:val="110"/>
        </w:rPr>
        <w:t>poverty</w:t>
      </w:r>
      <w:r>
        <w:rPr>
          <w:spacing w:val="-4"/>
          <w:w w:val="110"/>
        </w:rPr>
        <w:t xml:space="preserve"> </w:t>
      </w:r>
      <w:r>
        <w:rPr>
          <w:w w:val="110"/>
        </w:rPr>
        <w:t>levels</w:t>
      </w:r>
      <w:r>
        <w:rPr>
          <w:spacing w:val="-4"/>
          <w:w w:val="110"/>
        </w:rPr>
        <w:t xml:space="preserve"> </w:t>
      </w:r>
      <w:r>
        <w:rPr>
          <w:w w:val="110"/>
        </w:rPr>
        <w:t>and</w:t>
      </w:r>
      <w:r>
        <w:rPr>
          <w:spacing w:val="-3"/>
          <w:w w:val="110"/>
        </w:rPr>
        <w:t xml:space="preserve"> </w:t>
      </w:r>
      <w:r>
        <w:rPr>
          <w:w w:val="110"/>
        </w:rPr>
        <w:t>social</w:t>
      </w:r>
      <w:r>
        <w:rPr>
          <w:spacing w:val="-4"/>
          <w:w w:val="110"/>
        </w:rPr>
        <w:t xml:space="preserve"> </w:t>
      </w:r>
      <w:r>
        <w:rPr>
          <w:spacing w:val="-2"/>
          <w:w w:val="110"/>
        </w:rPr>
        <w:t>exclusion</w:t>
      </w:r>
    </w:p>
    <w:p w:rsidR="00B84CED" w:rsidRDefault="00B84CED" w14:paraId="662EBEB5" w14:textId="77777777">
      <w:pPr>
        <w:pStyle w:val="BodyText"/>
        <w:spacing w:before="24"/>
      </w:pPr>
    </w:p>
    <w:p w:rsidR="00B84CED" w:rsidRDefault="00794452" w14:paraId="2A571A0B" w14:textId="77777777">
      <w:pPr>
        <w:pStyle w:val="BodyText"/>
        <w:spacing w:line="357" w:lineRule="auto"/>
        <w:ind w:left="220" w:right="423"/>
      </w:pPr>
      <w:r>
        <w:rPr>
          <w:w w:val="110"/>
        </w:rPr>
        <w:t>The submission received</w:t>
      </w:r>
      <w:r>
        <w:rPr>
          <w:spacing w:val="-1"/>
          <w:w w:val="110"/>
        </w:rPr>
        <w:t xml:space="preserve"> </w:t>
      </w:r>
      <w:r>
        <w:rPr>
          <w:w w:val="110"/>
        </w:rPr>
        <w:t>from MEPs Lynn Boylan and Kathleen Funchion notes that this is an</w:t>
      </w:r>
      <w:r>
        <w:rPr>
          <w:spacing w:val="-5"/>
          <w:w w:val="110"/>
        </w:rPr>
        <w:t xml:space="preserve"> </w:t>
      </w:r>
      <w:r>
        <w:rPr>
          <w:w w:val="110"/>
        </w:rPr>
        <w:t>unprecedented</w:t>
      </w:r>
      <w:r>
        <w:rPr>
          <w:spacing w:val="-5"/>
          <w:w w:val="110"/>
        </w:rPr>
        <w:t xml:space="preserve"> </w:t>
      </w:r>
      <w:r>
        <w:rPr>
          <w:w w:val="110"/>
        </w:rPr>
        <w:t>move</w:t>
      </w:r>
      <w:r>
        <w:rPr>
          <w:spacing w:val="-6"/>
          <w:w w:val="110"/>
        </w:rPr>
        <w:t xml:space="preserve"> </w:t>
      </w:r>
      <w:r>
        <w:rPr>
          <w:w w:val="110"/>
        </w:rPr>
        <w:t>and</w:t>
      </w:r>
      <w:r>
        <w:rPr>
          <w:spacing w:val="-5"/>
          <w:w w:val="110"/>
        </w:rPr>
        <w:t xml:space="preserve"> </w:t>
      </w:r>
      <w:r>
        <w:rPr>
          <w:w w:val="110"/>
        </w:rPr>
        <w:t>urges</w:t>
      </w:r>
      <w:r>
        <w:rPr>
          <w:spacing w:val="-6"/>
          <w:w w:val="110"/>
        </w:rPr>
        <w:t xml:space="preserve"> </w:t>
      </w:r>
      <w:r>
        <w:rPr>
          <w:w w:val="110"/>
        </w:rPr>
        <w:t>reflection</w:t>
      </w:r>
      <w:r>
        <w:rPr>
          <w:spacing w:val="-5"/>
          <w:w w:val="110"/>
        </w:rPr>
        <w:t xml:space="preserve"> </w:t>
      </w:r>
      <w:r>
        <w:rPr>
          <w:w w:val="110"/>
        </w:rPr>
        <w:t>about</w:t>
      </w:r>
      <w:r>
        <w:rPr>
          <w:spacing w:val="-5"/>
          <w:w w:val="110"/>
        </w:rPr>
        <w:t xml:space="preserve"> </w:t>
      </w:r>
      <w:r>
        <w:rPr>
          <w:w w:val="110"/>
        </w:rPr>
        <w:t>the</w:t>
      </w:r>
      <w:r>
        <w:rPr>
          <w:spacing w:val="-3"/>
          <w:w w:val="110"/>
        </w:rPr>
        <w:t xml:space="preserve"> </w:t>
      </w:r>
      <w:r>
        <w:rPr>
          <w:w w:val="110"/>
        </w:rPr>
        <w:t>source</w:t>
      </w:r>
      <w:r>
        <w:rPr>
          <w:spacing w:val="-6"/>
          <w:w w:val="110"/>
        </w:rPr>
        <w:t xml:space="preserve"> </w:t>
      </w:r>
      <w:r>
        <w:rPr>
          <w:w w:val="110"/>
        </w:rPr>
        <w:t>of</w:t>
      </w:r>
      <w:r>
        <w:rPr>
          <w:spacing w:val="-4"/>
          <w:w w:val="110"/>
        </w:rPr>
        <w:t xml:space="preserve"> </w:t>
      </w:r>
      <w:r>
        <w:rPr>
          <w:w w:val="110"/>
        </w:rPr>
        <w:t>the</w:t>
      </w:r>
      <w:r>
        <w:rPr>
          <w:spacing w:val="-6"/>
          <w:w w:val="110"/>
        </w:rPr>
        <w:t xml:space="preserve"> </w:t>
      </w:r>
      <w:r>
        <w:rPr>
          <w:w w:val="110"/>
        </w:rPr>
        <w:t>funding.</w:t>
      </w:r>
      <w:r>
        <w:rPr>
          <w:spacing w:val="-5"/>
          <w:w w:val="110"/>
        </w:rPr>
        <w:t xml:space="preserve"> </w:t>
      </w:r>
      <w:r>
        <w:rPr>
          <w:w w:val="110"/>
        </w:rPr>
        <w:t>It</w:t>
      </w:r>
      <w:r>
        <w:rPr>
          <w:spacing w:val="-8"/>
          <w:w w:val="110"/>
        </w:rPr>
        <w:t xml:space="preserve"> </w:t>
      </w:r>
      <w:r>
        <w:rPr>
          <w:w w:val="110"/>
        </w:rPr>
        <w:t>highlights Ireland’s status as a net contributor to the EU budget and the fact that cohesion policy accounts for about</w:t>
      </w:r>
      <w:r>
        <w:rPr>
          <w:spacing w:val="-2"/>
          <w:w w:val="110"/>
        </w:rPr>
        <w:t xml:space="preserve"> </w:t>
      </w:r>
      <w:r>
        <w:rPr>
          <w:w w:val="110"/>
        </w:rPr>
        <w:t>one third of this budget.</w:t>
      </w:r>
      <w:r>
        <w:rPr>
          <w:spacing w:val="-1"/>
          <w:w w:val="110"/>
        </w:rPr>
        <w:t xml:space="preserve"> </w:t>
      </w:r>
      <w:r>
        <w:rPr>
          <w:w w:val="110"/>
        </w:rPr>
        <w:t>The submission</w:t>
      </w:r>
      <w:r>
        <w:rPr>
          <w:spacing w:val="-1"/>
          <w:w w:val="110"/>
        </w:rPr>
        <w:t xml:space="preserve"> </w:t>
      </w:r>
      <w:r>
        <w:rPr>
          <w:w w:val="110"/>
        </w:rPr>
        <w:t>observes that Ireland’s policy of neutrality is not compatible with the Irish taxpayer funding the defence industry and armed forces of other States. The submission therefore asserts that the proposal is incompatible with Irish neutrality and sovereignty and suggests that this marks a breach of the principle of subsidiarity.</w:t>
      </w:r>
    </w:p>
    <w:p w:rsidR="00B84CED" w:rsidRDefault="00B84CED" w14:paraId="6A8EEE3C" w14:textId="77777777">
      <w:pPr>
        <w:pStyle w:val="BodyText"/>
        <w:spacing w:line="357" w:lineRule="auto"/>
        <w:sectPr w:rsidR="00B84CED" w:rsidSect="00196DB0">
          <w:footerReference w:type="even" r:id="R8854616cad0d47f3"/>
          <w:footerReference w:type="first" r:id="Rb878dabb6c1e493b"/>
          <w:headerReference w:type="even" r:id="R2b1825337f5e4ef3"/>
          <w:headerReference w:type="first" r:id="R915d2347b30b4efa"/>
          <w:pgSz w:w="11907" w:h="16839"/>
          <w:pgMar w:top="1134" w:right="1134" w:bottom="1134" w:left="1134" w:header="567" w:footer="567" w:gutter="0"/>
          <w:cols w:space="720"/>
          <w:docGrid w:linePitch="299"/>
        </w:sectPr>
      </w:pPr>
    </w:p>
    <w:p w:rsidR="00B84CED" w:rsidRDefault="00794452" w14:paraId="085676A0" w14:textId="77777777">
      <w:pPr>
        <w:pStyle w:val="BodyText"/>
        <w:spacing w:before="109" w:line="357" w:lineRule="auto"/>
        <w:ind w:left="219" w:right="459"/>
      </w:pPr>
      <w:r>
        <w:rPr>
          <w:w w:val="110"/>
        </w:rPr>
        <w:lastRenderedPageBreak/>
        <w:t>The submission draws attention to the fact that Cohesion Policy provided a funding stream</w:t>
      </w:r>
      <w:r>
        <w:rPr>
          <w:spacing w:val="-5"/>
          <w:w w:val="110"/>
        </w:rPr>
        <w:t xml:space="preserve"> </w:t>
      </w:r>
      <w:r>
        <w:rPr>
          <w:w w:val="110"/>
        </w:rPr>
        <w:t>towards</w:t>
      </w:r>
      <w:r>
        <w:rPr>
          <w:spacing w:val="-3"/>
          <w:w w:val="110"/>
        </w:rPr>
        <w:t xml:space="preserve"> </w:t>
      </w:r>
      <w:r>
        <w:rPr>
          <w:w w:val="110"/>
        </w:rPr>
        <w:t>peace initiatives</w:t>
      </w:r>
      <w:r>
        <w:rPr>
          <w:spacing w:val="-1"/>
          <w:w w:val="110"/>
        </w:rPr>
        <w:t xml:space="preserve"> </w:t>
      </w:r>
      <w:r>
        <w:rPr>
          <w:w w:val="110"/>
        </w:rPr>
        <w:t>in</w:t>
      </w:r>
      <w:r>
        <w:rPr>
          <w:spacing w:val="-4"/>
          <w:w w:val="110"/>
        </w:rPr>
        <w:t xml:space="preserve"> </w:t>
      </w:r>
      <w:r>
        <w:rPr>
          <w:w w:val="110"/>
        </w:rPr>
        <w:t>Ireland</w:t>
      </w:r>
      <w:r>
        <w:rPr>
          <w:spacing w:val="-2"/>
          <w:w w:val="110"/>
        </w:rPr>
        <w:t xml:space="preserve"> </w:t>
      </w:r>
      <w:r>
        <w:rPr>
          <w:w w:val="110"/>
        </w:rPr>
        <w:t>and</w:t>
      </w:r>
      <w:r>
        <w:rPr>
          <w:spacing w:val="-2"/>
          <w:w w:val="110"/>
        </w:rPr>
        <w:t xml:space="preserve"> </w:t>
      </w:r>
      <w:r>
        <w:rPr>
          <w:w w:val="110"/>
        </w:rPr>
        <w:t>views</w:t>
      </w:r>
      <w:r>
        <w:rPr>
          <w:spacing w:val="-1"/>
          <w:w w:val="110"/>
        </w:rPr>
        <w:t xml:space="preserve"> </w:t>
      </w:r>
      <w:r>
        <w:rPr>
          <w:w w:val="110"/>
        </w:rPr>
        <w:t>the</w:t>
      </w:r>
      <w:r>
        <w:rPr>
          <w:spacing w:val="-3"/>
          <w:w w:val="110"/>
        </w:rPr>
        <w:t xml:space="preserve"> </w:t>
      </w:r>
      <w:r>
        <w:rPr>
          <w:w w:val="110"/>
        </w:rPr>
        <w:t>proposed</w:t>
      </w:r>
      <w:r>
        <w:rPr>
          <w:spacing w:val="-2"/>
          <w:w w:val="110"/>
        </w:rPr>
        <w:t xml:space="preserve"> </w:t>
      </w:r>
      <w:r>
        <w:rPr>
          <w:w w:val="110"/>
        </w:rPr>
        <w:t>diversion</w:t>
      </w:r>
      <w:r>
        <w:rPr>
          <w:spacing w:val="-4"/>
          <w:w w:val="110"/>
        </w:rPr>
        <w:t xml:space="preserve"> </w:t>
      </w:r>
      <w:r>
        <w:rPr>
          <w:w w:val="110"/>
        </w:rPr>
        <w:t>of</w:t>
      </w:r>
      <w:r>
        <w:rPr>
          <w:spacing w:val="-1"/>
          <w:w w:val="110"/>
        </w:rPr>
        <w:t xml:space="preserve"> </w:t>
      </w:r>
      <w:r>
        <w:rPr>
          <w:w w:val="110"/>
        </w:rPr>
        <w:t>the</w:t>
      </w:r>
      <w:r>
        <w:rPr>
          <w:spacing w:val="-3"/>
          <w:w w:val="110"/>
        </w:rPr>
        <w:t xml:space="preserve"> </w:t>
      </w:r>
      <w:r>
        <w:rPr>
          <w:w w:val="110"/>
        </w:rPr>
        <w:t>same stream of funding towards military and defence initiatives as inconceivable. Finally, the submission outlines that the mid-term review will set the scene for the next seven-year period and notes that within this context, raising concerns at this point is vital.</w:t>
      </w:r>
    </w:p>
    <w:p w:rsidR="00B84CED" w:rsidRDefault="00794452" w14:paraId="78119124" w14:textId="77777777">
      <w:pPr>
        <w:pStyle w:val="BodyText"/>
        <w:spacing w:before="161" w:line="357" w:lineRule="auto"/>
        <w:ind w:left="219" w:right="447"/>
      </w:pPr>
      <w:r>
        <w:rPr>
          <w:w w:val="110"/>
        </w:rPr>
        <w:t>This</w:t>
      </w:r>
      <w:r>
        <w:rPr>
          <w:spacing w:val="-4"/>
          <w:w w:val="110"/>
        </w:rPr>
        <w:t xml:space="preserve"> </w:t>
      </w:r>
      <w:r>
        <w:rPr>
          <w:w w:val="110"/>
        </w:rPr>
        <w:t>submission</w:t>
      </w:r>
      <w:r>
        <w:rPr>
          <w:spacing w:val="-5"/>
          <w:w w:val="110"/>
        </w:rPr>
        <w:t xml:space="preserve"> </w:t>
      </w:r>
      <w:r>
        <w:rPr>
          <w:w w:val="110"/>
        </w:rPr>
        <w:t>received</w:t>
      </w:r>
      <w:r>
        <w:rPr>
          <w:spacing w:val="-3"/>
          <w:w w:val="110"/>
        </w:rPr>
        <w:t xml:space="preserve"> </w:t>
      </w:r>
      <w:r>
        <w:rPr>
          <w:w w:val="110"/>
        </w:rPr>
        <w:t>from</w:t>
      </w:r>
      <w:r>
        <w:rPr>
          <w:spacing w:val="-3"/>
          <w:w w:val="110"/>
        </w:rPr>
        <w:t xml:space="preserve"> </w:t>
      </w:r>
      <w:r>
        <w:rPr>
          <w:w w:val="110"/>
        </w:rPr>
        <w:t>the</w:t>
      </w:r>
      <w:r>
        <w:rPr>
          <w:spacing w:val="-4"/>
          <w:w w:val="110"/>
        </w:rPr>
        <w:t xml:space="preserve"> </w:t>
      </w:r>
      <w:r>
        <w:rPr>
          <w:w w:val="110"/>
        </w:rPr>
        <w:t>European</w:t>
      </w:r>
      <w:r>
        <w:rPr>
          <w:spacing w:val="-3"/>
          <w:w w:val="110"/>
        </w:rPr>
        <w:t xml:space="preserve"> </w:t>
      </w:r>
      <w:r>
        <w:rPr>
          <w:w w:val="110"/>
        </w:rPr>
        <w:t>Anti-Poverty</w:t>
      </w:r>
      <w:r>
        <w:rPr>
          <w:spacing w:val="-2"/>
          <w:w w:val="110"/>
        </w:rPr>
        <w:t xml:space="preserve"> </w:t>
      </w:r>
      <w:r>
        <w:rPr>
          <w:w w:val="110"/>
        </w:rPr>
        <w:t>Network</w:t>
      </w:r>
      <w:r>
        <w:rPr>
          <w:spacing w:val="-1"/>
          <w:w w:val="110"/>
        </w:rPr>
        <w:t xml:space="preserve"> </w:t>
      </w:r>
      <w:r>
        <w:rPr>
          <w:w w:val="110"/>
        </w:rPr>
        <w:t>draws</w:t>
      </w:r>
      <w:r>
        <w:rPr>
          <w:spacing w:val="-4"/>
          <w:w w:val="110"/>
        </w:rPr>
        <w:t xml:space="preserve"> </w:t>
      </w:r>
      <w:r>
        <w:rPr>
          <w:w w:val="110"/>
        </w:rPr>
        <w:t>attention</w:t>
      </w:r>
      <w:r>
        <w:rPr>
          <w:spacing w:val="-5"/>
          <w:w w:val="110"/>
        </w:rPr>
        <w:t xml:space="preserve"> </w:t>
      </w:r>
      <w:r>
        <w:rPr>
          <w:w w:val="110"/>
        </w:rPr>
        <w:t>to</w:t>
      </w:r>
      <w:r>
        <w:rPr>
          <w:spacing w:val="-1"/>
          <w:w w:val="110"/>
        </w:rPr>
        <w:t xml:space="preserve"> </w:t>
      </w:r>
      <w:r>
        <w:rPr>
          <w:w w:val="110"/>
        </w:rPr>
        <w:t>the continuing levels of poverty across the EU, currently standing at 93.3 million people at</w:t>
      </w:r>
      <w:r>
        <w:rPr>
          <w:spacing w:val="40"/>
          <w:w w:val="110"/>
        </w:rPr>
        <w:t xml:space="preserve"> </w:t>
      </w:r>
      <w:r>
        <w:rPr>
          <w:w w:val="110"/>
        </w:rPr>
        <w:t>risk of poverty or social exclusion, equating to almost 21% of the population. The submission further references the introduction of the ESF+ in 2021 as being a vital instrument</w:t>
      </w:r>
      <w:r>
        <w:rPr>
          <w:spacing w:val="-3"/>
          <w:w w:val="110"/>
        </w:rPr>
        <w:t xml:space="preserve"> </w:t>
      </w:r>
      <w:r>
        <w:rPr>
          <w:w w:val="110"/>
        </w:rPr>
        <w:t>in</w:t>
      </w:r>
      <w:r>
        <w:rPr>
          <w:spacing w:val="-5"/>
          <w:w w:val="110"/>
        </w:rPr>
        <w:t xml:space="preserve"> </w:t>
      </w:r>
      <w:r>
        <w:rPr>
          <w:w w:val="110"/>
        </w:rPr>
        <w:t>combating</w:t>
      </w:r>
      <w:r>
        <w:rPr>
          <w:spacing w:val="-4"/>
          <w:w w:val="110"/>
        </w:rPr>
        <w:t xml:space="preserve"> </w:t>
      </w:r>
      <w:r>
        <w:rPr>
          <w:w w:val="110"/>
        </w:rPr>
        <w:t>social</w:t>
      </w:r>
      <w:r>
        <w:rPr>
          <w:spacing w:val="-7"/>
          <w:w w:val="110"/>
        </w:rPr>
        <w:t xml:space="preserve"> </w:t>
      </w:r>
      <w:r>
        <w:rPr>
          <w:w w:val="110"/>
        </w:rPr>
        <w:t>exclusion</w:t>
      </w:r>
      <w:r>
        <w:rPr>
          <w:spacing w:val="-3"/>
          <w:w w:val="110"/>
        </w:rPr>
        <w:t xml:space="preserve"> </w:t>
      </w:r>
      <w:r>
        <w:rPr>
          <w:w w:val="110"/>
        </w:rPr>
        <w:t>and</w:t>
      </w:r>
      <w:r>
        <w:rPr>
          <w:spacing w:val="-6"/>
          <w:w w:val="110"/>
        </w:rPr>
        <w:t xml:space="preserve"> </w:t>
      </w:r>
      <w:r>
        <w:rPr>
          <w:w w:val="110"/>
        </w:rPr>
        <w:t>of</w:t>
      </w:r>
      <w:r>
        <w:rPr>
          <w:spacing w:val="-7"/>
          <w:w w:val="110"/>
        </w:rPr>
        <w:t xml:space="preserve"> </w:t>
      </w:r>
      <w:r>
        <w:rPr>
          <w:w w:val="110"/>
        </w:rPr>
        <w:t>particular</w:t>
      </w:r>
      <w:r>
        <w:rPr>
          <w:spacing w:val="-2"/>
          <w:w w:val="110"/>
        </w:rPr>
        <w:t xml:space="preserve"> </w:t>
      </w:r>
      <w:r>
        <w:rPr>
          <w:w w:val="110"/>
        </w:rPr>
        <w:t>importance</w:t>
      </w:r>
      <w:r>
        <w:rPr>
          <w:spacing w:val="-4"/>
          <w:w w:val="110"/>
        </w:rPr>
        <w:t xml:space="preserve"> </w:t>
      </w:r>
      <w:r>
        <w:rPr>
          <w:w w:val="110"/>
        </w:rPr>
        <w:t>in</w:t>
      </w:r>
      <w:r>
        <w:rPr>
          <w:spacing w:val="-5"/>
          <w:w w:val="110"/>
        </w:rPr>
        <w:t xml:space="preserve"> </w:t>
      </w:r>
      <w:r>
        <w:rPr>
          <w:w w:val="110"/>
        </w:rPr>
        <w:t>supporting</w:t>
      </w:r>
      <w:r>
        <w:rPr>
          <w:spacing w:val="-4"/>
          <w:w w:val="110"/>
        </w:rPr>
        <w:t xml:space="preserve"> </w:t>
      </w:r>
      <w:r>
        <w:rPr>
          <w:w w:val="110"/>
        </w:rPr>
        <w:t>those facing severe material deprivation. While these programmes provide much needed support across a range of areas, substantial increases are required to meet need.</w:t>
      </w:r>
    </w:p>
    <w:p w:rsidR="00B84CED" w:rsidRDefault="00794452" w14:paraId="54FA1B0C" w14:textId="77777777">
      <w:pPr>
        <w:pStyle w:val="BodyText"/>
        <w:spacing w:before="160" w:line="357" w:lineRule="auto"/>
        <w:ind w:left="219" w:right="431"/>
      </w:pPr>
      <w:r>
        <w:rPr>
          <w:w w:val="110"/>
        </w:rPr>
        <w:t>The submission states that the proposed amendments will have a detrimental impact on funding</w:t>
      </w:r>
      <w:r>
        <w:rPr>
          <w:spacing w:val="-7"/>
          <w:w w:val="110"/>
        </w:rPr>
        <w:t xml:space="preserve"> </w:t>
      </w:r>
      <w:r>
        <w:rPr>
          <w:w w:val="110"/>
        </w:rPr>
        <w:t>poverty</w:t>
      </w:r>
      <w:r>
        <w:rPr>
          <w:spacing w:val="-12"/>
          <w:w w:val="110"/>
        </w:rPr>
        <w:t xml:space="preserve"> </w:t>
      </w:r>
      <w:r>
        <w:rPr>
          <w:w w:val="110"/>
        </w:rPr>
        <w:t>eradication,</w:t>
      </w:r>
      <w:r>
        <w:rPr>
          <w:spacing w:val="-11"/>
          <w:w w:val="110"/>
        </w:rPr>
        <w:t xml:space="preserve"> </w:t>
      </w:r>
      <w:r>
        <w:rPr>
          <w:w w:val="110"/>
        </w:rPr>
        <w:t>with</w:t>
      </w:r>
      <w:r>
        <w:rPr>
          <w:spacing w:val="-9"/>
          <w:w w:val="110"/>
        </w:rPr>
        <w:t xml:space="preserve"> </w:t>
      </w:r>
      <w:r>
        <w:rPr>
          <w:w w:val="110"/>
        </w:rPr>
        <w:t>the</w:t>
      </w:r>
      <w:r>
        <w:rPr>
          <w:spacing w:val="-10"/>
          <w:w w:val="110"/>
        </w:rPr>
        <w:t xml:space="preserve"> </w:t>
      </w:r>
      <w:r>
        <w:rPr>
          <w:w w:val="110"/>
        </w:rPr>
        <w:t>addition</w:t>
      </w:r>
      <w:r>
        <w:rPr>
          <w:spacing w:val="-11"/>
          <w:w w:val="110"/>
        </w:rPr>
        <w:t xml:space="preserve"> </w:t>
      </w:r>
      <w:r>
        <w:rPr>
          <w:w w:val="110"/>
        </w:rPr>
        <w:t>of</w:t>
      </w:r>
      <w:r>
        <w:rPr>
          <w:spacing w:val="-12"/>
          <w:w w:val="110"/>
        </w:rPr>
        <w:t xml:space="preserve"> </w:t>
      </w:r>
      <w:r>
        <w:rPr>
          <w:w w:val="110"/>
        </w:rPr>
        <w:t>supporting</w:t>
      </w:r>
      <w:r>
        <w:rPr>
          <w:spacing w:val="-10"/>
          <w:w w:val="110"/>
        </w:rPr>
        <w:t xml:space="preserve"> </w:t>
      </w:r>
      <w:r>
        <w:rPr>
          <w:w w:val="110"/>
        </w:rPr>
        <w:t>the</w:t>
      </w:r>
      <w:r>
        <w:rPr>
          <w:spacing w:val="-10"/>
          <w:w w:val="110"/>
        </w:rPr>
        <w:t xml:space="preserve"> </w:t>
      </w:r>
      <w:r>
        <w:rPr>
          <w:w w:val="110"/>
        </w:rPr>
        <w:t>defence</w:t>
      </w:r>
      <w:r>
        <w:rPr>
          <w:spacing w:val="-7"/>
          <w:w w:val="110"/>
        </w:rPr>
        <w:t xml:space="preserve"> </w:t>
      </w:r>
      <w:r>
        <w:rPr>
          <w:w w:val="110"/>
        </w:rPr>
        <w:t>industry</w:t>
      </w:r>
      <w:r>
        <w:rPr>
          <w:spacing w:val="-8"/>
          <w:w w:val="110"/>
        </w:rPr>
        <w:t xml:space="preserve"> </w:t>
      </w:r>
      <w:r>
        <w:rPr>
          <w:w w:val="110"/>
        </w:rPr>
        <w:t>as</w:t>
      </w:r>
      <w:r>
        <w:rPr>
          <w:spacing w:val="-10"/>
          <w:w w:val="110"/>
        </w:rPr>
        <w:t xml:space="preserve"> </w:t>
      </w:r>
      <w:r>
        <w:rPr>
          <w:w w:val="110"/>
        </w:rPr>
        <w:t>a</w:t>
      </w:r>
      <w:r>
        <w:rPr>
          <w:spacing w:val="-9"/>
          <w:w w:val="110"/>
        </w:rPr>
        <w:t xml:space="preserve"> </w:t>
      </w:r>
      <w:r>
        <w:rPr>
          <w:w w:val="110"/>
        </w:rPr>
        <w:t>new priority under the ESF+ representing a dilution of the funding already available to those areas currently benefitting from the fund.</w:t>
      </w:r>
    </w:p>
    <w:p w:rsidR="00B84CED" w:rsidRDefault="00794452" w14:paraId="19EC76B3" w14:textId="77777777">
      <w:pPr>
        <w:pStyle w:val="BodyText"/>
        <w:spacing w:before="161" w:line="357" w:lineRule="auto"/>
        <w:ind w:left="219" w:right="450"/>
      </w:pPr>
      <w:r>
        <w:rPr>
          <w:w w:val="110"/>
        </w:rPr>
        <w:t>The submission received from Galway Alliance Against War (GAAW) observes an apparently contradictory stance of the EU with regard to fiscal priorities, drawing attention</w:t>
      </w:r>
      <w:r>
        <w:rPr>
          <w:spacing w:val="-4"/>
          <w:w w:val="110"/>
        </w:rPr>
        <w:t xml:space="preserve"> </w:t>
      </w:r>
      <w:r>
        <w:rPr>
          <w:w w:val="110"/>
        </w:rPr>
        <w:t>to</w:t>
      </w:r>
      <w:r>
        <w:rPr>
          <w:spacing w:val="-2"/>
          <w:w w:val="110"/>
        </w:rPr>
        <w:t xml:space="preserve"> </w:t>
      </w:r>
      <w:r>
        <w:rPr>
          <w:w w:val="110"/>
        </w:rPr>
        <w:t>the</w:t>
      </w:r>
      <w:r>
        <w:rPr>
          <w:spacing w:val="-5"/>
          <w:w w:val="110"/>
        </w:rPr>
        <w:t xml:space="preserve"> </w:t>
      </w:r>
      <w:r>
        <w:rPr>
          <w:w w:val="110"/>
        </w:rPr>
        <w:t>use</w:t>
      </w:r>
      <w:r>
        <w:rPr>
          <w:spacing w:val="-5"/>
          <w:w w:val="110"/>
        </w:rPr>
        <w:t xml:space="preserve"> </w:t>
      </w:r>
      <w:r>
        <w:rPr>
          <w:w w:val="110"/>
        </w:rPr>
        <w:t>of</w:t>
      </w:r>
      <w:r>
        <w:rPr>
          <w:spacing w:val="-5"/>
          <w:w w:val="110"/>
        </w:rPr>
        <w:t xml:space="preserve"> </w:t>
      </w:r>
      <w:r>
        <w:rPr>
          <w:w w:val="110"/>
        </w:rPr>
        <w:t>strict</w:t>
      </w:r>
      <w:r>
        <w:rPr>
          <w:spacing w:val="-4"/>
          <w:w w:val="110"/>
        </w:rPr>
        <w:t xml:space="preserve"> </w:t>
      </w:r>
      <w:r>
        <w:rPr>
          <w:w w:val="110"/>
        </w:rPr>
        <w:t>debt</w:t>
      </w:r>
      <w:r>
        <w:rPr>
          <w:spacing w:val="-4"/>
          <w:w w:val="110"/>
        </w:rPr>
        <w:t xml:space="preserve"> </w:t>
      </w:r>
      <w:r>
        <w:rPr>
          <w:w w:val="110"/>
        </w:rPr>
        <w:t>brakes</w:t>
      </w:r>
      <w:r>
        <w:rPr>
          <w:spacing w:val="-3"/>
          <w:w w:val="110"/>
        </w:rPr>
        <w:t xml:space="preserve"> </w:t>
      </w:r>
      <w:r>
        <w:rPr>
          <w:w w:val="110"/>
        </w:rPr>
        <w:t>and</w:t>
      </w:r>
      <w:r>
        <w:rPr>
          <w:spacing w:val="-7"/>
          <w:w w:val="110"/>
        </w:rPr>
        <w:t xml:space="preserve"> </w:t>
      </w:r>
      <w:r>
        <w:rPr>
          <w:w w:val="110"/>
        </w:rPr>
        <w:t>fiscal</w:t>
      </w:r>
      <w:r>
        <w:rPr>
          <w:spacing w:val="-3"/>
          <w:w w:val="110"/>
        </w:rPr>
        <w:t xml:space="preserve"> </w:t>
      </w:r>
      <w:r>
        <w:rPr>
          <w:w w:val="110"/>
        </w:rPr>
        <w:t>compacts</w:t>
      </w:r>
      <w:r>
        <w:rPr>
          <w:spacing w:val="-3"/>
          <w:w w:val="110"/>
        </w:rPr>
        <w:t xml:space="preserve"> </w:t>
      </w:r>
      <w:r>
        <w:rPr>
          <w:w w:val="110"/>
        </w:rPr>
        <w:t>in</w:t>
      </w:r>
      <w:r>
        <w:rPr>
          <w:spacing w:val="-6"/>
          <w:w w:val="110"/>
        </w:rPr>
        <w:t xml:space="preserve"> </w:t>
      </w:r>
      <w:r>
        <w:rPr>
          <w:w w:val="110"/>
        </w:rPr>
        <w:t>comparison</w:t>
      </w:r>
      <w:r>
        <w:rPr>
          <w:spacing w:val="-4"/>
          <w:w w:val="110"/>
        </w:rPr>
        <w:t xml:space="preserve"> </w:t>
      </w:r>
      <w:r>
        <w:rPr>
          <w:w w:val="110"/>
        </w:rPr>
        <w:t>to</w:t>
      </w:r>
      <w:r>
        <w:rPr>
          <w:spacing w:val="-5"/>
          <w:w w:val="110"/>
        </w:rPr>
        <w:t xml:space="preserve"> </w:t>
      </w:r>
      <w:r>
        <w:rPr>
          <w:w w:val="110"/>
        </w:rPr>
        <w:t>the</w:t>
      </w:r>
      <w:r>
        <w:rPr>
          <w:spacing w:val="-5"/>
          <w:w w:val="110"/>
        </w:rPr>
        <w:t xml:space="preserve"> </w:t>
      </w:r>
      <w:r>
        <w:rPr>
          <w:w w:val="110"/>
        </w:rPr>
        <w:t>current policy of increased funding towards military and defence measures.</w:t>
      </w:r>
    </w:p>
    <w:p w:rsidR="00B84CED" w:rsidRDefault="00794452" w14:paraId="1F92749D" w14:textId="77777777">
      <w:pPr>
        <w:pStyle w:val="BodyText"/>
        <w:spacing w:before="161" w:line="357" w:lineRule="auto"/>
        <w:ind w:left="219" w:right="450"/>
      </w:pPr>
      <w:r>
        <w:rPr>
          <w:w w:val="110"/>
        </w:rPr>
        <w:t>Militarisation is viewed as taking place at the expense of climate action, with funding towards climate measures being decreased to redirect funding towards military and defence spending. The submission suggests that funding should be directed towards ending fossil</w:t>
      </w:r>
      <w:r>
        <w:rPr>
          <w:spacing w:val="-2"/>
          <w:w w:val="110"/>
        </w:rPr>
        <w:t xml:space="preserve"> </w:t>
      </w:r>
      <w:r>
        <w:rPr>
          <w:w w:val="110"/>
        </w:rPr>
        <w:t>fuel dependence,</w:t>
      </w:r>
      <w:r>
        <w:rPr>
          <w:spacing w:val="-2"/>
          <w:w w:val="110"/>
        </w:rPr>
        <w:t xml:space="preserve"> </w:t>
      </w:r>
      <w:r>
        <w:rPr>
          <w:w w:val="110"/>
        </w:rPr>
        <w:t>supporting communities affected by</w:t>
      </w:r>
      <w:r>
        <w:rPr>
          <w:spacing w:val="-2"/>
          <w:w w:val="110"/>
        </w:rPr>
        <w:t xml:space="preserve"> </w:t>
      </w:r>
      <w:r>
        <w:rPr>
          <w:w w:val="110"/>
        </w:rPr>
        <w:t>climate disasters and creating jobs in renewable energy and green infrastructure.</w:t>
      </w:r>
    </w:p>
    <w:p w:rsidR="00B84CED" w:rsidRDefault="00794452" w14:paraId="50907EBB" w14:textId="77777777">
      <w:pPr>
        <w:pStyle w:val="BodyText"/>
        <w:spacing w:before="162" w:line="357" w:lineRule="auto"/>
        <w:ind w:left="219" w:right="459"/>
      </w:pPr>
      <w:r>
        <w:rPr>
          <w:w w:val="110"/>
        </w:rPr>
        <w:t>The</w:t>
      </w:r>
      <w:r>
        <w:rPr>
          <w:spacing w:val="-2"/>
          <w:w w:val="110"/>
        </w:rPr>
        <w:t xml:space="preserve"> </w:t>
      </w:r>
      <w:r>
        <w:rPr>
          <w:w w:val="110"/>
        </w:rPr>
        <w:t>submission</w:t>
      </w:r>
      <w:r>
        <w:rPr>
          <w:spacing w:val="-3"/>
          <w:w w:val="110"/>
        </w:rPr>
        <w:t xml:space="preserve"> </w:t>
      </w:r>
      <w:r>
        <w:rPr>
          <w:w w:val="110"/>
        </w:rPr>
        <w:t>identifies that</w:t>
      </w:r>
      <w:r>
        <w:rPr>
          <w:spacing w:val="-1"/>
          <w:w w:val="110"/>
        </w:rPr>
        <w:t xml:space="preserve"> </w:t>
      </w:r>
      <w:r>
        <w:rPr>
          <w:w w:val="110"/>
        </w:rPr>
        <w:t>the</w:t>
      </w:r>
      <w:r>
        <w:rPr>
          <w:spacing w:val="-2"/>
          <w:w w:val="110"/>
        </w:rPr>
        <w:t xml:space="preserve"> </w:t>
      </w:r>
      <w:r>
        <w:rPr>
          <w:w w:val="110"/>
        </w:rPr>
        <w:t>proposed</w:t>
      </w:r>
      <w:r>
        <w:rPr>
          <w:spacing w:val="-1"/>
          <w:w w:val="110"/>
        </w:rPr>
        <w:t xml:space="preserve"> </w:t>
      </w:r>
      <w:r>
        <w:rPr>
          <w:w w:val="110"/>
        </w:rPr>
        <w:t>amendments flowing</w:t>
      </w:r>
      <w:r>
        <w:rPr>
          <w:spacing w:val="-2"/>
          <w:w w:val="110"/>
        </w:rPr>
        <w:t xml:space="preserve"> </w:t>
      </w:r>
      <w:r>
        <w:rPr>
          <w:w w:val="110"/>
        </w:rPr>
        <w:t>from</w:t>
      </w:r>
      <w:r>
        <w:rPr>
          <w:spacing w:val="-1"/>
          <w:w w:val="110"/>
        </w:rPr>
        <w:t xml:space="preserve"> </w:t>
      </w:r>
      <w:r>
        <w:rPr>
          <w:w w:val="110"/>
        </w:rPr>
        <w:t>COM(2025)123 represent a fundamental transformation to cohesion policy. New European Regional Development Fund objectives would fund defence industries and dual-use military infrastructure which directly contradicts the cohesion policy’s foundational purpose of reducing inequality and building social cohesion.</w:t>
      </w:r>
    </w:p>
    <w:p w:rsidR="00B84CED" w:rsidRDefault="00B84CED" w14:paraId="525AA1A7" w14:textId="77777777">
      <w:pPr>
        <w:pStyle w:val="BodyText"/>
        <w:spacing w:line="357" w:lineRule="auto"/>
        <w:sectPr w:rsidR="00B84CED" w:rsidSect="00196DB0">
          <w:footerReference w:type="even" r:id="Rf14ad67d961d42fa"/>
          <w:footerReference w:type="first" r:id="R6632fff0b05f48cc"/>
          <w:headerReference w:type="even" r:id="R1963822c5dc9411f"/>
          <w:headerReference w:type="first" r:id="R7a5f8454290c42ca"/>
          <w:pgSz w:w="11907" w:h="16839"/>
          <w:pgMar w:top="1134" w:right="1134" w:bottom="1134" w:left="1134" w:header="567" w:footer="567" w:gutter="0"/>
          <w:cols w:space="720"/>
          <w:docGrid w:linePitch="299"/>
        </w:sectPr>
      </w:pPr>
    </w:p>
    <w:p w:rsidR="00B84CED" w:rsidRDefault="00794452" w14:paraId="79F855B6" w14:textId="77777777">
      <w:pPr>
        <w:pStyle w:val="BodyText"/>
        <w:spacing w:before="109" w:line="357" w:lineRule="auto"/>
        <w:ind w:left="219" w:right="459"/>
      </w:pPr>
      <w:r>
        <w:rPr>
          <w:w w:val="110"/>
        </w:rPr>
        <w:lastRenderedPageBreak/>
        <w:t>The</w:t>
      </w:r>
      <w:r>
        <w:rPr>
          <w:spacing w:val="-3"/>
          <w:w w:val="110"/>
        </w:rPr>
        <w:t xml:space="preserve"> </w:t>
      </w:r>
      <w:r>
        <w:rPr>
          <w:w w:val="110"/>
        </w:rPr>
        <w:t>submission</w:t>
      </w:r>
      <w:r>
        <w:rPr>
          <w:spacing w:val="-2"/>
          <w:w w:val="110"/>
        </w:rPr>
        <w:t xml:space="preserve"> </w:t>
      </w:r>
      <w:r>
        <w:rPr>
          <w:w w:val="110"/>
        </w:rPr>
        <w:t>makes</w:t>
      </w:r>
      <w:r>
        <w:rPr>
          <w:spacing w:val="-3"/>
          <w:w w:val="110"/>
        </w:rPr>
        <w:t xml:space="preserve"> </w:t>
      </w:r>
      <w:r>
        <w:rPr>
          <w:w w:val="110"/>
        </w:rPr>
        <w:t>further</w:t>
      </w:r>
      <w:r>
        <w:rPr>
          <w:spacing w:val="-3"/>
          <w:w w:val="110"/>
        </w:rPr>
        <w:t xml:space="preserve"> </w:t>
      </w:r>
      <w:r>
        <w:rPr>
          <w:w w:val="110"/>
        </w:rPr>
        <w:t>reference to the</w:t>
      </w:r>
      <w:r>
        <w:rPr>
          <w:spacing w:val="-3"/>
          <w:w w:val="110"/>
        </w:rPr>
        <w:t xml:space="preserve"> </w:t>
      </w:r>
      <w:r>
        <w:rPr>
          <w:w w:val="110"/>
        </w:rPr>
        <w:t>obligations</w:t>
      </w:r>
      <w:r>
        <w:rPr>
          <w:spacing w:val="-6"/>
          <w:w w:val="110"/>
        </w:rPr>
        <w:t xml:space="preserve"> </w:t>
      </w:r>
      <w:r>
        <w:rPr>
          <w:w w:val="110"/>
        </w:rPr>
        <w:t>of</w:t>
      </w:r>
      <w:r>
        <w:rPr>
          <w:spacing w:val="-1"/>
          <w:w w:val="110"/>
        </w:rPr>
        <w:t xml:space="preserve"> </w:t>
      </w:r>
      <w:r>
        <w:rPr>
          <w:w w:val="110"/>
        </w:rPr>
        <w:t>the Irish</w:t>
      </w:r>
      <w:r>
        <w:rPr>
          <w:spacing w:val="-2"/>
          <w:w w:val="110"/>
        </w:rPr>
        <w:t xml:space="preserve"> </w:t>
      </w:r>
      <w:r>
        <w:rPr>
          <w:w w:val="110"/>
        </w:rPr>
        <w:t>State under</w:t>
      </w:r>
      <w:r>
        <w:rPr>
          <w:spacing w:val="-1"/>
          <w:w w:val="110"/>
        </w:rPr>
        <w:t xml:space="preserve"> </w:t>
      </w:r>
      <w:r>
        <w:rPr>
          <w:w w:val="110"/>
        </w:rPr>
        <w:t>Article 29</w:t>
      </w:r>
      <w:r>
        <w:rPr>
          <w:spacing w:val="-2"/>
          <w:w w:val="110"/>
        </w:rPr>
        <w:t xml:space="preserve"> </w:t>
      </w:r>
      <w:r>
        <w:rPr>
          <w:w w:val="110"/>
        </w:rPr>
        <w:t>of</w:t>
      </w:r>
      <w:r>
        <w:rPr>
          <w:spacing w:val="-3"/>
          <w:w w:val="110"/>
        </w:rPr>
        <w:t xml:space="preserve"> </w:t>
      </w:r>
      <w:r>
        <w:rPr>
          <w:w w:val="110"/>
        </w:rPr>
        <w:t>Bunreacht</w:t>
      </w:r>
      <w:r>
        <w:rPr>
          <w:spacing w:val="-2"/>
          <w:w w:val="110"/>
        </w:rPr>
        <w:t xml:space="preserve"> </w:t>
      </w:r>
      <w:r>
        <w:rPr>
          <w:w w:val="110"/>
        </w:rPr>
        <w:t>na</w:t>
      </w:r>
      <w:r>
        <w:rPr>
          <w:spacing w:val="-2"/>
          <w:w w:val="110"/>
        </w:rPr>
        <w:t xml:space="preserve"> </w:t>
      </w:r>
      <w:r>
        <w:rPr>
          <w:w w:val="110"/>
        </w:rPr>
        <w:t>hÉireann</w:t>
      </w:r>
      <w:r>
        <w:rPr>
          <w:spacing w:val="-2"/>
          <w:w w:val="110"/>
        </w:rPr>
        <w:t xml:space="preserve"> </w:t>
      </w:r>
      <w:r>
        <w:rPr>
          <w:w w:val="110"/>
        </w:rPr>
        <w:t>(the Constitution)</w:t>
      </w:r>
      <w:r>
        <w:rPr>
          <w:spacing w:val="-1"/>
          <w:w w:val="110"/>
        </w:rPr>
        <w:t xml:space="preserve"> </w:t>
      </w:r>
      <w:r>
        <w:rPr>
          <w:w w:val="110"/>
        </w:rPr>
        <w:t>and</w:t>
      </w:r>
      <w:r>
        <w:rPr>
          <w:spacing w:val="-2"/>
          <w:w w:val="110"/>
        </w:rPr>
        <w:t xml:space="preserve"> </w:t>
      </w:r>
      <w:r>
        <w:rPr>
          <w:w w:val="110"/>
        </w:rPr>
        <w:t>adherence</w:t>
      </w:r>
      <w:r>
        <w:rPr>
          <w:spacing w:val="-3"/>
          <w:w w:val="110"/>
        </w:rPr>
        <w:t xml:space="preserve"> </w:t>
      </w:r>
      <w:r>
        <w:rPr>
          <w:w w:val="110"/>
        </w:rPr>
        <w:t>to international</w:t>
      </w:r>
      <w:r>
        <w:rPr>
          <w:spacing w:val="-2"/>
          <w:w w:val="110"/>
        </w:rPr>
        <w:t xml:space="preserve"> </w:t>
      </w:r>
      <w:r>
        <w:rPr>
          <w:w w:val="110"/>
        </w:rPr>
        <w:t>law,</w:t>
      </w:r>
      <w:r>
        <w:rPr>
          <w:spacing w:val="-4"/>
          <w:w w:val="110"/>
        </w:rPr>
        <w:t xml:space="preserve"> </w:t>
      </w:r>
      <w:r>
        <w:rPr>
          <w:w w:val="110"/>
        </w:rPr>
        <w:t>while the Supreme Court's ruling in Crotty v. An Taoiseach (1987)</w:t>
      </w:r>
      <w:hyperlink w:history="1" w:anchor="_bookmark19">
        <w:r>
          <w:rPr>
            <w:w w:val="110"/>
            <w:position w:val="8"/>
            <w:sz w:val="13"/>
          </w:rPr>
          <w:t>6</w:t>
        </w:r>
      </w:hyperlink>
      <w:r>
        <w:rPr>
          <w:spacing w:val="37"/>
          <w:w w:val="110"/>
          <w:position w:val="8"/>
          <w:sz w:val="13"/>
        </w:rPr>
        <w:t xml:space="preserve"> </w:t>
      </w:r>
      <w:r>
        <w:rPr>
          <w:w w:val="110"/>
        </w:rPr>
        <w:t>established that any substantive transfer of sovereignty over foreign policy matters requires democratic consent via referendum. Crucially, defence remains outside EU competence (TEU Article 42(2))</w:t>
      </w:r>
      <w:hyperlink w:history="1" w:anchor="_bookmark20">
        <w:r>
          <w:rPr>
            <w:w w:val="110"/>
            <w:position w:val="8"/>
            <w:sz w:val="13"/>
          </w:rPr>
          <w:t>7</w:t>
        </w:r>
      </w:hyperlink>
      <w:r>
        <w:rPr>
          <w:w w:val="110"/>
        </w:rPr>
        <w:t>, and cohesion funds cannot legally be repurposed for military objectives without violating the principle of conferred powers. Ireland retains an unambiguous veto under EU law (TEU Article 42(2)), which the submission</w:t>
      </w:r>
      <w:r>
        <w:rPr>
          <w:spacing w:val="-1"/>
          <w:w w:val="110"/>
        </w:rPr>
        <w:t xml:space="preserve"> </w:t>
      </w:r>
      <w:r>
        <w:rPr>
          <w:w w:val="110"/>
        </w:rPr>
        <w:t xml:space="preserve">suggests ought to be exercised to block these </w:t>
      </w:r>
      <w:r>
        <w:rPr>
          <w:i/>
          <w:w w:val="110"/>
        </w:rPr>
        <w:t xml:space="preserve">ultra vires </w:t>
      </w:r>
      <w:r>
        <w:rPr>
          <w:w w:val="110"/>
        </w:rPr>
        <w:t>amendments.</w:t>
      </w:r>
    </w:p>
    <w:p w:rsidR="00B84CED" w:rsidRDefault="00B84CED" w14:paraId="46FD2359" w14:textId="77777777">
      <w:pPr>
        <w:pStyle w:val="BodyText"/>
        <w:spacing w:before="43"/>
      </w:pPr>
    </w:p>
    <w:p w:rsidR="00B84CED" w:rsidRDefault="00794452" w14:paraId="7841ED76" w14:textId="77777777">
      <w:pPr>
        <w:pStyle w:val="Heading1"/>
        <w:ind w:left="219"/>
      </w:pPr>
      <w:bookmarkStart w:name="Evidence_from_Public_sessions" w:id="37"/>
      <w:bookmarkStart w:name="_bookmark17" w:id="38"/>
      <w:bookmarkEnd w:id="37"/>
      <w:bookmarkEnd w:id="38"/>
      <w:r>
        <w:rPr>
          <w:color w:val="3A5C66"/>
          <w:spacing w:val="-4"/>
        </w:rPr>
        <w:t>Evidence</w:t>
      </w:r>
      <w:r>
        <w:rPr>
          <w:color w:val="3A5C66"/>
          <w:spacing w:val="-15"/>
        </w:rPr>
        <w:t xml:space="preserve"> </w:t>
      </w:r>
      <w:r>
        <w:rPr>
          <w:color w:val="3A5C66"/>
          <w:spacing w:val="-4"/>
        </w:rPr>
        <w:t>from</w:t>
      </w:r>
      <w:r>
        <w:rPr>
          <w:color w:val="3A5C66"/>
          <w:spacing w:val="-16"/>
        </w:rPr>
        <w:t xml:space="preserve"> </w:t>
      </w:r>
      <w:r>
        <w:rPr>
          <w:color w:val="3A5C66"/>
          <w:spacing w:val="-4"/>
        </w:rPr>
        <w:t>Public</w:t>
      </w:r>
      <w:r>
        <w:rPr>
          <w:color w:val="3A5C66"/>
          <w:spacing w:val="-14"/>
        </w:rPr>
        <w:t xml:space="preserve"> </w:t>
      </w:r>
      <w:r>
        <w:rPr>
          <w:color w:val="3A5C66"/>
          <w:spacing w:val="-4"/>
        </w:rPr>
        <w:t>sessions</w:t>
      </w:r>
    </w:p>
    <w:p w:rsidR="00B84CED" w:rsidRDefault="00794452" w14:paraId="143FC9CC" w14:textId="77777777">
      <w:pPr>
        <w:pStyle w:val="BodyText"/>
        <w:spacing w:before="152" w:line="357" w:lineRule="auto"/>
        <w:ind w:left="219" w:right="778"/>
      </w:pPr>
      <w:r>
        <w:rPr>
          <w:w w:val="110"/>
        </w:rPr>
        <w:t>The Joint Committee held two public sessions to discuss these proposals, inviting representatives from the Conflict and Environment Observatory, the Transnational Institute,</w:t>
      </w:r>
      <w:r>
        <w:rPr>
          <w:spacing w:val="-5"/>
          <w:w w:val="110"/>
        </w:rPr>
        <w:t xml:space="preserve"> </w:t>
      </w:r>
      <w:r>
        <w:rPr>
          <w:w w:val="110"/>
        </w:rPr>
        <w:t>officials</w:t>
      </w:r>
      <w:r>
        <w:rPr>
          <w:spacing w:val="-4"/>
          <w:w w:val="110"/>
        </w:rPr>
        <w:t xml:space="preserve"> </w:t>
      </w:r>
      <w:r>
        <w:rPr>
          <w:w w:val="110"/>
        </w:rPr>
        <w:t>from</w:t>
      </w:r>
      <w:r>
        <w:rPr>
          <w:spacing w:val="-3"/>
          <w:w w:val="110"/>
        </w:rPr>
        <w:t xml:space="preserve"> </w:t>
      </w:r>
      <w:r>
        <w:rPr>
          <w:w w:val="110"/>
        </w:rPr>
        <w:t>the</w:t>
      </w:r>
      <w:r>
        <w:rPr>
          <w:spacing w:val="-1"/>
          <w:w w:val="110"/>
        </w:rPr>
        <w:t xml:space="preserve"> </w:t>
      </w:r>
      <w:r>
        <w:rPr>
          <w:w w:val="110"/>
        </w:rPr>
        <w:t>Department</w:t>
      </w:r>
      <w:r>
        <w:rPr>
          <w:spacing w:val="-6"/>
          <w:w w:val="110"/>
        </w:rPr>
        <w:t xml:space="preserve"> </w:t>
      </w:r>
      <w:r>
        <w:rPr>
          <w:w w:val="110"/>
        </w:rPr>
        <w:t>of</w:t>
      </w:r>
      <w:r>
        <w:rPr>
          <w:spacing w:val="-2"/>
          <w:w w:val="110"/>
        </w:rPr>
        <w:t xml:space="preserve"> </w:t>
      </w:r>
      <w:r>
        <w:rPr>
          <w:w w:val="110"/>
        </w:rPr>
        <w:t>Finance,</w:t>
      </w:r>
      <w:r>
        <w:rPr>
          <w:spacing w:val="-5"/>
          <w:w w:val="110"/>
        </w:rPr>
        <w:t xml:space="preserve"> </w:t>
      </w:r>
      <w:r>
        <w:rPr>
          <w:w w:val="110"/>
        </w:rPr>
        <w:t>Department</w:t>
      </w:r>
      <w:r>
        <w:rPr>
          <w:spacing w:val="-6"/>
          <w:w w:val="110"/>
        </w:rPr>
        <w:t xml:space="preserve"> </w:t>
      </w:r>
      <w:r>
        <w:rPr>
          <w:w w:val="110"/>
        </w:rPr>
        <w:t>of</w:t>
      </w:r>
      <w:r>
        <w:rPr>
          <w:spacing w:val="-4"/>
          <w:w w:val="110"/>
        </w:rPr>
        <w:t xml:space="preserve"> </w:t>
      </w:r>
      <w:r>
        <w:rPr>
          <w:w w:val="110"/>
        </w:rPr>
        <w:t>Public</w:t>
      </w:r>
      <w:r>
        <w:rPr>
          <w:spacing w:val="-6"/>
          <w:w w:val="110"/>
        </w:rPr>
        <w:t xml:space="preserve"> </w:t>
      </w:r>
      <w:r>
        <w:rPr>
          <w:w w:val="110"/>
        </w:rPr>
        <w:t>Expenditure, Infrastructure,</w:t>
      </w:r>
      <w:r>
        <w:rPr>
          <w:spacing w:val="-2"/>
          <w:w w:val="110"/>
        </w:rPr>
        <w:t xml:space="preserve"> </w:t>
      </w:r>
      <w:r>
        <w:rPr>
          <w:w w:val="110"/>
        </w:rPr>
        <w:t>Public Service</w:t>
      </w:r>
      <w:r>
        <w:rPr>
          <w:spacing w:val="-1"/>
          <w:w w:val="110"/>
        </w:rPr>
        <w:t xml:space="preserve"> </w:t>
      </w:r>
      <w:r>
        <w:rPr>
          <w:w w:val="110"/>
        </w:rPr>
        <w:t>Reform and</w:t>
      </w:r>
      <w:r>
        <w:rPr>
          <w:spacing w:val="-3"/>
          <w:w w:val="110"/>
        </w:rPr>
        <w:t xml:space="preserve"> </w:t>
      </w:r>
      <w:r>
        <w:rPr>
          <w:w w:val="110"/>
        </w:rPr>
        <w:t>Digitalisation,</w:t>
      </w:r>
      <w:r>
        <w:rPr>
          <w:spacing w:val="-2"/>
          <w:w w:val="110"/>
        </w:rPr>
        <w:t xml:space="preserve"> </w:t>
      </w:r>
      <w:r>
        <w:rPr>
          <w:w w:val="110"/>
        </w:rPr>
        <w:t>Department</w:t>
      </w:r>
      <w:r>
        <w:rPr>
          <w:spacing w:val="-3"/>
          <w:w w:val="110"/>
        </w:rPr>
        <w:t xml:space="preserve"> </w:t>
      </w:r>
      <w:r>
        <w:rPr>
          <w:w w:val="110"/>
        </w:rPr>
        <w:t>of</w:t>
      </w:r>
      <w:r>
        <w:rPr>
          <w:spacing w:val="-1"/>
          <w:w w:val="110"/>
        </w:rPr>
        <w:t xml:space="preserve"> </w:t>
      </w:r>
      <w:r>
        <w:rPr>
          <w:w w:val="110"/>
        </w:rPr>
        <w:t>Foreign Affairs and Trade, and Department of Defence, and European Commission officials to give evidence. A full list of witnesses, transcripts of these meetings and subsequent correspondence can be found at Appendix B.</w:t>
      </w:r>
    </w:p>
    <w:p w:rsidR="00B84CED" w:rsidRDefault="00794452" w14:paraId="6E2D4962" w14:textId="77777777">
      <w:pPr>
        <w:pStyle w:val="BodyText"/>
        <w:spacing w:before="162" w:line="357" w:lineRule="auto"/>
        <w:ind w:left="219" w:right="459"/>
      </w:pPr>
      <w:r>
        <w:rPr>
          <w:w w:val="110"/>
        </w:rPr>
        <w:t>Discussion across the meetings held was wide-ranging but held a central theme of the prioritisation</w:t>
      </w:r>
      <w:r>
        <w:rPr>
          <w:spacing w:val="-5"/>
          <w:w w:val="110"/>
        </w:rPr>
        <w:t xml:space="preserve"> </w:t>
      </w:r>
      <w:r>
        <w:rPr>
          <w:w w:val="110"/>
        </w:rPr>
        <w:t>of</w:t>
      </w:r>
      <w:r>
        <w:rPr>
          <w:spacing w:val="-2"/>
          <w:w w:val="110"/>
        </w:rPr>
        <w:t xml:space="preserve"> </w:t>
      </w:r>
      <w:r>
        <w:rPr>
          <w:w w:val="110"/>
        </w:rPr>
        <w:t>defence</w:t>
      </w:r>
      <w:r>
        <w:rPr>
          <w:spacing w:val="-4"/>
          <w:w w:val="110"/>
        </w:rPr>
        <w:t xml:space="preserve"> </w:t>
      </w:r>
      <w:r>
        <w:rPr>
          <w:w w:val="110"/>
        </w:rPr>
        <w:t>funding</w:t>
      </w:r>
      <w:r>
        <w:rPr>
          <w:spacing w:val="-1"/>
          <w:w w:val="110"/>
        </w:rPr>
        <w:t xml:space="preserve"> </w:t>
      </w:r>
      <w:r>
        <w:rPr>
          <w:w w:val="110"/>
        </w:rPr>
        <w:t>by</w:t>
      </w:r>
      <w:r>
        <w:rPr>
          <w:spacing w:val="-2"/>
          <w:w w:val="110"/>
        </w:rPr>
        <w:t xml:space="preserve"> </w:t>
      </w:r>
      <w:r>
        <w:rPr>
          <w:w w:val="110"/>
        </w:rPr>
        <w:t>the</w:t>
      </w:r>
      <w:r>
        <w:rPr>
          <w:spacing w:val="-4"/>
          <w:w w:val="110"/>
        </w:rPr>
        <w:t xml:space="preserve"> </w:t>
      </w:r>
      <w:r>
        <w:rPr>
          <w:w w:val="110"/>
        </w:rPr>
        <w:t>EU</w:t>
      </w:r>
      <w:r>
        <w:rPr>
          <w:spacing w:val="-3"/>
          <w:w w:val="110"/>
        </w:rPr>
        <w:t xml:space="preserve"> </w:t>
      </w:r>
      <w:r>
        <w:rPr>
          <w:w w:val="110"/>
        </w:rPr>
        <w:t>and</w:t>
      </w:r>
      <w:r>
        <w:rPr>
          <w:spacing w:val="-3"/>
          <w:w w:val="110"/>
        </w:rPr>
        <w:t xml:space="preserve"> </w:t>
      </w:r>
      <w:r>
        <w:rPr>
          <w:w w:val="110"/>
        </w:rPr>
        <w:t>the</w:t>
      </w:r>
      <w:r>
        <w:rPr>
          <w:spacing w:val="-1"/>
          <w:w w:val="110"/>
        </w:rPr>
        <w:t xml:space="preserve"> </w:t>
      </w:r>
      <w:r>
        <w:rPr>
          <w:w w:val="110"/>
        </w:rPr>
        <w:t>subsequent</w:t>
      </w:r>
      <w:r>
        <w:rPr>
          <w:spacing w:val="-3"/>
          <w:w w:val="110"/>
        </w:rPr>
        <w:t xml:space="preserve"> </w:t>
      </w:r>
      <w:r>
        <w:rPr>
          <w:w w:val="110"/>
        </w:rPr>
        <w:t>impacts</w:t>
      </w:r>
      <w:r>
        <w:rPr>
          <w:spacing w:val="-2"/>
          <w:w w:val="110"/>
        </w:rPr>
        <w:t xml:space="preserve"> </w:t>
      </w:r>
      <w:r>
        <w:rPr>
          <w:w w:val="110"/>
        </w:rPr>
        <w:t>flowing</w:t>
      </w:r>
      <w:r>
        <w:rPr>
          <w:spacing w:val="-4"/>
          <w:w w:val="110"/>
        </w:rPr>
        <w:t xml:space="preserve"> </w:t>
      </w:r>
      <w:r>
        <w:rPr>
          <w:w w:val="110"/>
        </w:rPr>
        <w:t>from</w:t>
      </w:r>
      <w:r>
        <w:rPr>
          <w:spacing w:val="-3"/>
          <w:w w:val="110"/>
        </w:rPr>
        <w:t xml:space="preserve"> </w:t>
      </w:r>
      <w:r>
        <w:rPr>
          <w:w w:val="110"/>
        </w:rPr>
        <w:t>the creation of new financial instruments, alongside the impacts of redirection of existing funding</w:t>
      </w:r>
      <w:r>
        <w:rPr>
          <w:spacing w:val="-7"/>
          <w:w w:val="110"/>
        </w:rPr>
        <w:t xml:space="preserve"> </w:t>
      </w:r>
      <w:r>
        <w:rPr>
          <w:w w:val="110"/>
        </w:rPr>
        <w:t>to</w:t>
      </w:r>
      <w:r>
        <w:rPr>
          <w:spacing w:val="-10"/>
          <w:w w:val="110"/>
        </w:rPr>
        <w:t xml:space="preserve"> </w:t>
      </w:r>
      <w:r>
        <w:rPr>
          <w:w w:val="110"/>
        </w:rPr>
        <w:t>achieve</w:t>
      </w:r>
      <w:r>
        <w:rPr>
          <w:spacing w:val="-7"/>
          <w:w w:val="110"/>
        </w:rPr>
        <w:t xml:space="preserve"> </w:t>
      </w:r>
      <w:r>
        <w:rPr>
          <w:w w:val="110"/>
        </w:rPr>
        <w:t>this</w:t>
      </w:r>
      <w:r>
        <w:rPr>
          <w:spacing w:val="-8"/>
          <w:w w:val="110"/>
        </w:rPr>
        <w:t xml:space="preserve"> </w:t>
      </w:r>
      <w:r>
        <w:rPr>
          <w:w w:val="110"/>
        </w:rPr>
        <w:t>priority.</w:t>
      </w:r>
      <w:r>
        <w:rPr>
          <w:spacing w:val="-8"/>
          <w:w w:val="110"/>
        </w:rPr>
        <w:t xml:space="preserve"> </w:t>
      </w:r>
      <w:r>
        <w:rPr>
          <w:w w:val="110"/>
        </w:rPr>
        <w:t>Chief</w:t>
      </w:r>
      <w:r>
        <w:rPr>
          <w:spacing w:val="-10"/>
          <w:w w:val="110"/>
        </w:rPr>
        <w:t xml:space="preserve"> </w:t>
      </w:r>
      <w:r>
        <w:rPr>
          <w:w w:val="110"/>
        </w:rPr>
        <w:t>among</w:t>
      </w:r>
      <w:r>
        <w:rPr>
          <w:spacing w:val="-7"/>
          <w:w w:val="110"/>
        </w:rPr>
        <w:t xml:space="preserve"> </w:t>
      </w:r>
      <w:r>
        <w:rPr>
          <w:w w:val="110"/>
        </w:rPr>
        <w:t>the</w:t>
      </w:r>
      <w:r>
        <w:rPr>
          <w:spacing w:val="-11"/>
          <w:w w:val="110"/>
        </w:rPr>
        <w:t xml:space="preserve"> </w:t>
      </w:r>
      <w:r>
        <w:rPr>
          <w:w w:val="110"/>
        </w:rPr>
        <w:t>concerns</w:t>
      </w:r>
      <w:r>
        <w:rPr>
          <w:spacing w:val="-8"/>
          <w:w w:val="110"/>
        </w:rPr>
        <w:t xml:space="preserve"> </w:t>
      </w:r>
      <w:r>
        <w:rPr>
          <w:w w:val="110"/>
        </w:rPr>
        <w:t>raised</w:t>
      </w:r>
      <w:r>
        <w:rPr>
          <w:spacing w:val="-9"/>
          <w:w w:val="110"/>
        </w:rPr>
        <w:t xml:space="preserve"> </w:t>
      </w:r>
      <w:r>
        <w:rPr>
          <w:w w:val="110"/>
        </w:rPr>
        <w:t>were</w:t>
      </w:r>
      <w:r>
        <w:rPr>
          <w:spacing w:val="-7"/>
          <w:w w:val="110"/>
        </w:rPr>
        <w:t xml:space="preserve"> </w:t>
      </w:r>
      <w:r>
        <w:rPr>
          <w:w w:val="110"/>
        </w:rPr>
        <w:t>the</w:t>
      </w:r>
      <w:r>
        <w:rPr>
          <w:spacing w:val="-10"/>
          <w:w w:val="110"/>
        </w:rPr>
        <w:t xml:space="preserve"> </w:t>
      </w:r>
      <w:r>
        <w:rPr>
          <w:w w:val="110"/>
        </w:rPr>
        <w:t>environmental and societal impacts of increased military expenditure, the use of the EU budget to guarantee SAFE loans and ensuring transparency of expenditure arising in this regard.</w:t>
      </w:r>
    </w:p>
    <w:p w:rsidR="00B84CED" w:rsidRDefault="00794452" w14:paraId="5A65303B" w14:textId="77777777">
      <w:pPr>
        <w:pStyle w:val="Heading2"/>
        <w:spacing w:before="206"/>
      </w:pPr>
      <w:bookmarkStart w:name="Redirection_of_existing_funding_from_int" w:id="39"/>
      <w:bookmarkStart w:name="_bookmark18" w:id="40"/>
      <w:bookmarkEnd w:id="39"/>
      <w:bookmarkEnd w:id="40"/>
      <w:r>
        <w:rPr>
          <w:color w:val="3A5C66"/>
          <w:w w:val="110"/>
        </w:rPr>
        <w:t>Redirection</w:t>
      </w:r>
      <w:r>
        <w:rPr>
          <w:color w:val="3A5C66"/>
          <w:spacing w:val="-17"/>
          <w:w w:val="110"/>
        </w:rPr>
        <w:t xml:space="preserve"> </w:t>
      </w:r>
      <w:r>
        <w:rPr>
          <w:color w:val="3A5C66"/>
          <w:w w:val="110"/>
        </w:rPr>
        <w:t>of</w:t>
      </w:r>
      <w:r>
        <w:rPr>
          <w:color w:val="3A5C66"/>
          <w:spacing w:val="-13"/>
          <w:w w:val="110"/>
        </w:rPr>
        <w:t xml:space="preserve"> </w:t>
      </w:r>
      <w:r>
        <w:rPr>
          <w:color w:val="3A5C66"/>
          <w:w w:val="110"/>
        </w:rPr>
        <w:t>existing</w:t>
      </w:r>
      <w:r>
        <w:rPr>
          <w:color w:val="3A5C66"/>
          <w:spacing w:val="-13"/>
          <w:w w:val="110"/>
        </w:rPr>
        <w:t xml:space="preserve"> </w:t>
      </w:r>
      <w:r>
        <w:rPr>
          <w:color w:val="3A5C66"/>
          <w:w w:val="110"/>
        </w:rPr>
        <w:t>funding</w:t>
      </w:r>
      <w:r>
        <w:rPr>
          <w:color w:val="3A5C66"/>
          <w:spacing w:val="-13"/>
          <w:w w:val="110"/>
        </w:rPr>
        <w:t xml:space="preserve"> </w:t>
      </w:r>
      <w:r>
        <w:rPr>
          <w:color w:val="3A5C66"/>
          <w:w w:val="110"/>
        </w:rPr>
        <w:t>from</w:t>
      </w:r>
      <w:r>
        <w:rPr>
          <w:color w:val="3A5C66"/>
          <w:spacing w:val="-14"/>
          <w:w w:val="110"/>
        </w:rPr>
        <w:t xml:space="preserve"> </w:t>
      </w:r>
      <w:r>
        <w:rPr>
          <w:color w:val="3A5C66"/>
          <w:w w:val="110"/>
        </w:rPr>
        <w:t>intended</w:t>
      </w:r>
      <w:r>
        <w:rPr>
          <w:color w:val="3A5C66"/>
          <w:spacing w:val="-12"/>
          <w:w w:val="110"/>
        </w:rPr>
        <w:t xml:space="preserve"> </w:t>
      </w:r>
      <w:r>
        <w:rPr>
          <w:color w:val="3A5C66"/>
          <w:spacing w:val="-2"/>
          <w:w w:val="110"/>
        </w:rPr>
        <w:t>objectives</w:t>
      </w:r>
    </w:p>
    <w:p w:rsidR="00B84CED" w:rsidRDefault="00794452" w14:paraId="76F83C8B" w14:textId="77777777">
      <w:pPr>
        <w:pStyle w:val="BodyText"/>
        <w:spacing w:before="124" w:line="357" w:lineRule="auto"/>
        <w:ind w:left="219" w:right="459"/>
      </w:pPr>
      <w:r>
        <w:rPr>
          <w:w w:val="110"/>
        </w:rPr>
        <w:t>COM(2025)123 is directly related to social cohesion funding with the aim of refocusing investments</w:t>
      </w:r>
      <w:r>
        <w:rPr>
          <w:spacing w:val="-6"/>
          <w:w w:val="110"/>
        </w:rPr>
        <w:t xml:space="preserve"> </w:t>
      </w:r>
      <w:r>
        <w:rPr>
          <w:w w:val="110"/>
        </w:rPr>
        <w:t>on</w:t>
      </w:r>
      <w:r>
        <w:rPr>
          <w:spacing w:val="-5"/>
          <w:w w:val="110"/>
        </w:rPr>
        <w:t xml:space="preserve"> </w:t>
      </w:r>
      <w:r>
        <w:rPr>
          <w:w w:val="110"/>
        </w:rPr>
        <w:t>critical</w:t>
      </w:r>
      <w:r>
        <w:rPr>
          <w:spacing w:val="-5"/>
          <w:w w:val="110"/>
        </w:rPr>
        <w:t xml:space="preserve"> </w:t>
      </w:r>
      <w:r>
        <w:rPr>
          <w:w w:val="110"/>
        </w:rPr>
        <w:t>priorities</w:t>
      </w:r>
      <w:r>
        <w:rPr>
          <w:spacing w:val="-6"/>
          <w:w w:val="110"/>
        </w:rPr>
        <w:t xml:space="preserve"> </w:t>
      </w:r>
      <w:r>
        <w:rPr>
          <w:w w:val="110"/>
        </w:rPr>
        <w:t>in</w:t>
      </w:r>
      <w:r>
        <w:rPr>
          <w:spacing w:val="-5"/>
          <w:w w:val="110"/>
        </w:rPr>
        <w:t xml:space="preserve"> </w:t>
      </w:r>
      <w:r>
        <w:rPr>
          <w:w w:val="110"/>
        </w:rPr>
        <w:t>the</w:t>
      </w:r>
      <w:r>
        <w:rPr>
          <w:spacing w:val="-4"/>
          <w:w w:val="110"/>
        </w:rPr>
        <w:t xml:space="preserve"> </w:t>
      </w:r>
      <w:r>
        <w:rPr>
          <w:w w:val="110"/>
        </w:rPr>
        <w:t>context</w:t>
      </w:r>
      <w:r>
        <w:rPr>
          <w:spacing w:val="-5"/>
          <w:w w:val="110"/>
        </w:rPr>
        <w:t xml:space="preserve"> </w:t>
      </w:r>
      <w:r>
        <w:rPr>
          <w:w w:val="110"/>
        </w:rPr>
        <w:t>of</w:t>
      </w:r>
      <w:r>
        <w:rPr>
          <w:spacing w:val="-6"/>
          <w:w w:val="110"/>
        </w:rPr>
        <w:t xml:space="preserve"> </w:t>
      </w:r>
      <w:r>
        <w:rPr>
          <w:w w:val="110"/>
        </w:rPr>
        <w:t>the</w:t>
      </w:r>
      <w:r>
        <w:rPr>
          <w:spacing w:val="-4"/>
          <w:w w:val="110"/>
        </w:rPr>
        <w:t xml:space="preserve"> </w:t>
      </w:r>
      <w:r>
        <w:rPr>
          <w:w w:val="110"/>
        </w:rPr>
        <w:t>mid-term</w:t>
      </w:r>
      <w:r>
        <w:rPr>
          <w:spacing w:val="-8"/>
          <w:w w:val="110"/>
        </w:rPr>
        <w:t xml:space="preserve"> </w:t>
      </w:r>
      <w:r>
        <w:rPr>
          <w:w w:val="110"/>
        </w:rPr>
        <w:t>review</w:t>
      </w:r>
      <w:r>
        <w:rPr>
          <w:spacing w:val="-6"/>
          <w:w w:val="110"/>
        </w:rPr>
        <w:t xml:space="preserve"> </w:t>
      </w:r>
      <w:r>
        <w:rPr>
          <w:w w:val="110"/>
        </w:rPr>
        <w:t>of</w:t>
      </w:r>
      <w:r>
        <w:rPr>
          <w:spacing w:val="-9"/>
          <w:w w:val="110"/>
        </w:rPr>
        <w:t xml:space="preserve"> </w:t>
      </w:r>
      <w:r>
        <w:rPr>
          <w:w w:val="110"/>
        </w:rPr>
        <w:t>cohesion</w:t>
      </w:r>
      <w:r>
        <w:rPr>
          <w:spacing w:val="-7"/>
          <w:w w:val="110"/>
        </w:rPr>
        <w:t xml:space="preserve"> </w:t>
      </w:r>
      <w:r>
        <w:rPr>
          <w:w w:val="110"/>
        </w:rPr>
        <w:t>policy.</w:t>
      </w:r>
    </w:p>
    <w:p w:rsidR="00B84CED" w:rsidRDefault="00B84CED" w14:paraId="2C379D07" w14:textId="77777777">
      <w:pPr>
        <w:pStyle w:val="BodyText"/>
        <w:rPr>
          <w:sz w:val="20"/>
        </w:rPr>
      </w:pPr>
    </w:p>
    <w:p w:rsidR="00B84CED" w:rsidRDefault="00B84CED" w14:paraId="6C8FEB2F" w14:textId="77777777">
      <w:pPr>
        <w:pStyle w:val="BodyText"/>
        <w:rPr>
          <w:sz w:val="20"/>
        </w:rPr>
      </w:pPr>
    </w:p>
    <w:p w:rsidR="00B84CED" w:rsidRDefault="00794452" w14:paraId="683E5B83" w14:textId="77777777">
      <w:pPr>
        <w:pStyle w:val="BodyText"/>
        <w:spacing w:before="165"/>
        <w:rPr>
          <w:sz w:val="20"/>
        </w:rPr>
      </w:pPr>
      <w:r>
        <w:rPr>
          <w:noProof/>
          <w:sz w:val="20"/>
        </w:rPr>
        <mc:AlternateContent>
          <mc:Choice Requires="wps">
            <w:drawing>
              <wp:anchor distT="0" distB="0" distL="0" distR="0" simplePos="0" relativeHeight="487591424" behindDoc="1" locked="0" layoutInCell="1" allowOverlap="1" wp14:editId="72E51A8C" wp14:anchorId="46C44703">
                <wp:simplePos x="0" y="0"/>
                <wp:positionH relativeFrom="page">
                  <wp:posOffset>900683</wp:posOffset>
                </wp:positionH>
                <wp:positionV relativeFrom="paragraph">
                  <wp:posOffset>275286</wp:posOffset>
                </wp:positionV>
                <wp:extent cx="1828800" cy="9525"/>
                <wp:effectExtent l="0" t="0" r="0" b="0"/>
                <wp:wrapTopAndBottom/>
                <wp:docPr id="9"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64" style="position:absolute;margin-left:70.9pt;margin-top:21.7pt;width:2in;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3r1828800,l1828800,xe" w14:anchorId="15C5A3D7">
                <v:path arrowok="t"/>
                <w10:wrap type="topAndBottom" anchorx="page"/>
              </v:shape>
            </w:pict>
          </mc:Fallback>
        </mc:AlternateContent>
      </w:r>
    </w:p>
    <w:p w:rsidR="00B84CED" w:rsidRDefault="00794452" w14:paraId="3B49B118" w14:textId="77777777">
      <w:pPr>
        <w:spacing w:before="123"/>
        <w:ind w:left="1"/>
        <w:rPr>
          <w:sz w:val="16"/>
        </w:rPr>
      </w:pPr>
      <w:bookmarkStart w:name="_bookmark19" w:id="41"/>
      <w:bookmarkEnd w:id="41"/>
      <w:r>
        <w:rPr>
          <w:w w:val="110"/>
          <w:position w:val="6"/>
          <w:sz w:val="10"/>
        </w:rPr>
        <w:t>6</w:t>
      </w:r>
      <w:r>
        <w:rPr>
          <w:spacing w:val="12"/>
          <w:w w:val="110"/>
          <w:position w:val="6"/>
          <w:sz w:val="10"/>
        </w:rPr>
        <w:t xml:space="preserve"> </w:t>
      </w:r>
      <w:hyperlink r:id="rId29">
        <w:r>
          <w:rPr>
            <w:color w:val="0000FF"/>
            <w:w w:val="110"/>
            <w:sz w:val="16"/>
            <w:u w:val="single" w:color="0000FF"/>
          </w:rPr>
          <w:t>Judgment</w:t>
        </w:r>
        <w:r>
          <w:rPr>
            <w:color w:val="0000FF"/>
            <w:spacing w:val="-2"/>
            <w:w w:val="110"/>
            <w:sz w:val="16"/>
            <w:u w:val="single" w:color="0000FF"/>
          </w:rPr>
          <w:t xml:space="preserve"> </w:t>
        </w:r>
        <w:r>
          <w:rPr>
            <w:color w:val="0000FF"/>
            <w:w w:val="110"/>
            <w:sz w:val="16"/>
            <w:u w:val="single" w:color="0000FF"/>
          </w:rPr>
          <w:t>of</w:t>
        </w:r>
        <w:r>
          <w:rPr>
            <w:color w:val="0000FF"/>
            <w:spacing w:val="-3"/>
            <w:w w:val="110"/>
            <w:sz w:val="16"/>
            <w:u w:val="single" w:color="0000FF"/>
          </w:rPr>
          <w:t xml:space="preserve"> </w:t>
        </w:r>
        <w:r>
          <w:rPr>
            <w:color w:val="0000FF"/>
            <w:w w:val="110"/>
            <w:sz w:val="16"/>
            <w:u w:val="single" w:color="0000FF"/>
          </w:rPr>
          <w:t>the</w:t>
        </w:r>
        <w:r>
          <w:rPr>
            <w:color w:val="0000FF"/>
            <w:spacing w:val="-3"/>
            <w:w w:val="110"/>
            <w:sz w:val="16"/>
            <w:u w:val="single" w:color="0000FF"/>
          </w:rPr>
          <w:t xml:space="preserve"> </w:t>
        </w:r>
        <w:r>
          <w:rPr>
            <w:color w:val="0000FF"/>
            <w:w w:val="110"/>
            <w:sz w:val="16"/>
            <w:u w:val="single" w:color="0000FF"/>
          </w:rPr>
          <w:t>Supreme</w:t>
        </w:r>
        <w:r>
          <w:rPr>
            <w:color w:val="0000FF"/>
            <w:spacing w:val="-3"/>
            <w:w w:val="110"/>
            <w:sz w:val="16"/>
            <w:u w:val="single" w:color="0000FF"/>
          </w:rPr>
          <w:t xml:space="preserve"> </w:t>
        </w:r>
        <w:r>
          <w:rPr>
            <w:color w:val="0000FF"/>
            <w:w w:val="110"/>
            <w:sz w:val="16"/>
            <w:u w:val="single" w:color="0000FF"/>
          </w:rPr>
          <w:t>Court</w:t>
        </w:r>
        <w:r>
          <w:rPr>
            <w:color w:val="0000FF"/>
            <w:spacing w:val="-3"/>
            <w:w w:val="110"/>
            <w:sz w:val="16"/>
            <w:u w:val="single" w:color="0000FF"/>
          </w:rPr>
          <w:t xml:space="preserve"> </w:t>
        </w:r>
        <w:r>
          <w:rPr>
            <w:color w:val="0000FF"/>
            <w:w w:val="110"/>
            <w:sz w:val="16"/>
            <w:u w:val="single" w:color="0000FF"/>
          </w:rPr>
          <w:t>of</w:t>
        </w:r>
        <w:r>
          <w:rPr>
            <w:color w:val="0000FF"/>
            <w:spacing w:val="-2"/>
            <w:w w:val="110"/>
            <w:sz w:val="16"/>
            <w:u w:val="single" w:color="0000FF"/>
          </w:rPr>
          <w:t xml:space="preserve"> </w:t>
        </w:r>
        <w:r>
          <w:rPr>
            <w:color w:val="0000FF"/>
            <w:w w:val="110"/>
            <w:sz w:val="16"/>
            <w:u w:val="single" w:color="0000FF"/>
          </w:rPr>
          <w:t>Ireland,</w:t>
        </w:r>
        <w:r>
          <w:rPr>
            <w:color w:val="0000FF"/>
            <w:spacing w:val="-2"/>
            <w:w w:val="110"/>
            <w:sz w:val="16"/>
            <w:u w:val="single" w:color="0000FF"/>
          </w:rPr>
          <w:t xml:space="preserve"> </w:t>
        </w:r>
        <w:r>
          <w:rPr>
            <w:color w:val="0000FF"/>
            <w:w w:val="110"/>
            <w:sz w:val="16"/>
            <w:u w:val="single" w:color="0000FF"/>
          </w:rPr>
          <w:t>'Crotty</w:t>
        </w:r>
        <w:r>
          <w:rPr>
            <w:color w:val="0000FF"/>
            <w:spacing w:val="-5"/>
            <w:w w:val="110"/>
            <w:sz w:val="16"/>
            <w:u w:val="single" w:color="0000FF"/>
          </w:rPr>
          <w:t xml:space="preserve"> </w:t>
        </w:r>
        <w:r>
          <w:rPr>
            <w:color w:val="0000FF"/>
            <w:w w:val="110"/>
            <w:sz w:val="16"/>
            <w:u w:val="single" w:color="0000FF"/>
          </w:rPr>
          <w:t>v.</w:t>
        </w:r>
        <w:r>
          <w:rPr>
            <w:color w:val="0000FF"/>
            <w:spacing w:val="-2"/>
            <w:w w:val="110"/>
            <w:sz w:val="16"/>
            <w:u w:val="single" w:color="0000FF"/>
          </w:rPr>
          <w:t xml:space="preserve"> </w:t>
        </w:r>
        <w:r>
          <w:rPr>
            <w:color w:val="0000FF"/>
            <w:w w:val="110"/>
            <w:sz w:val="16"/>
            <w:u w:val="single" w:color="0000FF"/>
          </w:rPr>
          <w:t>An</w:t>
        </w:r>
        <w:r>
          <w:rPr>
            <w:color w:val="0000FF"/>
            <w:spacing w:val="-1"/>
            <w:w w:val="110"/>
            <w:sz w:val="16"/>
            <w:u w:val="single" w:color="0000FF"/>
          </w:rPr>
          <w:t xml:space="preserve"> </w:t>
        </w:r>
        <w:r>
          <w:rPr>
            <w:color w:val="0000FF"/>
            <w:w w:val="110"/>
            <w:sz w:val="16"/>
            <w:u w:val="single" w:color="0000FF"/>
          </w:rPr>
          <w:t>Taoiseach'</w:t>
        </w:r>
        <w:r>
          <w:rPr>
            <w:color w:val="0000FF"/>
            <w:spacing w:val="-2"/>
            <w:w w:val="110"/>
            <w:sz w:val="16"/>
            <w:u w:val="single" w:color="0000FF"/>
          </w:rPr>
          <w:t xml:space="preserve"> </w:t>
        </w:r>
        <w:r>
          <w:rPr>
            <w:color w:val="0000FF"/>
            <w:w w:val="110"/>
            <w:sz w:val="16"/>
            <w:u w:val="single" w:color="0000FF"/>
          </w:rPr>
          <w:t>(9</w:t>
        </w:r>
        <w:r>
          <w:rPr>
            <w:color w:val="0000FF"/>
            <w:spacing w:val="-2"/>
            <w:w w:val="110"/>
            <w:sz w:val="16"/>
            <w:u w:val="single" w:color="0000FF"/>
          </w:rPr>
          <w:t xml:space="preserve"> </w:t>
        </w:r>
        <w:r>
          <w:rPr>
            <w:color w:val="0000FF"/>
            <w:w w:val="110"/>
            <w:sz w:val="16"/>
            <w:u w:val="single" w:color="0000FF"/>
          </w:rPr>
          <w:t>April</w:t>
        </w:r>
        <w:r>
          <w:rPr>
            <w:color w:val="0000FF"/>
            <w:spacing w:val="-2"/>
            <w:w w:val="110"/>
            <w:sz w:val="16"/>
            <w:u w:val="single" w:color="0000FF"/>
          </w:rPr>
          <w:t xml:space="preserve"> 1987)</w:t>
        </w:r>
      </w:hyperlink>
    </w:p>
    <w:p w:rsidR="00B84CED" w:rsidRDefault="00B84CED" w14:paraId="151BACE7" w14:textId="77777777">
      <w:pPr>
        <w:pStyle w:val="BodyText"/>
        <w:spacing w:before="21"/>
        <w:rPr>
          <w:sz w:val="16"/>
        </w:rPr>
      </w:pPr>
    </w:p>
    <w:p w:rsidRPr="00794452" w:rsidR="00B84CED" w:rsidRDefault="00794452" w14:paraId="61C4E2D2" w14:textId="77777777">
      <w:pPr>
        <w:spacing w:before="1"/>
        <w:ind w:left="1"/>
        <w:rPr>
          <w:sz w:val="16"/>
          <w:lang w:val="fr-BE"/>
        </w:rPr>
      </w:pPr>
      <w:bookmarkStart w:name="_bookmark20" w:id="42"/>
      <w:bookmarkEnd w:id="42"/>
      <w:r w:rsidRPr="00794452">
        <w:rPr>
          <w:w w:val="115"/>
          <w:position w:val="6"/>
          <w:sz w:val="10"/>
          <w:lang w:val="fr-BE"/>
        </w:rPr>
        <w:t>7</w:t>
      </w:r>
      <w:r w:rsidRPr="00794452">
        <w:rPr>
          <w:spacing w:val="11"/>
          <w:w w:val="115"/>
          <w:position w:val="6"/>
          <w:sz w:val="10"/>
          <w:lang w:val="fr-BE"/>
        </w:rPr>
        <w:t xml:space="preserve"> </w:t>
      </w:r>
      <w:hyperlink r:id="rId30">
        <w:r w:rsidRPr="00794452">
          <w:rPr>
            <w:color w:val="0000FF"/>
            <w:w w:val="115"/>
            <w:sz w:val="16"/>
            <w:u w:val="single" w:color="0000FF"/>
            <w:lang w:val="fr-BE"/>
          </w:rPr>
          <w:t>EUR-Lex</w:t>
        </w:r>
        <w:r w:rsidRPr="00794452">
          <w:rPr>
            <w:color w:val="0000FF"/>
            <w:spacing w:val="-5"/>
            <w:w w:val="115"/>
            <w:sz w:val="16"/>
            <w:u w:val="single" w:color="0000FF"/>
            <w:lang w:val="fr-BE"/>
          </w:rPr>
          <w:t xml:space="preserve"> </w:t>
        </w:r>
        <w:r w:rsidRPr="00794452">
          <w:rPr>
            <w:color w:val="0000FF"/>
            <w:w w:val="115"/>
            <w:sz w:val="16"/>
            <w:u w:val="single" w:color="0000FF"/>
            <w:lang w:val="fr-BE"/>
          </w:rPr>
          <w:t>-</w:t>
        </w:r>
        <w:r w:rsidRPr="00794452">
          <w:rPr>
            <w:color w:val="0000FF"/>
            <w:spacing w:val="-3"/>
            <w:w w:val="115"/>
            <w:sz w:val="16"/>
            <w:u w:val="single" w:color="0000FF"/>
            <w:lang w:val="fr-BE"/>
          </w:rPr>
          <w:t xml:space="preserve"> </w:t>
        </w:r>
        <w:r w:rsidRPr="00794452">
          <w:rPr>
            <w:color w:val="0000FF"/>
            <w:w w:val="115"/>
            <w:sz w:val="16"/>
            <w:u w:val="single" w:color="0000FF"/>
            <w:lang w:val="fr-BE"/>
          </w:rPr>
          <w:t>12008M042</w:t>
        </w:r>
        <w:r w:rsidRPr="00794452">
          <w:rPr>
            <w:color w:val="0000FF"/>
            <w:spacing w:val="-5"/>
            <w:w w:val="115"/>
            <w:sz w:val="16"/>
            <w:u w:val="single" w:color="0000FF"/>
            <w:lang w:val="fr-BE"/>
          </w:rPr>
          <w:t xml:space="preserve"> </w:t>
        </w:r>
        <w:r w:rsidRPr="00794452">
          <w:rPr>
            <w:color w:val="0000FF"/>
            <w:w w:val="115"/>
            <w:sz w:val="16"/>
            <w:u w:val="single" w:color="0000FF"/>
            <w:lang w:val="fr-BE"/>
          </w:rPr>
          <w:t>-</w:t>
        </w:r>
        <w:r w:rsidRPr="00794452">
          <w:rPr>
            <w:color w:val="0000FF"/>
            <w:spacing w:val="-2"/>
            <w:w w:val="115"/>
            <w:sz w:val="16"/>
            <w:u w:val="single" w:color="0000FF"/>
            <w:lang w:val="fr-BE"/>
          </w:rPr>
          <w:t xml:space="preserve"> </w:t>
        </w:r>
        <w:r w:rsidRPr="00794452">
          <w:rPr>
            <w:color w:val="0000FF"/>
            <w:w w:val="115"/>
            <w:sz w:val="16"/>
            <w:u w:val="single" w:color="0000FF"/>
            <w:lang w:val="fr-BE"/>
          </w:rPr>
          <w:t>EN</w:t>
        </w:r>
        <w:r w:rsidRPr="00794452">
          <w:rPr>
            <w:color w:val="0000FF"/>
            <w:spacing w:val="-4"/>
            <w:w w:val="115"/>
            <w:sz w:val="16"/>
            <w:u w:val="single" w:color="0000FF"/>
            <w:lang w:val="fr-BE"/>
          </w:rPr>
          <w:t xml:space="preserve"> </w:t>
        </w:r>
        <w:r w:rsidRPr="00794452">
          <w:rPr>
            <w:color w:val="0000FF"/>
            <w:w w:val="115"/>
            <w:sz w:val="16"/>
            <w:u w:val="single" w:color="0000FF"/>
            <w:lang w:val="fr-BE"/>
          </w:rPr>
          <w:t>-</w:t>
        </w:r>
        <w:r w:rsidRPr="00794452">
          <w:rPr>
            <w:color w:val="0000FF"/>
            <w:spacing w:val="-4"/>
            <w:w w:val="115"/>
            <w:sz w:val="16"/>
            <w:u w:val="single" w:color="0000FF"/>
            <w:lang w:val="fr-BE"/>
          </w:rPr>
          <w:t xml:space="preserve"> </w:t>
        </w:r>
        <w:r w:rsidRPr="00794452">
          <w:rPr>
            <w:color w:val="0000FF"/>
            <w:w w:val="115"/>
            <w:sz w:val="16"/>
            <w:u w:val="single" w:color="0000FF"/>
            <w:lang w:val="fr-BE"/>
          </w:rPr>
          <w:t>EUR-</w:t>
        </w:r>
        <w:r w:rsidRPr="00794452">
          <w:rPr>
            <w:color w:val="0000FF"/>
            <w:spacing w:val="-5"/>
            <w:w w:val="115"/>
            <w:sz w:val="16"/>
            <w:u w:val="single" w:color="0000FF"/>
            <w:lang w:val="fr-BE"/>
          </w:rPr>
          <w:t>Lex</w:t>
        </w:r>
      </w:hyperlink>
    </w:p>
    <w:p w:rsidRPr="00794452" w:rsidR="00B84CED" w:rsidRDefault="00B84CED" w14:paraId="593E8860" w14:textId="77777777">
      <w:pPr>
        <w:rPr>
          <w:sz w:val="16"/>
          <w:lang w:val="fr-BE"/>
        </w:rPr>
        <w:sectPr w:rsidRPr="00794452" w:rsidR="00B84CED" w:rsidSect="00196DB0">
          <w:footerReference w:type="even" r:id="R021b18f9b3f94431"/>
          <w:footerReference w:type="first" r:id="Red1acbfa113542cf"/>
          <w:headerReference w:type="even" r:id="R9b372f3e2d354388"/>
          <w:headerReference w:type="first" r:id="R3e08b63cf3314377"/>
          <w:pgSz w:w="11907" w:h="16839"/>
          <w:pgMar w:top="1134" w:right="1134" w:bottom="1134" w:left="1134" w:header="567" w:footer="567" w:gutter="0"/>
          <w:cols w:space="720"/>
          <w:docGrid w:linePitch="299"/>
        </w:sectPr>
      </w:pPr>
    </w:p>
    <w:p w:rsidR="00B84CED" w:rsidRDefault="00794452" w14:paraId="4F02AEE7" w14:textId="77777777">
      <w:pPr>
        <w:pStyle w:val="BodyText"/>
        <w:spacing w:before="109" w:line="357" w:lineRule="auto"/>
        <w:ind w:left="219" w:right="459"/>
      </w:pPr>
      <w:r>
        <w:rPr>
          <w:w w:val="110"/>
        </w:rPr>
        <w:lastRenderedPageBreak/>
        <w:t>Members observed that COM (2025)123, aims to allow for the redirection of the EU budget</w:t>
      </w:r>
      <w:r>
        <w:rPr>
          <w:spacing w:val="-5"/>
          <w:w w:val="110"/>
        </w:rPr>
        <w:t xml:space="preserve"> </w:t>
      </w:r>
      <w:r>
        <w:rPr>
          <w:w w:val="110"/>
        </w:rPr>
        <w:t>towards</w:t>
      </w:r>
      <w:r>
        <w:rPr>
          <w:spacing w:val="-4"/>
          <w:w w:val="110"/>
        </w:rPr>
        <w:t xml:space="preserve"> </w:t>
      </w:r>
      <w:r>
        <w:rPr>
          <w:w w:val="110"/>
        </w:rPr>
        <w:t>military</w:t>
      </w:r>
      <w:r>
        <w:rPr>
          <w:spacing w:val="-7"/>
          <w:w w:val="110"/>
        </w:rPr>
        <w:t xml:space="preserve"> </w:t>
      </w:r>
      <w:r>
        <w:rPr>
          <w:w w:val="110"/>
        </w:rPr>
        <w:t>and</w:t>
      </w:r>
      <w:r>
        <w:rPr>
          <w:spacing w:val="-5"/>
          <w:w w:val="110"/>
        </w:rPr>
        <w:t xml:space="preserve"> </w:t>
      </w:r>
      <w:r>
        <w:rPr>
          <w:w w:val="110"/>
        </w:rPr>
        <w:t>defence</w:t>
      </w:r>
      <w:r>
        <w:rPr>
          <w:spacing w:val="-6"/>
          <w:w w:val="110"/>
        </w:rPr>
        <w:t xml:space="preserve"> </w:t>
      </w:r>
      <w:r>
        <w:rPr>
          <w:w w:val="110"/>
        </w:rPr>
        <w:t>and</w:t>
      </w:r>
      <w:r>
        <w:rPr>
          <w:spacing w:val="-5"/>
          <w:w w:val="110"/>
        </w:rPr>
        <w:t xml:space="preserve"> </w:t>
      </w:r>
      <w:r>
        <w:rPr>
          <w:w w:val="110"/>
        </w:rPr>
        <w:t>away</w:t>
      </w:r>
      <w:r>
        <w:rPr>
          <w:spacing w:val="-4"/>
          <w:w w:val="110"/>
        </w:rPr>
        <w:t xml:space="preserve"> </w:t>
      </w:r>
      <w:r>
        <w:rPr>
          <w:w w:val="110"/>
        </w:rPr>
        <w:t>from</w:t>
      </w:r>
      <w:r>
        <w:rPr>
          <w:spacing w:val="-5"/>
          <w:w w:val="110"/>
        </w:rPr>
        <w:t xml:space="preserve"> </w:t>
      </w:r>
      <w:r>
        <w:rPr>
          <w:w w:val="110"/>
        </w:rPr>
        <w:t>social</w:t>
      </w:r>
      <w:r>
        <w:rPr>
          <w:spacing w:val="-5"/>
          <w:w w:val="110"/>
        </w:rPr>
        <w:t xml:space="preserve"> </w:t>
      </w:r>
      <w:r>
        <w:rPr>
          <w:w w:val="110"/>
        </w:rPr>
        <w:t>cohesion.</w:t>
      </w:r>
      <w:r>
        <w:rPr>
          <w:spacing w:val="-7"/>
          <w:w w:val="110"/>
        </w:rPr>
        <w:t xml:space="preserve"> </w:t>
      </w:r>
      <w:r>
        <w:rPr>
          <w:w w:val="110"/>
        </w:rPr>
        <w:t>Members</w:t>
      </w:r>
      <w:r>
        <w:rPr>
          <w:spacing w:val="-6"/>
          <w:w w:val="110"/>
        </w:rPr>
        <w:t xml:space="preserve"> </w:t>
      </w:r>
      <w:r>
        <w:rPr>
          <w:w w:val="110"/>
        </w:rPr>
        <w:t>recalled the European Coal and Steel Community’s founding statement</w:t>
      </w:r>
      <w:hyperlink w:history="1" w:anchor="_bookmark21">
        <w:r>
          <w:rPr>
            <w:w w:val="110"/>
            <w:position w:val="8"/>
            <w:sz w:val="13"/>
          </w:rPr>
          <w:t>8</w:t>
        </w:r>
      </w:hyperlink>
      <w:r>
        <w:rPr>
          <w:spacing w:val="28"/>
          <w:w w:val="110"/>
          <w:position w:val="8"/>
          <w:sz w:val="13"/>
        </w:rPr>
        <w:t xml:space="preserve"> </w:t>
      </w:r>
      <w:r>
        <w:rPr>
          <w:w w:val="110"/>
        </w:rPr>
        <w:t>which spoke about co-operation as a</w:t>
      </w:r>
      <w:r>
        <w:rPr>
          <w:spacing w:val="-2"/>
          <w:w w:val="110"/>
        </w:rPr>
        <w:t xml:space="preserve"> </w:t>
      </w:r>
      <w:r>
        <w:rPr>
          <w:w w:val="110"/>
        </w:rPr>
        <w:t>means towards</w:t>
      </w:r>
      <w:r>
        <w:rPr>
          <w:spacing w:val="-1"/>
          <w:w w:val="110"/>
        </w:rPr>
        <w:t xml:space="preserve"> </w:t>
      </w:r>
      <w:r>
        <w:rPr>
          <w:w w:val="110"/>
        </w:rPr>
        <w:t>redirecting common investment</w:t>
      </w:r>
      <w:r>
        <w:rPr>
          <w:spacing w:val="-2"/>
          <w:w w:val="110"/>
        </w:rPr>
        <w:t xml:space="preserve"> </w:t>
      </w:r>
      <w:r>
        <w:rPr>
          <w:w w:val="110"/>
        </w:rPr>
        <w:t>away</w:t>
      </w:r>
      <w:r>
        <w:rPr>
          <w:spacing w:val="-2"/>
          <w:w w:val="110"/>
        </w:rPr>
        <w:t xml:space="preserve"> </w:t>
      </w:r>
      <w:r>
        <w:rPr>
          <w:w w:val="110"/>
        </w:rPr>
        <w:t>from ammunition and</w:t>
      </w:r>
      <w:r>
        <w:rPr>
          <w:spacing w:val="-6"/>
          <w:w w:val="110"/>
        </w:rPr>
        <w:t xml:space="preserve"> </w:t>
      </w:r>
      <w:r>
        <w:rPr>
          <w:w w:val="110"/>
        </w:rPr>
        <w:t>military</w:t>
      </w:r>
      <w:r>
        <w:rPr>
          <w:spacing w:val="-8"/>
          <w:w w:val="110"/>
        </w:rPr>
        <w:t xml:space="preserve"> </w:t>
      </w:r>
      <w:r>
        <w:rPr>
          <w:w w:val="110"/>
        </w:rPr>
        <w:t>expenditure,</w:t>
      </w:r>
      <w:r>
        <w:rPr>
          <w:spacing w:val="-6"/>
          <w:w w:val="110"/>
        </w:rPr>
        <w:t xml:space="preserve"> </w:t>
      </w:r>
      <w:r>
        <w:rPr>
          <w:w w:val="110"/>
        </w:rPr>
        <w:t>with</w:t>
      </w:r>
      <w:r>
        <w:rPr>
          <w:spacing w:val="-6"/>
          <w:w w:val="110"/>
        </w:rPr>
        <w:t xml:space="preserve"> </w:t>
      </w:r>
      <w:r>
        <w:rPr>
          <w:w w:val="110"/>
        </w:rPr>
        <w:t>the</w:t>
      </w:r>
      <w:r>
        <w:rPr>
          <w:spacing w:val="-7"/>
          <w:w w:val="110"/>
        </w:rPr>
        <w:t xml:space="preserve"> </w:t>
      </w:r>
      <w:r>
        <w:rPr>
          <w:w w:val="110"/>
        </w:rPr>
        <w:t>explicit</w:t>
      </w:r>
      <w:r>
        <w:rPr>
          <w:spacing w:val="-6"/>
          <w:w w:val="110"/>
        </w:rPr>
        <w:t xml:space="preserve"> </w:t>
      </w:r>
      <w:r>
        <w:rPr>
          <w:w w:val="110"/>
        </w:rPr>
        <w:t>intent</w:t>
      </w:r>
      <w:r>
        <w:rPr>
          <w:spacing w:val="-9"/>
          <w:w w:val="110"/>
        </w:rPr>
        <w:t xml:space="preserve"> </w:t>
      </w:r>
      <w:r>
        <w:rPr>
          <w:w w:val="110"/>
        </w:rPr>
        <w:t>of</w:t>
      </w:r>
      <w:r>
        <w:rPr>
          <w:spacing w:val="-7"/>
          <w:w w:val="110"/>
        </w:rPr>
        <w:t xml:space="preserve"> </w:t>
      </w:r>
      <w:r>
        <w:rPr>
          <w:w w:val="110"/>
        </w:rPr>
        <w:t>finding</w:t>
      </w:r>
      <w:r>
        <w:rPr>
          <w:spacing w:val="-7"/>
          <w:w w:val="110"/>
        </w:rPr>
        <w:t xml:space="preserve"> </w:t>
      </w:r>
      <w:r>
        <w:rPr>
          <w:w w:val="110"/>
        </w:rPr>
        <w:t>ways</w:t>
      </w:r>
      <w:r>
        <w:rPr>
          <w:spacing w:val="-5"/>
          <w:w w:val="110"/>
        </w:rPr>
        <w:t xml:space="preserve"> </w:t>
      </w:r>
      <w:r>
        <w:rPr>
          <w:w w:val="110"/>
        </w:rPr>
        <w:t>to</w:t>
      </w:r>
      <w:r>
        <w:rPr>
          <w:spacing w:val="-5"/>
          <w:w w:val="110"/>
        </w:rPr>
        <w:t xml:space="preserve"> </w:t>
      </w:r>
      <w:r>
        <w:rPr>
          <w:w w:val="110"/>
        </w:rPr>
        <w:t>redirect</w:t>
      </w:r>
      <w:r>
        <w:rPr>
          <w:spacing w:val="-6"/>
          <w:w w:val="110"/>
        </w:rPr>
        <w:t xml:space="preserve"> </w:t>
      </w:r>
      <w:r>
        <w:rPr>
          <w:w w:val="110"/>
        </w:rPr>
        <w:t>funding</w:t>
      </w:r>
      <w:r>
        <w:rPr>
          <w:spacing w:val="-5"/>
          <w:w w:val="110"/>
        </w:rPr>
        <w:t xml:space="preserve"> </w:t>
      </w:r>
      <w:r>
        <w:rPr>
          <w:w w:val="110"/>
        </w:rPr>
        <w:t>and end investment in the manufacture of arms, of which the citizens of Europe were ultimately the greatest victims.</w:t>
      </w:r>
    </w:p>
    <w:p w:rsidR="00B84CED" w:rsidRDefault="00794452" w14:paraId="34FCC091" w14:textId="77777777">
      <w:pPr>
        <w:pStyle w:val="BodyText"/>
        <w:spacing w:before="160" w:line="357" w:lineRule="auto"/>
        <w:ind w:left="219" w:right="471"/>
      </w:pPr>
      <w:r>
        <w:rPr>
          <w:w w:val="110"/>
        </w:rPr>
        <w:t>During</w:t>
      </w:r>
      <w:r>
        <w:rPr>
          <w:spacing w:val="-1"/>
          <w:w w:val="110"/>
        </w:rPr>
        <w:t xml:space="preserve"> </w:t>
      </w:r>
      <w:r>
        <w:rPr>
          <w:w w:val="110"/>
        </w:rPr>
        <w:t>the</w:t>
      </w:r>
      <w:r>
        <w:rPr>
          <w:spacing w:val="-1"/>
          <w:w w:val="110"/>
        </w:rPr>
        <w:t xml:space="preserve"> </w:t>
      </w:r>
      <w:r>
        <w:rPr>
          <w:w w:val="110"/>
        </w:rPr>
        <w:t>meeting</w:t>
      </w:r>
      <w:r>
        <w:rPr>
          <w:spacing w:val="-1"/>
          <w:w w:val="110"/>
        </w:rPr>
        <w:t xml:space="preserve"> </w:t>
      </w:r>
      <w:r>
        <w:rPr>
          <w:w w:val="110"/>
        </w:rPr>
        <w:t>of 24</w:t>
      </w:r>
      <w:r>
        <w:rPr>
          <w:spacing w:val="-2"/>
          <w:w w:val="110"/>
        </w:rPr>
        <w:t xml:space="preserve"> </w:t>
      </w:r>
      <w:r>
        <w:rPr>
          <w:w w:val="110"/>
        </w:rPr>
        <w:t>September,</w:t>
      </w:r>
      <w:r>
        <w:rPr>
          <w:spacing w:val="-2"/>
          <w:w w:val="110"/>
        </w:rPr>
        <w:t xml:space="preserve"> </w:t>
      </w:r>
      <w:r>
        <w:rPr>
          <w:w w:val="110"/>
        </w:rPr>
        <w:t>Members drew</w:t>
      </w:r>
      <w:r>
        <w:rPr>
          <w:spacing w:val="-1"/>
          <w:w w:val="110"/>
        </w:rPr>
        <w:t xml:space="preserve"> </w:t>
      </w:r>
      <w:r>
        <w:rPr>
          <w:w w:val="110"/>
        </w:rPr>
        <w:t>attention to</w:t>
      </w:r>
      <w:r>
        <w:rPr>
          <w:spacing w:val="-1"/>
          <w:w w:val="110"/>
        </w:rPr>
        <w:t xml:space="preserve"> </w:t>
      </w:r>
      <w:r>
        <w:rPr>
          <w:w w:val="110"/>
        </w:rPr>
        <w:t>the vital</w:t>
      </w:r>
      <w:r>
        <w:rPr>
          <w:spacing w:val="-4"/>
          <w:w w:val="110"/>
        </w:rPr>
        <w:t xml:space="preserve"> </w:t>
      </w:r>
      <w:r>
        <w:rPr>
          <w:w w:val="110"/>
        </w:rPr>
        <w:t>role Cohesion funding</w:t>
      </w:r>
      <w:r>
        <w:rPr>
          <w:spacing w:val="-2"/>
          <w:w w:val="110"/>
        </w:rPr>
        <w:t xml:space="preserve"> </w:t>
      </w:r>
      <w:r>
        <w:rPr>
          <w:w w:val="110"/>
        </w:rPr>
        <w:t>has</w:t>
      </w:r>
      <w:r>
        <w:rPr>
          <w:spacing w:val="-5"/>
          <w:w w:val="110"/>
        </w:rPr>
        <w:t xml:space="preserve"> </w:t>
      </w:r>
      <w:r>
        <w:rPr>
          <w:w w:val="110"/>
        </w:rPr>
        <w:t>played</w:t>
      </w:r>
      <w:r>
        <w:rPr>
          <w:spacing w:val="-4"/>
          <w:w w:val="110"/>
        </w:rPr>
        <w:t xml:space="preserve"> </w:t>
      </w:r>
      <w:r>
        <w:rPr>
          <w:w w:val="110"/>
        </w:rPr>
        <w:t>in</w:t>
      </w:r>
      <w:r>
        <w:rPr>
          <w:spacing w:val="-4"/>
          <w:w w:val="110"/>
        </w:rPr>
        <w:t xml:space="preserve"> </w:t>
      </w:r>
      <w:r>
        <w:rPr>
          <w:w w:val="110"/>
        </w:rPr>
        <w:t>Ireland,</w:t>
      </w:r>
      <w:r>
        <w:rPr>
          <w:spacing w:val="-4"/>
          <w:w w:val="110"/>
        </w:rPr>
        <w:t xml:space="preserve"> </w:t>
      </w:r>
      <w:r>
        <w:rPr>
          <w:w w:val="110"/>
        </w:rPr>
        <w:t>key</w:t>
      </w:r>
      <w:r>
        <w:rPr>
          <w:spacing w:val="-3"/>
          <w:w w:val="110"/>
        </w:rPr>
        <w:t xml:space="preserve"> </w:t>
      </w:r>
      <w:r>
        <w:rPr>
          <w:w w:val="110"/>
        </w:rPr>
        <w:t>in</w:t>
      </w:r>
      <w:r>
        <w:rPr>
          <w:spacing w:val="-6"/>
          <w:w w:val="110"/>
        </w:rPr>
        <w:t xml:space="preserve"> </w:t>
      </w:r>
      <w:r>
        <w:rPr>
          <w:w w:val="110"/>
        </w:rPr>
        <w:t>helping</w:t>
      </w:r>
      <w:r>
        <w:rPr>
          <w:spacing w:val="-2"/>
          <w:w w:val="110"/>
        </w:rPr>
        <w:t xml:space="preserve"> </w:t>
      </w:r>
      <w:r>
        <w:rPr>
          <w:w w:val="110"/>
        </w:rPr>
        <w:t>to</w:t>
      </w:r>
      <w:r>
        <w:rPr>
          <w:spacing w:val="-2"/>
          <w:w w:val="110"/>
        </w:rPr>
        <w:t xml:space="preserve"> </w:t>
      </w:r>
      <w:r>
        <w:rPr>
          <w:w w:val="110"/>
        </w:rPr>
        <w:t>secure</w:t>
      </w:r>
      <w:r>
        <w:rPr>
          <w:spacing w:val="-2"/>
          <w:w w:val="110"/>
        </w:rPr>
        <w:t xml:space="preserve"> </w:t>
      </w:r>
      <w:r>
        <w:rPr>
          <w:w w:val="110"/>
        </w:rPr>
        <w:t>and</w:t>
      </w:r>
      <w:r>
        <w:rPr>
          <w:spacing w:val="-4"/>
          <w:w w:val="110"/>
        </w:rPr>
        <w:t xml:space="preserve"> </w:t>
      </w:r>
      <w:r>
        <w:rPr>
          <w:w w:val="110"/>
        </w:rPr>
        <w:t>maintain</w:t>
      </w:r>
      <w:r>
        <w:rPr>
          <w:spacing w:val="-6"/>
          <w:w w:val="110"/>
        </w:rPr>
        <w:t xml:space="preserve"> </w:t>
      </w:r>
      <w:r>
        <w:rPr>
          <w:w w:val="110"/>
        </w:rPr>
        <w:t>peace</w:t>
      </w:r>
      <w:r>
        <w:rPr>
          <w:spacing w:val="-5"/>
          <w:w w:val="110"/>
        </w:rPr>
        <w:t xml:space="preserve"> </w:t>
      </w:r>
      <w:r>
        <w:rPr>
          <w:w w:val="110"/>
        </w:rPr>
        <w:t>in</w:t>
      </w:r>
      <w:r>
        <w:rPr>
          <w:spacing w:val="-4"/>
          <w:w w:val="110"/>
        </w:rPr>
        <w:t xml:space="preserve"> </w:t>
      </w:r>
      <w:r>
        <w:rPr>
          <w:w w:val="110"/>
        </w:rPr>
        <w:t>the</w:t>
      </w:r>
      <w:r>
        <w:rPr>
          <w:spacing w:val="-5"/>
          <w:w w:val="110"/>
        </w:rPr>
        <w:t xml:space="preserve"> </w:t>
      </w:r>
      <w:r>
        <w:rPr>
          <w:w w:val="110"/>
        </w:rPr>
        <w:t>North</w:t>
      </w:r>
      <w:r>
        <w:rPr>
          <w:spacing w:val="-6"/>
          <w:w w:val="110"/>
        </w:rPr>
        <w:t xml:space="preserve"> </w:t>
      </w:r>
      <w:r>
        <w:rPr>
          <w:w w:val="110"/>
        </w:rPr>
        <w:t>of Ireland and ensuring there are constructive and positive measures for communities on the Border.</w:t>
      </w:r>
    </w:p>
    <w:p w:rsidR="00B84CED" w:rsidRDefault="00794452" w14:paraId="5F743CB0" w14:textId="77777777">
      <w:pPr>
        <w:pStyle w:val="BodyText"/>
        <w:spacing w:before="161" w:line="357" w:lineRule="auto"/>
        <w:ind w:left="219" w:right="459"/>
      </w:pPr>
      <w:r>
        <w:rPr>
          <w:w w:val="110"/>
        </w:rPr>
        <w:t>Rather</w:t>
      </w:r>
      <w:r>
        <w:rPr>
          <w:spacing w:val="-6"/>
          <w:w w:val="110"/>
        </w:rPr>
        <w:t xml:space="preserve"> </w:t>
      </w:r>
      <w:r>
        <w:rPr>
          <w:w w:val="110"/>
        </w:rPr>
        <w:t>than</w:t>
      </w:r>
      <w:r>
        <w:rPr>
          <w:spacing w:val="-5"/>
          <w:w w:val="110"/>
        </w:rPr>
        <w:t xml:space="preserve"> </w:t>
      </w:r>
      <w:r>
        <w:rPr>
          <w:w w:val="110"/>
        </w:rPr>
        <w:t>investing</w:t>
      </w:r>
      <w:r>
        <w:rPr>
          <w:spacing w:val="-3"/>
          <w:w w:val="110"/>
        </w:rPr>
        <w:t xml:space="preserve"> </w:t>
      </w:r>
      <w:r>
        <w:rPr>
          <w:w w:val="110"/>
        </w:rPr>
        <w:t>in</w:t>
      </w:r>
      <w:r>
        <w:rPr>
          <w:spacing w:val="-10"/>
          <w:w w:val="110"/>
        </w:rPr>
        <w:t xml:space="preserve"> </w:t>
      </w:r>
      <w:r>
        <w:rPr>
          <w:w w:val="110"/>
        </w:rPr>
        <w:t>social</w:t>
      </w:r>
      <w:r>
        <w:rPr>
          <w:spacing w:val="-4"/>
          <w:w w:val="110"/>
        </w:rPr>
        <w:t xml:space="preserve"> </w:t>
      </w:r>
      <w:r>
        <w:rPr>
          <w:w w:val="110"/>
        </w:rPr>
        <w:t>cohesion</w:t>
      </w:r>
      <w:r>
        <w:rPr>
          <w:spacing w:val="-5"/>
          <w:w w:val="110"/>
        </w:rPr>
        <w:t xml:space="preserve"> </w:t>
      </w:r>
      <w:r>
        <w:rPr>
          <w:w w:val="110"/>
        </w:rPr>
        <w:t>to</w:t>
      </w:r>
      <w:r>
        <w:rPr>
          <w:spacing w:val="-3"/>
          <w:w w:val="110"/>
        </w:rPr>
        <w:t xml:space="preserve"> </w:t>
      </w:r>
      <w:r>
        <w:rPr>
          <w:w w:val="110"/>
        </w:rPr>
        <w:t>hold</w:t>
      </w:r>
      <w:r>
        <w:rPr>
          <w:spacing w:val="-5"/>
          <w:w w:val="110"/>
        </w:rPr>
        <w:t xml:space="preserve"> </w:t>
      </w:r>
      <w:r>
        <w:rPr>
          <w:w w:val="110"/>
        </w:rPr>
        <w:t>together</w:t>
      </w:r>
      <w:r>
        <w:rPr>
          <w:spacing w:val="-4"/>
          <w:w w:val="110"/>
        </w:rPr>
        <w:t xml:space="preserve"> </w:t>
      </w:r>
      <w:r>
        <w:rPr>
          <w:w w:val="110"/>
        </w:rPr>
        <w:t>the</w:t>
      </w:r>
      <w:r>
        <w:rPr>
          <w:spacing w:val="-3"/>
          <w:w w:val="110"/>
        </w:rPr>
        <w:t xml:space="preserve"> </w:t>
      </w:r>
      <w:r>
        <w:rPr>
          <w:w w:val="110"/>
        </w:rPr>
        <w:t>EU</w:t>
      </w:r>
      <w:r>
        <w:rPr>
          <w:spacing w:val="-8"/>
          <w:w w:val="110"/>
        </w:rPr>
        <w:t xml:space="preserve"> </w:t>
      </w:r>
      <w:r>
        <w:rPr>
          <w:w w:val="110"/>
        </w:rPr>
        <w:t>and</w:t>
      </w:r>
      <w:r>
        <w:rPr>
          <w:spacing w:val="-5"/>
          <w:w w:val="110"/>
        </w:rPr>
        <w:t xml:space="preserve"> </w:t>
      </w:r>
      <w:r>
        <w:rPr>
          <w:w w:val="110"/>
        </w:rPr>
        <w:t>the</w:t>
      </w:r>
      <w:r>
        <w:rPr>
          <w:spacing w:val="-6"/>
          <w:w w:val="110"/>
        </w:rPr>
        <w:t xml:space="preserve"> </w:t>
      </w:r>
      <w:r>
        <w:rPr>
          <w:w w:val="110"/>
        </w:rPr>
        <w:t>societies</w:t>
      </w:r>
      <w:r>
        <w:rPr>
          <w:spacing w:val="-6"/>
          <w:w w:val="110"/>
        </w:rPr>
        <w:t xml:space="preserve"> </w:t>
      </w:r>
      <w:r>
        <w:rPr>
          <w:w w:val="110"/>
        </w:rPr>
        <w:t>within</w:t>
      </w:r>
      <w:r>
        <w:rPr>
          <w:spacing w:val="-5"/>
          <w:w w:val="110"/>
        </w:rPr>
        <w:t xml:space="preserve"> </w:t>
      </w:r>
      <w:r>
        <w:rPr>
          <w:w w:val="110"/>
        </w:rPr>
        <w:t>it together, there is now a shift towards investing in defence and militarisation.</w:t>
      </w:r>
    </w:p>
    <w:p w:rsidR="00B84CED" w:rsidRDefault="00794452" w14:paraId="094906C1" w14:textId="77777777">
      <w:pPr>
        <w:pStyle w:val="BodyText"/>
        <w:spacing w:before="162" w:line="357" w:lineRule="auto"/>
        <w:ind w:left="219" w:right="459"/>
      </w:pPr>
      <w:r>
        <w:rPr>
          <w:w w:val="110"/>
        </w:rPr>
        <w:t>Members noted that there is little conditionality</w:t>
      </w:r>
      <w:r>
        <w:rPr>
          <w:spacing w:val="-2"/>
          <w:w w:val="110"/>
        </w:rPr>
        <w:t xml:space="preserve"> </w:t>
      </w:r>
      <w:r>
        <w:rPr>
          <w:w w:val="110"/>
        </w:rPr>
        <w:t>attached to the loans that are to be provided by these new regulations, meaning that once the loans have been disbursed there are no safeguards to ensure that proceeds remain within the EU.</w:t>
      </w:r>
      <w:hyperlink w:history="1" w:anchor="_bookmark22">
        <w:r>
          <w:rPr>
            <w:w w:val="110"/>
            <w:position w:val="8"/>
            <w:sz w:val="13"/>
          </w:rPr>
          <w:t>9</w:t>
        </w:r>
      </w:hyperlink>
      <w:r>
        <w:rPr>
          <w:spacing w:val="30"/>
          <w:w w:val="110"/>
          <w:position w:val="8"/>
          <w:sz w:val="13"/>
        </w:rPr>
        <w:t xml:space="preserve"> </w:t>
      </w:r>
      <w:r>
        <w:rPr>
          <w:w w:val="110"/>
        </w:rPr>
        <w:t>To this end, Members</w:t>
      </w:r>
      <w:r>
        <w:rPr>
          <w:spacing w:val="-8"/>
          <w:w w:val="110"/>
        </w:rPr>
        <w:t xml:space="preserve"> </w:t>
      </w:r>
      <w:r>
        <w:rPr>
          <w:w w:val="110"/>
        </w:rPr>
        <w:t>queried</w:t>
      </w:r>
      <w:r>
        <w:rPr>
          <w:spacing w:val="-10"/>
          <w:w w:val="110"/>
        </w:rPr>
        <w:t xml:space="preserve"> </w:t>
      </w:r>
      <w:r>
        <w:rPr>
          <w:w w:val="110"/>
        </w:rPr>
        <w:t>the</w:t>
      </w:r>
      <w:r>
        <w:rPr>
          <w:spacing w:val="-8"/>
          <w:w w:val="110"/>
        </w:rPr>
        <w:t xml:space="preserve"> </w:t>
      </w:r>
      <w:r>
        <w:rPr>
          <w:w w:val="110"/>
        </w:rPr>
        <w:t>reasoning</w:t>
      </w:r>
      <w:r>
        <w:rPr>
          <w:spacing w:val="-5"/>
          <w:w w:val="110"/>
        </w:rPr>
        <w:t xml:space="preserve"> </w:t>
      </w:r>
      <w:r>
        <w:rPr>
          <w:w w:val="110"/>
        </w:rPr>
        <w:t>behind</w:t>
      </w:r>
      <w:r>
        <w:rPr>
          <w:spacing w:val="-10"/>
          <w:w w:val="110"/>
        </w:rPr>
        <w:t xml:space="preserve"> </w:t>
      </w:r>
      <w:r>
        <w:rPr>
          <w:w w:val="110"/>
        </w:rPr>
        <w:t>channelling</w:t>
      </w:r>
      <w:r>
        <w:rPr>
          <w:spacing w:val="-5"/>
          <w:w w:val="110"/>
        </w:rPr>
        <w:t xml:space="preserve"> </w:t>
      </w:r>
      <w:r>
        <w:rPr>
          <w:w w:val="110"/>
        </w:rPr>
        <w:t>significant</w:t>
      </w:r>
      <w:r>
        <w:rPr>
          <w:spacing w:val="-10"/>
          <w:w w:val="110"/>
        </w:rPr>
        <w:t xml:space="preserve"> </w:t>
      </w:r>
      <w:r>
        <w:rPr>
          <w:w w:val="110"/>
        </w:rPr>
        <w:t>sums</w:t>
      </w:r>
      <w:r>
        <w:rPr>
          <w:spacing w:val="-8"/>
          <w:w w:val="110"/>
        </w:rPr>
        <w:t xml:space="preserve"> </w:t>
      </w:r>
      <w:r>
        <w:rPr>
          <w:w w:val="110"/>
        </w:rPr>
        <w:t>of</w:t>
      </w:r>
      <w:r>
        <w:rPr>
          <w:spacing w:val="-8"/>
          <w:w w:val="110"/>
        </w:rPr>
        <w:t xml:space="preserve"> </w:t>
      </w:r>
      <w:r>
        <w:rPr>
          <w:w w:val="110"/>
        </w:rPr>
        <w:t>money</w:t>
      </w:r>
      <w:r>
        <w:rPr>
          <w:spacing w:val="-6"/>
          <w:w w:val="110"/>
        </w:rPr>
        <w:t xml:space="preserve"> </w:t>
      </w:r>
      <w:r>
        <w:rPr>
          <w:w w:val="110"/>
        </w:rPr>
        <w:t>into</w:t>
      </w:r>
      <w:r>
        <w:rPr>
          <w:spacing w:val="-8"/>
          <w:w w:val="110"/>
        </w:rPr>
        <w:t xml:space="preserve"> </w:t>
      </w:r>
      <w:r>
        <w:rPr>
          <w:w w:val="110"/>
        </w:rPr>
        <w:t>the military industry without caveat.</w:t>
      </w:r>
    </w:p>
    <w:p w:rsidR="00B84CED" w:rsidRDefault="00794452" w14:paraId="5194D348" w14:textId="77777777">
      <w:pPr>
        <w:pStyle w:val="BodyText"/>
        <w:spacing w:before="160" w:line="357" w:lineRule="auto"/>
        <w:ind w:left="219" w:right="591"/>
        <w:rPr>
          <w:position w:val="8"/>
          <w:sz w:val="13"/>
        </w:rPr>
      </w:pPr>
      <w:r>
        <w:rPr>
          <w:w w:val="110"/>
        </w:rPr>
        <w:t>Commission</w:t>
      </w:r>
      <w:r>
        <w:rPr>
          <w:spacing w:val="-6"/>
          <w:w w:val="110"/>
        </w:rPr>
        <w:t xml:space="preserve"> </w:t>
      </w:r>
      <w:r>
        <w:rPr>
          <w:w w:val="110"/>
        </w:rPr>
        <w:t>officials</w:t>
      </w:r>
      <w:r>
        <w:rPr>
          <w:spacing w:val="-5"/>
          <w:w w:val="110"/>
        </w:rPr>
        <w:t xml:space="preserve"> </w:t>
      </w:r>
      <w:r>
        <w:rPr>
          <w:w w:val="110"/>
        </w:rPr>
        <w:t>drew</w:t>
      </w:r>
      <w:r>
        <w:rPr>
          <w:spacing w:val="-3"/>
          <w:w w:val="110"/>
        </w:rPr>
        <w:t xml:space="preserve"> </w:t>
      </w:r>
      <w:r>
        <w:rPr>
          <w:w w:val="110"/>
        </w:rPr>
        <w:t>attention</w:t>
      </w:r>
      <w:r>
        <w:rPr>
          <w:spacing w:val="-4"/>
          <w:w w:val="110"/>
        </w:rPr>
        <w:t xml:space="preserve"> </w:t>
      </w:r>
      <w:r>
        <w:rPr>
          <w:w w:val="110"/>
        </w:rPr>
        <w:t>to</w:t>
      </w:r>
      <w:r>
        <w:rPr>
          <w:spacing w:val="-2"/>
          <w:w w:val="110"/>
        </w:rPr>
        <w:t xml:space="preserve"> </w:t>
      </w:r>
      <w:r>
        <w:rPr>
          <w:w w:val="110"/>
        </w:rPr>
        <w:t>the</w:t>
      </w:r>
      <w:r>
        <w:rPr>
          <w:spacing w:val="-5"/>
          <w:w w:val="110"/>
        </w:rPr>
        <w:t xml:space="preserve"> </w:t>
      </w:r>
      <w:r>
        <w:rPr>
          <w:w w:val="110"/>
        </w:rPr>
        <w:t>fact</w:t>
      </w:r>
      <w:r>
        <w:rPr>
          <w:spacing w:val="-4"/>
          <w:w w:val="110"/>
        </w:rPr>
        <w:t xml:space="preserve"> </w:t>
      </w:r>
      <w:r>
        <w:rPr>
          <w:w w:val="110"/>
        </w:rPr>
        <w:t>that</w:t>
      </w:r>
      <w:r>
        <w:rPr>
          <w:spacing w:val="-4"/>
          <w:w w:val="110"/>
        </w:rPr>
        <w:t xml:space="preserve"> </w:t>
      </w:r>
      <w:r>
        <w:rPr>
          <w:w w:val="110"/>
        </w:rPr>
        <w:t>the</w:t>
      </w:r>
      <w:r>
        <w:rPr>
          <w:spacing w:val="-2"/>
          <w:w w:val="110"/>
        </w:rPr>
        <w:t xml:space="preserve"> </w:t>
      </w:r>
      <w:r>
        <w:rPr>
          <w:w w:val="110"/>
        </w:rPr>
        <w:t>possible</w:t>
      </w:r>
      <w:r>
        <w:rPr>
          <w:spacing w:val="-5"/>
          <w:w w:val="110"/>
        </w:rPr>
        <w:t xml:space="preserve"> </w:t>
      </w:r>
      <w:r>
        <w:rPr>
          <w:w w:val="110"/>
        </w:rPr>
        <w:t>redirection</w:t>
      </w:r>
      <w:r>
        <w:rPr>
          <w:spacing w:val="-4"/>
          <w:w w:val="110"/>
        </w:rPr>
        <w:t xml:space="preserve"> </w:t>
      </w:r>
      <w:r>
        <w:rPr>
          <w:w w:val="110"/>
        </w:rPr>
        <w:t>of</w:t>
      </w:r>
      <w:r>
        <w:rPr>
          <w:spacing w:val="-5"/>
          <w:w w:val="110"/>
        </w:rPr>
        <w:t xml:space="preserve"> </w:t>
      </w:r>
      <w:r>
        <w:rPr>
          <w:w w:val="110"/>
        </w:rPr>
        <w:t>cohesion funding via the mid-term review is at the complete discretion of member states. The Committee heard that the Commission has been</w:t>
      </w:r>
      <w:r>
        <w:rPr>
          <w:spacing w:val="-3"/>
          <w:w w:val="110"/>
        </w:rPr>
        <w:t xml:space="preserve"> </w:t>
      </w:r>
      <w:r>
        <w:rPr>
          <w:w w:val="110"/>
        </w:rPr>
        <w:t>asked to identify additional funds that could be spent in the area of defence - such as defence infrastructure projects and military</w:t>
      </w:r>
      <w:r>
        <w:rPr>
          <w:spacing w:val="-3"/>
          <w:w w:val="110"/>
        </w:rPr>
        <w:t xml:space="preserve"> </w:t>
      </w:r>
      <w:r>
        <w:rPr>
          <w:w w:val="110"/>
        </w:rPr>
        <w:t>mobility</w:t>
      </w:r>
      <w:r>
        <w:rPr>
          <w:spacing w:val="-3"/>
          <w:w w:val="110"/>
        </w:rPr>
        <w:t xml:space="preserve"> </w:t>
      </w:r>
      <w:r>
        <w:rPr>
          <w:w w:val="110"/>
        </w:rPr>
        <w:t>projects</w:t>
      </w:r>
      <w:r>
        <w:rPr>
          <w:spacing w:val="-5"/>
          <w:w w:val="110"/>
        </w:rPr>
        <w:t xml:space="preserve"> </w:t>
      </w:r>
      <w:r>
        <w:rPr>
          <w:w w:val="110"/>
        </w:rPr>
        <w:t>-</w:t>
      </w:r>
      <w:r>
        <w:rPr>
          <w:spacing w:val="-5"/>
          <w:w w:val="110"/>
        </w:rPr>
        <w:t xml:space="preserve"> </w:t>
      </w:r>
      <w:r>
        <w:rPr>
          <w:w w:val="110"/>
        </w:rPr>
        <w:t>rather</w:t>
      </w:r>
      <w:r>
        <w:rPr>
          <w:spacing w:val="-5"/>
          <w:w w:val="110"/>
        </w:rPr>
        <w:t xml:space="preserve"> </w:t>
      </w:r>
      <w:r>
        <w:rPr>
          <w:w w:val="110"/>
        </w:rPr>
        <w:t>than</w:t>
      </w:r>
      <w:r>
        <w:rPr>
          <w:spacing w:val="-4"/>
          <w:w w:val="110"/>
        </w:rPr>
        <w:t xml:space="preserve"> </w:t>
      </w:r>
      <w:r>
        <w:rPr>
          <w:w w:val="110"/>
        </w:rPr>
        <w:t>arms.</w:t>
      </w:r>
      <w:r>
        <w:rPr>
          <w:spacing w:val="-4"/>
          <w:w w:val="110"/>
        </w:rPr>
        <w:t xml:space="preserve"> </w:t>
      </w:r>
      <w:r>
        <w:rPr>
          <w:w w:val="110"/>
        </w:rPr>
        <w:t>It</w:t>
      </w:r>
      <w:r>
        <w:rPr>
          <w:spacing w:val="-6"/>
          <w:w w:val="110"/>
        </w:rPr>
        <w:t xml:space="preserve"> </w:t>
      </w:r>
      <w:r>
        <w:rPr>
          <w:w w:val="110"/>
        </w:rPr>
        <w:t>was</w:t>
      </w:r>
      <w:r>
        <w:rPr>
          <w:spacing w:val="-3"/>
          <w:w w:val="110"/>
        </w:rPr>
        <w:t xml:space="preserve"> </w:t>
      </w:r>
      <w:r>
        <w:rPr>
          <w:w w:val="110"/>
        </w:rPr>
        <w:t>clarified</w:t>
      </w:r>
      <w:r>
        <w:rPr>
          <w:spacing w:val="-4"/>
          <w:w w:val="110"/>
        </w:rPr>
        <w:t xml:space="preserve"> </w:t>
      </w:r>
      <w:r>
        <w:rPr>
          <w:w w:val="110"/>
        </w:rPr>
        <w:t>that</w:t>
      </w:r>
      <w:r>
        <w:rPr>
          <w:spacing w:val="-4"/>
          <w:w w:val="110"/>
        </w:rPr>
        <w:t xml:space="preserve"> </w:t>
      </w:r>
      <w:r>
        <w:rPr>
          <w:w w:val="110"/>
        </w:rPr>
        <w:t>the</w:t>
      </w:r>
      <w:r>
        <w:rPr>
          <w:spacing w:val="-5"/>
          <w:w w:val="110"/>
        </w:rPr>
        <w:t xml:space="preserve"> </w:t>
      </w:r>
      <w:r>
        <w:rPr>
          <w:w w:val="110"/>
        </w:rPr>
        <w:t>recommendation</w:t>
      </w:r>
      <w:r>
        <w:rPr>
          <w:spacing w:val="-4"/>
          <w:w w:val="110"/>
        </w:rPr>
        <w:t xml:space="preserve"> </w:t>
      </w:r>
      <w:r>
        <w:rPr>
          <w:w w:val="110"/>
        </w:rPr>
        <w:t>is not intended to diminish expenditure on social and cohesion projects. Rather, the Commission</w:t>
      </w:r>
      <w:r>
        <w:rPr>
          <w:spacing w:val="-1"/>
          <w:w w:val="110"/>
        </w:rPr>
        <w:t xml:space="preserve"> </w:t>
      </w:r>
      <w:r>
        <w:rPr>
          <w:w w:val="110"/>
        </w:rPr>
        <w:t>takes the view that it is making an</w:t>
      </w:r>
      <w:r>
        <w:rPr>
          <w:spacing w:val="-1"/>
          <w:w w:val="110"/>
        </w:rPr>
        <w:t xml:space="preserve"> </w:t>
      </w:r>
      <w:r>
        <w:rPr>
          <w:w w:val="110"/>
        </w:rPr>
        <w:t>allowance for redirection</w:t>
      </w:r>
      <w:r>
        <w:rPr>
          <w:spacing w:val="-5"/>
          <w:w w:val="110"/>
        </w:rPr>
        <w:t xml:space="preserve"> </w:t>
      </w:r>
      <w:r>
        <w:rPr>
          <w:w w:val="110"/>
        </w:rPr>
        <w:t>of moneys not used and that most likely, will not be used before the end of the current MFF, towards another priority namely, defence.</w:t>
      </w:r>
      <w:hyperlink w:history="1" w:anchor="_bookmark23">
        <w:r>
          <w:rPr>
            <w:w w:val="110"/>
            <w:position w:val="8"/>
            <w:sz w:val="13"/>
          </w:rPr>
          <w:t>10</w:t>
        </w:r>
      </w:hyperlink>
    </w:p>
    <w:p w:rsidR="00B84CED" w:rsidRDefault="00794452" w14:paraId="557A61B3" w14:textId="77777777">
      <w:pPr>
        <w:pStyle w:val="BodyText"/>
        <w:spacing w:before="45"/>
        <w:rPr>
          <w:sz w:val="20"/>
        </w:rPr>
      </w:pPr>
      <w:r>
        <w:rPr>
          <w:noProof/>
          <w:sz w:val="20"/>
        </w:rPr>
        <mc:AlternateContent>
          <mc:Choice Requires="wps">
            <w:drawing>
              <wp:anchor distT="0" distB="0" distL="0" distR="0" simplePos="0" relativeHeight="487591936" behindDoc="1" locked="0" layoutInCell="1" allowOverlap="1" wp14:editId="429186FD" wp14:anchorId="5A38729B">
                <wp:simplePos x="0" y="0"/>
                <wp:positionH relativeFrom="page">
                  <wp:posOffset>900683</wp:posOffset>
                </wp:positionH>
                <wp:positionV relativeFrom="paragraph">
                  <wp:posOffset>199253</wp:posOffset>
                </wp:positionV>
                <wp:extent cx="1828800" cy="9525"/>
                <wp:effectExtent l="0" t="0" r="0" b="0"/>
                <wp:wrapTopAndBottom/>
                <wp:docPr id="10"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68" style="position:absolute;margin-left:70.9pt;margin-top:15.7pt;width:2in;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3r1828800,l1828800,xe" w14:anchorId="2249A39E">
                <v:path arrowok="t"/>
                <w10:wrap type="topAndBottom" anchorx="page"/>
              </v:shape>
            </w:pict>
          </mc:Fallback>
        </mc:AlternateContent>
      </w:r>
    </w:p>
    <w:p w:rsidR="00B84CED" w:rsidRDefault="00794452" w14:paraId="5302E31F" w14:textId="77777777">
      <w:pPr>
        <w:spacing w:before="123"/>
        <w:ind w:left="1"/>
        <w:rPr>
          <w:sz w:val="16"/>
        </w:rPr>
      </w:pPr>
      <w:bookmarkStart w:name="_bookmark21" w:id="43"/>
      <w:bookmarkEnd w:id="43"/>
      <w:r>
        <w:rPr>
          <w:w w:val="105"/>
          <w:position w:val="6"/>
          <w:sz w:val="10"/>
        </w:rPr>
        <w:t>8</w:t>
      </w:r>
      <w:r>
        <w:rPr>
          <w:spacing w:val="28"/>
          <w:w w:val="105"/>
          <w:position w:val="6"/>
          <w:sz w:val="10"/>
        </w:rPr>
        <w:t xml:space="preserve"> </w:t>
      </w:r>
      <w:hyperlink r:id="rId31">
        <w:r>
          <w:rPr>
            <w:color w:val="0000FF"/>
            <w:w w:val="105"/>
            <w:sz w:val="16"/>
            <w:u w:val="single" w:color="0000FF"/>
          </w:rPr>
          <w:t>Schuman</w:t>
        </w:r>
        <w:r>
          <w:rPr>
            <w:color w:val="0000FF"/>
            <w:spacing w:val="17"/>
            <w:w w:val="105"/>
            <w:sz w:val="16"/>
            <w:u w:val="single" w:color="0000FF"/>
          </w:rPr>
          <w:t xml:space="preserve"> </w:t>
        </w:r>
        <w:r>
          <w:rPr>
            <w:color w:val="0000FF"/>
            <w:w w:val="105"/>
            <w:sz w:val="16"/>
            <w:u w:val="single" w:color="0000FF"/>
          </w:rPr>
          <w:t>Declaration</w:t>
        </w:r>
        <w:r>
          <w:rPr>
            <w:color w:val="0000FF"/>
            <w:spacing w:val="16"/>
            <w:w w:val="105"/>
            <w:sz w:val="16"/>
            <w:u w:val="single" w:color="0000FF"/>
          </w:rPr>
          <w:t xml:space="preserve"> </w:t>
        </w:r>
        <w:r>
          <w:rPr>
            <w:color w:val="0000FF"/>
            <w:w w:val="105"/>
            <w:sz w:val="16"/>
            <w:u w:val="single" w:color="0000FF"/>
          </w:rPr>
          <w:t>May</w:t>
        </w:r>
        <w:r>
          <w:rPr>
            <w:color w:val="0000FF"/>
            <w:spacing w:val="15"/>
            <w:w w:val="105"/>
            <w:sz w:val="16"/>
            <w:u w:val="single" w:color="0000FF"/>
          </w:rPr>
          <w:t xml:space="preserve"> </w:t>
        </w:r>
        <w:r>
          <w:rPr>
            <w:color w:val="0000FF"/>
            <w:w w:val="105"/>
            <w:sz w:val="16"/>
            <w:u w:val="single" w:color="0000FF"/>
          </w:rPr>
          <w:t>1950</w:t>
        </w:r>
        <w:r>
          <w:rPr>
            <w:color w:val="0000FF"/>
            <w:spacing w:val="13"/>
            <w:w w:val="105"/>
            <w:sz w:val="16"/>
            <w:u w:val="single" w:color="0000FF"/>
          </w:rPr>
          <w:t xml:space="preserve"> </w:t>
        </w:r>
        <w:r>
          <w:rPr>
            <w:color w:val="0000FF"/>
            <w:sz w:val="16"/>
            <w:u w:val="single" w:color="0000FF"/>
          </w:rPr>
          <w:t>|</w:t>
        </w:r>
        <w:r>
          <w:rPr>
            <w:color w:val="0000FF"/>
            <w:spacing w:val="12"/>
            <w:w w:val="105"/>
            <w:sz w:val="16"/>
            <w:u w:val="single" w:color="0000FF"/>
          </w:rPr>
          <w:t xml:space="preserve"> </w:t>
        </w:r>
        <w:r>
          <w:rPr>
            <w:color w:val="0000FF"/>
            <w:w w:val="105"/>
            <w:sz w:val="16"/>
            <w:u w:val="single" w:color="0000FF"/>
          </w:rPr>
          <w:t>European</w:t>
        </w:r>
        <w:r>
          <w:rPr>
            <w:color w:val="0000FF"/>
            <w:spacing w:val="16"/>
            <w:w w:val="105"/>
            <w:sz w:val="16"/>
            <w:u w:val="single" w:color="0000FF"/>
          </w:rPr>
          <w:t xml:space="preserve"> </w:t>
        </w:r>
        <w:r>
          <w:rPr>
            <w:color w:val="0000FF"/>
            <w:spacing w:val="-2"/>
            <w:w w:val="105"/>
            <w:sz w:val="16"/>
            <w:u w:val="single" w:color="0000FF"/>
          </w:rPr>
          <w:t>Union</w:t>
        </w:r>
      </w:hyperlink>
    </w:p>
    <w:p w:rsidR="00B84CED" w:rsidRDefault="00B84CED" w14:paraId="30D006F6" w14:textId="77777777">
      <w:pPr>
        <w:pStyle w:val="BodyText"/>
        <w:spacing w:before="24"/>
        <w:rPr>
          <w:sz w:val="16"/>
        </w:rPr>
      </w:pPr>
    </w:p>
    <w:p w:rsidR="00B84CED" w:rsidRDefault="00794452" w14:paraId="37A7D805" w14:textId="77777777">
      <w:pPr>
        <w:ind w:left="1"/>
        <w:rPr>
          <w:sz w:val="16"/>
        </w:rPr>
      </w:pPr>
      <w:bookmarkStart w:name="_bookmark22" w:id="44"/>
      <w:bookmarkEnd w:id="44"/>
      <w:r>
        <w:rPr>
          <w:w w:val="115"/>
          <w:position w:val="6"/>
          <w:sz w:val="10"/>
        </w:rPr>
        <w:t>9</w:t>
      </w:r>
      <w:r>
        <w:rPr>
          <w:spacing w:val="12"/>
          <w:w w:val="115"/>
          <w:position w:val="6"/>
          <w:sz w:val="10"/>
        </w:rPr>
        <w:t xml:space="preserve"> </w:t>
      </w:r>
      <w:hyperlink r:id="rId32">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w:t>
        </w:r>
        <w:r>
          <w:rPr>
            <w:color w:val="0000FF"/>
            <w:spacing w:val="-1"/>
            <w:w w:val="115"/>
            <w:sz w:val="16"/>
            <w:u w:val="single" w:color="0000FF"/>
          </w:rPr>
          <w:t xml:space="preserve"> </w:t>
        </w:r>
        <w:r>
          <w:rPr>
            <w:color w:val="0000FF"/>
            <w:w w:val="115"/>
            <w:sz w:val="16"/>
            <w:u w:val="single" w:color="0000FF"/>
          </w:rPr>
          <w:t>24.09.25</w:t>
        </w:r>
        <w:r>
          <w:rPr>
            <w:color w:val="0000FF"/>
            <w:spacing w:val="-2"/>
            <w:w w:val="115"/>
            <w:sz w:val="16"/>
            <w:u w:val="single" w:color="0000FF"/>
          </w:rPr>
          <w:t xml:space="preserve"> </w:t>
        </w:r>
        <w:r>
          <w:rPr>
            <w:color w:val="0000FF"/>
            <w:spacing w:val="-4"/>
            <w:w w:val="115"/>
            <w:sz w:val="16"/>
            <w:u w:val="single" w:color="0000FF"/>
          </w:rPr>
          <w:t>p.18</w:t>
        </w:r>
      </w:hyperlink>
    </w:p>
    <w:p w:rsidR="00B84CED" w:rsidRDefault="00B84CED" w14:paraId="3D170AB0" w14:textId="77777777">
      <w:pPr>
        <w:pStyle w:val="BodyText"/>
        <w:spacing w:before="22"/>
        <w:rPr>
          <w:sz w:val="16"/>
        </w:rPr>
      </w:pPr>
    </w:p>
    <w:p w:rsidR="00B84CED" w:rsidRDefault="00794452" w14:paraId="3801D7BB" w14:textId="77777777">
      <w:pPr>
        <w:ind w:left="1"/>
        <w:rPr>
          <w:sz w:val="16"/>
        </w:rPr>
      </w:pPr>
      <w:bookmarkStart w:name="_bookmark23" w:id="45"/>
      <w:bookmarkEnd w:id="45"/>
      <w:r>
        <w:rPr>
          <w:w w:val="115"/>
          <w:position w:val="6"/>
          <w:sz w:val="10"/>
        </w:rPr>
        <w:t>10</w:t>
      </w:r>
      <w:r>
        <w:rPr>
          <w:spacing w:val="12"/>
          <w:w w:val="115"/>
          <w:position w:val="6"/>
          <w:sz w:val="10"/>
        </w:rPr>
        <w:t xml:space="preserve"> </w:t>
      </w:r>
      <w:hyperlink r:id="rId33">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 15.10.25</w:t>
        </w:r>
        <w:r>
          <w:rPr>
            <w:color w:val="0000FF"/>
            <w:spacing w:val="-2"/>
            <w:w w:val="115"/>
            <w:sz w:val="16"/>
            <w:u w:val="single" w:color="0000FF"/>
          </w:rPr>
          <w:t xml:space="preserve"> </w:t>
        </w:r>
        <w:r>
          <w:rPr>
            <w:color w:val="0000FF"/>
            <w:spacing w:val="-4"/>
            <w:w w:val="115"/>
            <w:sz w:val="16"/>
            <w:u w:val="single" w:color="0000FF"/>
          </w:rPr>
          <w:t>p.11</w:t>
        </w:r>
      </w:hyperlink>
    </w:p>
    <w:p w:rsidR="00B84CED" w:rsidRDefault="00B84CED" w14:paraId="39BDF9F3" w14:textId="77777777">
      <w:pPr>
        <w:rPr>
          <w:sz w:val="16"/>
        </w:rPr>
        <w:sectPr w:rsidR="00B84CED" w:rsidSect="00196DB0">
          <w:footerReference w:type="even" r:id="Re1ad4cef7ec84f37"/>
          <w:footerReference w:type="first" r:id="R52c1af5b12164411"/>
          <w:headerReference w:type="even" r:id="R0c2bea642bf54928"/>
          <w:headerReference w:type="first" r:id="R8a47a155de42499f"/>
          <w:pgSz w:w="11907" w:h="16839"/>
          <w:pgMar w:top="1134" w:right="1134" w:bottom="1134" w:left="1134" w:header="567" w:footer="567" w:gutter="0"/>
          <w:cols w:space="720"/>
          <w:docGrid w:linePitch="299"/>
        </w:sectPr>
      </w:pPr>
    </w:p>
    <w:p w:rsidR="00B84CED" w:rsidRDefault="00794452" w14:paraId="482AB106" w14:textId="77777777">
      <w:pPr>
        <w:pStyle w:val="BodyText"/>
        <w:spacing w:before="111" w:line="355" w:lineRule="auto"/>
        <w:ind w:left="219" w:right="450"/>
      </w:pPr>
      <w:bookmarkStart w:name="Environmental_and_Societal_impacts_of_in" w:id="46"/>
      <w:bookmarkStart w:name="_bookmark24" w:id="47"/>
      <w:bookmarkEnd w:id="46"/>
      <w:bookmarkEnd w:id="47"/>
      <w:r>
        <w:rPr>
          <w:color w:val="3A5C66"/>
          <w:w w:val="110"/>
          <w:sz w:val="26"/>
        </w:rPr>
        <w:lastRenderedPageBreak/>
        <w:t xml:space="preserve">Environmental and Societal impacts of increased military expenditure </w:t>
      </w:r>
      <w:r>
        <w:rPr>
          <w:w w:val="110"/>
        </w:rPr>
        <w:t>Representatives of the Conflict and Environment Observatory told the Committee that militaries</w:t>
      </w:r>
      <w:r>
        <w:rPr>
          <w:spacing w:val="-3"/>
          <w:w w:val="110"/>
        </w:rPr>
        <w:t xml:space="preserve"> </w:t>
      </w:r>
      <w:r>
        <w:rPr>
          <w:w w:val="110"/>
        </w:rPr>
        <w:t>are</w:t>
      </w:r>
      <w:r>
        <w:rPr>
          <w:spacing w:val="-2"/>
          <w:w w:val="110"/>
        </w:rPr>
        <w:t xml:space="preserve"> </w:t>
      </w:r>
      <w:r>
        <w:rPr>
          <w:w w:val="110"/>
        </w:rPr>
        <w:t>a</w:t>
      </w:r>
      <w:r>
        <w:rPr>
          <w:spacing w:val="-6"/>
          <w:w w:val="110"/>
        </w:rPr>
        <w:t xml:space="preserve"> </w:t>
      </w:r>
      <w:r>
        <w:rPr>
          <w:w w:val="110"/>
        </w:rPr>
        <w:t>highly</w:t>
      </w:r>
      <w:r>
        <w:rPr>
          <w:spacing w:val="-3"/>
          <w:w w:val="110"/>
        </w:rPr>
        <w:t xml:space="preserve"> </w:t>
      </w:r>
      <w:r>
        <w:rPr>
          <w:w w:val="110"/>
        </w:rPr>
        <w:t>polluting</w:t>
      </w:r>
      <w:r>
        <w:rPr>
          <w:spacing w:val="-2"/>
          <w:w w:val="110"/>
        </w:rPr>
        <w:t xml:space="preserve"> </w:t>
      </w:r>
      <w:r>
        <w:rPr>
          <w:w w:val="110"/>
        </w:rPr>
        <w:t>sector</w:t>
      </w:r>
      <w:r>
        <w:rPr>
          <w:spacing w:val="-3"/>
          <w:w w:val="110"/>
        </w:rPr>
        <w:t xml:space="preserve"> </w:t>
      </w:r>
      <w:r>
        <w:rPr>
          <w:w w:val="110"/>
        </w:rPr>
        <w:t>and</w:t>
      </w:r>
      <w:r>
        <w:rPr>
          <w:spacing w:val="-4"/>
          <w:w w:val="110"/>
        </w:rPr>
        <w:t xml:space="preserve"> </w:t>
      </w:r>
      <w:r>
        <w:rPr>
          <w:w w:val="110"/>
        </w:rPr>
        <w:t>as</w:t>
      </w:r>
      <w:r>
        <w:rPr>
          <w:spacing w:val="-3"/>
          <w:w w:val="110"/>
        </w:rPr>
        <w:t xml:space="preserve"> </w:t>
      </w:r>
      <w:r>
        <w:rPr>
          <w:w w:val="110"/>
        </w:rPr>
        <w:t>such,</w:t>
      </w:r>
      <w:r>
        <w:rPr>
          <w:spacing w:val="-4"/>
          <w:w w:val="110"/>
        </w:rPr>
        <w:t xml:space="preserve"> </w:t>
      </w:r>
      <w:r>
        <w:rPr>
          <w:w w:val="110"/>
        </w:rPr>
        <w:t>every</w:t>
      </w:r>
      <w:r>
        <w:rPr>
          <w:spacing w:val="-6"/>
          <w:w w:val="110"/>
        </w:rPr>
        <w:t xml:space="preserve"> </w:t>
      </w:r>
      <w:r>
        <w:rPr>
          <w:w w:val="110"/>
        </w:rPr>
        <w:t>euro</w:t>
      </w:r>
      <w:r>
        <w:rPr>
          <w:spacing w:val="-5"/>
          <w:w w:val="110"/>
        </w:rPr>
        <w:t xml:space="preserve"> </w:t>
      </w:r>
      <w:r>
        <w:rPr>
          <w:w w:val="110"/>
        </w:rPr>
        <w:t>that</w:t>
      </w:r>
      <w:r>
        <w:rPr>
          <w:spacing w:val="-4"/>
          <w:w w:val="110"/>
        </w:rPr>
        <w:t xml:space="preserve"> </w:t>
      </w:r>
      <w:r>
        <w:rPr>
          <w:w w:val="110"/>
        </w:rPr>
        <w:t>goes</w:t>
      </w:r>
      <w:r>
        <w:rPr>
          <w:spacing w:val="-3"/>
          <w:w w:val="110"/>
        </w:rPr>
        <w:t xml:space="preserve"> </w:t>
      </w:r>
      <w:r>
        <w:rPr>
          <w:w w:val="110"/>
        </w:rPr>
        <w:t>towards</w:t>
      </w:r>
      <w:r>
        <w:rPr>
          <w:spacing w:val="-3"/>
          <w:w w:val="110"/>
        </w:rPr>
        <w:t xml:space="preserve"> </w:t>
      </w:r>
      <w:r>
        <w:rPr>
          <w:w w:val="110"/>
        </w:rPr>
        <w:t>military spending</w:t>
      </w:r>
      <w:r>
        <w:rPr>
          <w:spacing w:val="-2"/>
          <w:w w:val="110"/>
        </w:rPr>
        <w:t xml:space="preserve"> </w:t>
      </w:r>
      <w:r>
        <w:rPr>
          <w:w w:val="110"/>
        </w:rPr>
        <w:t>comes</w:t>
      </w:r>
      <w:r>
        <w:rPr>
          <w:spacing w:val="-2"/>
          <w:w w:val="110"/>
        </w:rPr>
        <w:t xml:space="preserve"> </w:t>
      </w:r>
      <w:r>
        <w:rPr>
          <w:w w:val="110"/>
        </w:rPr>
        <w:t>at</w:t>
      </w:r>
      <w:r>
        <w:rPr>
          <w:spacing w:val="-1"/>
          <w:w w:val="110"/>
        </w:rPr>
        <w:t xml:space="preserve"> </w:t>
      </w:r>
      <w:r>
        <w:rPr>
          <w:w w:val="110"/>
        </w:rPr>
        <w:t>a</w:t>
      </w:r>
      <w:r>
        <w:rPr>
          <w:spacing w:val="-1"/>
          <w:w w:val="110"/>
        </w:rPr>
        <w:t xml:space="preserve"> </w:t>
      </w:r>
      <w:r>
        <w:rPr>
          <w:w w:val="110"/>
        </w:rPr>
        <w:t>heavy cost</w:t>
      </w:r>
      <w:r>
        <w:rPr>
          <w:spacing w:val="-4"/>
          <w:w w:val="110"/>
        </w:rPr>
        <w:t xml:space="preserve"> </w:t>
      </w:r>
      <w:r>
        <w:rPr>
          <w:w w:val="110"/>
        </w:rPr>
        <w:t>to the climate.</w:t>
      </w:r>
      <w:r>
        <w:rPr>
          <w:spacing w:val="-3"/>
          <w:w w:val="110"/>
        </w:rPr>
        <w:t xml:space="preserve"> </w:t>
      </w:r>
      <w:r>
        <w:rPr>
          <w:w w:val="110"/>
        </w:rPr>
        <w:t>The Committee heard</w:t>
      </w:r>
      <w:r>
        <w:rPr>
          <w:spacing w:val="-1"/>
          <w:w w:val="110"/>
        </w:rPr>
        <w:t xml:space="preserve"> </w:t>
      </w:r>
      <w:r>
        <w:rPr>
          <w:w w:val="110"/>
        </w:rPr>
        <w:t>that</w:t>
      </w:r>
      <w:r>
        <w:rPr>
          <w:spacing w:val="-1"/>
          <w:w w:val="110"/>
        </w:rPr>
        <w:t xml:space="preserve"> </w:t>
      </w:r>
      <w:r>
        <w:rPr>
          <w:w w:val="110"/>
        </w:rPr>
        <w:t>in</w:t>
      </w:r>
      <w:r>
        <w:rPr>
          <w:spacing w:val="-1"/>
          <w:w w:val="110"/>
        </w:rPr>
        <w:t xml:space="preserve"> </w:t>
      </w:r>
      <w:r>
        <w:rPr>
          <w:w w:val="110"/>
        </w:rPr>
        <w:t>2019</w:t>
      </w:r>
      <w:r>
        <w:rPr>
          <w:spacing w:val="-1"/>
          <w:w w:val="110"/>
        </w:rPr>
        <w:t xml:space="preserve"> </w:t>
      </w:r>
      <w:r>
        <w:rPr>
          <w:w w:val="110"/>
        </w:rPr>
        <w:t>it</w:t>
      </w:r>
      <w:r>
        <w:rPr>
          <w:spacing w:val="-4"/>
          <w:w w:val="110"/>
        </w:rPr>
        <w:t xml:space="preserve"> </w:t>
      </w:r>
      <w:r>
        <w:rPr>
          <w:w w:val="110"/>
        </w:rPr>
        <w:t>was estimated that militaries and their supply chains were responsible for 5.5% of global greenhouse gas emissions, representing more than the emissions from international aviation and shipping sectors combined.</w:t>
      </w:r>
    </w:p>
    <w:p w:rsidR="00B84CED" w:rsidRDefault="00794452" w14:paraId="28D6138A" w14:textId="77777777">
      <w:pPr>
        <w:pStyle w:val="BodyText"/>
        <w:spacing w:before="150" w:line="357" w:lineRule="auto"/>
        <w:ind w:left="219" w:right="459"/>
      </w:pPr>
      <w:r>
        <w:rPr>
          <w:w w:val="110"/>
        </w:rPr>
        <w:t>Global</w:t>
      </w:r>
      <w:r>
        <w:rPr>
          <w:spacing w:val="-1"/>
          <w:w w:val="110"/>
        </w:rPr>
        <w:t xml:space="preserve"> </w:t>
      </w:r>
      <w:r>
        <w:rPr>
          <w:w w:val="110"/>
        </w:rPr>
        <w:t>military</w:t>
      </w:r>
      <w:r>
        <w:rPr>
          <w:spacing w:val="-4"/>
          <w:w w:val="110"/>
        </w:rPr>
        <w:t xml:space="preserve"> </w:t>
      </w:r>
      <w:r>
        <w:rPr>
          <w:w w:val="110"/>
        </w:rPr>
        <w:t>spending</w:t>
      </w:r>
      <w:r>
        <w:rPr>
          <w:spacing w:val="-3"/>
          <w:w w:val="110"/>
        </w:rPr>
        <w:t xml:space="preserve"> </w:t>
      </w:r>
      <w:r>
        <w:rPr>
          <w:w w:val="110"/>
        </w:rPr>
        <w:t>stood</w:t>
      </w:r>
      <w:r>
        <w:rPr>
          <w:spacing w:val="-2"/>
          <w:w w:val="110"/>
        </w:rPr>
        <w:t xml:space="preserve"> </w:t>
      </w:r>
      <w:r>
        <w:rPr>
          <w:w w:val="110"/>
        </w:rPr>
        <w:t>at</w:t>
      </w:r>
      <w:r>
        <w:rPr>
          <w:spacing w:val="-2"/>
          <w:w w:val="110"/>
        </w:rPr>
        <w:t xml:space="preserve"> </w:t>
      </w:r>
      <w:r>
        <w:rPr>
          <w:w w:val="110"/>
        </w:rPr>
        <w:t>$1.9</w:t>
      </w:r>
      <w:r>
        <w:rPr>
          <w:spacing w:val="-4"/>
          <w:w w:val="110"/>
        </w:rPr>
        <w:t xml:space="preserve"> </w:t>
      </w:r>
      <w:r>
        <w:rPr>
          <w:w w:val="110"/>
        </w:rPr>
        <w:t>trillion</w:t>
      </w:r>
      <w:r>
        <w:rPr>
          <w:spacing w:val="-2"/>
          <w:w w:val="110"/>
        </w:rPr>
        <w:t xml:space="preserve"> </w:t>
      </w:r>
      <w:r>
        <w:rPr>
          <w:w w:val="110"/>
        </w:rPr>
        <w:t>for</w:t>
      </w:r>
      <w:r>
        <w:rPr>
          <w:spacing w:val="-6"/>
          <w:w w:val="110"/>
        </w:rPr>
        <w:t xml:space="preserve"> </w:t>
      </w:r>
      <w:r>
        <w:rPr>
          <w:w w:val="110"/>
        </w:rPr>
        <w:t>the year</w:t>
      </w:r>
      <w:r>
        <w:rPr>
          <w:spacing w:val="-1"/>
          <w:w w:val="110"/>
        </w:rPr>
        <w:t xml:space="preserve"> </w:t>
      </w:r>
      <w:r>
        <w:rPr>
          <w:w w:val="110"/>
        </w:rPr>
        <w:t>2019</w:t>
      </w:r>
      <w:r>
        <w:rPr>
          <w:spacing w:val="-4"/>
          <w:w w:val="110"/>
        </w:rPr>
        <w:t xml:space="preserve"> </w:t>
      </w:r>
      <w:r>
        <w:rPr>
          <w:w w:val="110"/>
        </w:rPr>
        <w:t>with</w:t>
      </w:r>
      <w:r>
        <w:rPr>
          <w:spacing w:val="-2"/>
          <w:w w:val="110"/>
        </w:rPr>
        <w:t xml:space="preserve"> </w:t>
      </w:r>
      <w:r>
        <w:rPr>
          <w:w w:val="110"/>
        </w:rPr>
        <w:t>this</w:t>
      </w:r>
      <w:r>
        <w:rPr>
          <w:spacing w:val="-1"/>
          <w:w w:val="110"/>
        </w:rPr>
        <w:t xml:space="preserve"> </w:t>
      </w:r>
      <w:r>
        <w:rPr>
          <w:w w:val="110"/>
        </w:rPr>
        <w:t>figure increasing to a record spend of $2.7 trillion by 2024. The Committee heard that if current trends persist, global military spending could reach $6.6 trillion by 2025, which is almost five times the level at the</w:t>
      </w:r>
      <w:r>
        <w:rPr>
          <w:spacing w:val="-1"/>
          <w:w w:val="110"/>
        </w:rPr>
        <w:t xml:space="preserve"> </w:t>
      </w:r>
      <w:r>
        <w:rPr>
          <w:w w:val="110"/>
        </w:rPr>
        <w:t>end of the Cold</w:t>
      </w:r>
      <w:r>
        <w:rPr>
          <w:spacing w:val="-1"/>
          <w:w w:val="110"/>
        </w:rPr>
        <w:t xml:space="preserve"> </w:t>
      </w:r>
      <w:r>
        <w:rPr>
          <w:w w:val="110"/>
        </w:rPr>
        <w:t>War and</w:t>
      </w:r>
      <w:r>
        <w:rPr>
          <w:spacing w:val="-1"/>
          <w:w w:val="110"/>
        </w:rPr>
        <w:t xml:space="preserve"> </w:t>
      </w:r>
      <w:r>
        <w:rPr>
          <w:w w:val="110"/>
        </w:rPr>
        <w:t>more than twice the expenditure of 2024.</w:t>
      </w:r>
    </w:p>
    <w:p w:rsidR="00B84CED" w:rsidRDefault="00794452" w14:paraId="37B85F3D" w14:textId="77777777">
      <w:pPr>
        <w:pStyle w:val="BodyText"/>
        <w:spacing w:before="161" w:line="357" w:lineRule="auto"/>
        <w:ind w:left="219" w:right="431"/>
      </w:pPr>
      <w:r>
        <w:rPr>
          <w:w w:val="110"/>
        </w:rPr>
        <w:t>Witnesses observed that in theory, ReArm Europe is intended to protect and maintain Europe’s safety and security, but by jeopardising efforts to mitigate the climate crisis and weakening</w:t>
      </w:r>
      <w:r>
        <w:rPr>
          <w:spacing w:val="-4"/>
          <w:w w:val="110"/>
        </w:rPr>
        <w:t xml:space="preserve"> </w:t>
      </w:r>
      <w:r>
        <w:rPr>
          <w:w w:val="110"/>
        </w:rPr>
        <w:t>capacity</w:t>
      </w:r>
      <w:r>
        <w:rPr>
          <w:spacing w:val="-2"/>
          <w:w w:val="110"/>
        </w:rPr>
        <w:t xml:space="preserve"> </w:t>
      </w:r>
      <w:r>
        <w:rPr>
          <w:w w:val="110"/>
        </w:rPr>
        <w:t>to</w:t>
      </w:r>
      <w:r>
        <w:rPr>
          <w:spacing w:val="-4"/>
          <w:w w:val="110"/>
        </w:rPr>
        <w:t xml:space="preserve"> </w:t>
      </w:r>
      <w:r>
        <w:rPr>
          <w:w w:val="110"/>
        </w:rPr>
        <w:t>adapt</w:t>
      </w:r>
      <w:r>
        <w:rPr>
          <w:spacing w:val="-3"/>
          <w:w w:val="110"/>
        </w:rPr>
        <w:t xml:space="preserve"> </w:t>
      </w:r>
      <w:r>
        <w:rPr>
          <w:w w:val="110"/>
        </w:rPr>
        <w:t>to</w:t>
      </w:r>
      <w:r>
        <w:rPr>
          <w:spacing w:val="-1"/>
          <w:w w:val="110"/>
        </w:rPr>
        <w:t xml:space="preserve"> </w:t>
      </w:r>
      <w:r>
        <w:rPr>
          <w:w w:val="110"/>
        </w:rPr>
        <w:t>climate</w:t>
      </w:r>
      <w:r>
        <w:rPr>
          <w:spacing w:val="-4"/>
          <w:w w:val="110"/>
        </w:rPr>
        <w:t xml:space="preserve"> </w:t>
      </w:r>
      <w:r>
        <w:rPr>
          <w:w w:val="110"/>
        </w:rPr>
        <w:t>impacts,</w:t>
      </w:r>
      <w:r>
        <w:rPr>
          <w:spacing w:val="-5"/>
          <w:w w:val="110"/>
        </w:rPr>
        <w:t xml:space="preserve"> </w:t>
      </w:r>
      <w:r>
        <w:rPr>
          <w:w w:val="110"/>
        </w:rPr>
        <w:t>the</w:t>
      </w:r>
      <w:r>
        <w:rPr>
          <w:spacing w:val="-1"/>
          <w:w w:val="110"/>
        </w:rPr>
        <w:t xml:space="preserve"> </w:t>
      </w:r>
      <w:r>
        <w:rPr>
          <w:w w:val="110"/>
        </w:rPr>
        <w:t>plan</w:t>
      </w:r>
      <w:r>
        <w:rPr>
          <w:spacing w:val="-3"/>
          <w:w w:val="110"/>
        </w:rPr>
        <w:t xml:space="preserve"> </w:t>
      </w:r>
      <w:r>
        <w:rPr>
          <w:w w:val="110"/>
        </w:rPr>
        <w:t>prioritises</w:t>
      </w:r>
      <w:r>
        <w:rPr>
          <w:spacing w:val="-2"/>
          <w:w w:val="110"/>
        </w:rPr>
        <w:t xml:space="preserve"> </w:t>
      </w:r>
      <w:r>
        <w:rPr>
          <w:w w:val="110"/>
        </w:rPr>
        <w:t>short</w:t>
      </w:r>
      <w:r>
        <w:rPr>
          <w:spacing w:val="-6"/>
          <w:w w:val="110"/>
        </w:rPr>
        <w:t xml:space="preserve"> </w:t>
      </w:r>
      <w:r>
        <w:rPr>
          <w:w w:val="110"/>
        </w:rPr>
        <w:t>term</w:t>
      </w:r>
      <w:r>
        <w:rPr>
          <w:spacing w:val="-6"/>
          <w:w w:val="110"/>
        </w:rPr>
        <w:t xml:space="preserve"> </w:t>
      </w:r>
      <w:r>
        <w:rPr>
          <w:w w:val="110"/>
        </w:rPr>
        <w:t>security</w:t>
      </w:r>
      <w:r>
        <w:rPr>
          <w:spacing w:val="-2"/>
          <w:w w:val="110"/>
        </w:rPr>
        <w:t xml:space="preserve"> </w:t>
      </w:r>
      <w:r>
        <w:rPr>
          <w:w w:val="110"/>
        </w:rPr>
        <w:t>at the expense</w:t>
      </w:r>
      <w:r>
        <w:rPr>
          <w:spacing w:val="-3"/>
          <w:w w:val="110"/>
        </w:rPr>
        <w:t xml:space="preserve"> </w:t>
      </w:r>
      <w:r>
        <w:rPr>
          <w:w w:val="110"/>
        </w:rPr>
        <w:t>of</w:t>
      </w:r>
      <w:r>
        <w:rPr>
          <w:spacing w:val="-3"/>
          <w:w w:val="110"/>
        </w:rPr>
        <w:t xml:space="preserve"> </w:t>
      </w:r>
      <w:r>
        <w:rPr>
          <w:w w:val="110"/>
        </w:rPr>
        <w:t>our</w:t>
      </w:r>
      <w:r>
        <w:rPr>
          <w:spacing w:val="-1"/>
          <w:w w:val="110"/>
        </w:rPr>
        <w:t xml:space="preserve"> </w:t>
      </w:r>
      <w:r>
        <w:rPr>
          <w:w w:val="110"/>
        </w:rPr>
        <w:t>collective long-term</w:t>
      </w:r>
      <w:r>
        <w:rPr>
          <w:spacing w:val="-5"/>
          <w:w w:val="110"/>
        </w:rPr>
        <w:t xml:space="preserve"> </w:t>
      </w:r>
      <w:r>
        <w:rPr>
          <w:w w:val="110"/>
        </w:rPr>
        <w:t>security.</w:t>
      </w:r>
      <w:r>
        <w:rPr>
          <w:spacing w:val="-4"/>
          <w:w w:val="110"/>
        </w:rPr>
        <w:t xml:space="preserve"> </w:t>
      </w:r>
      <w:r>
        <w:rPr>
          <w:w w:val="110"/>
        </w:rPr>
        <w:t>Further,</w:t>
      </w:r>
      <w:r>
        <w:rPr>
          <w:spacing w:val="-4"/>
          <w:w w:val="110"/>
        </w:rPr>
        <w:t xml:space="preserve"> </w:t>
      </w:r>
      <w:r>
        <w:rPr>
          <w:w w:val="110"/>
        </w:rPr>
        <w:t>while data</w:t>
      </w:r>
      <w:r>
        <w:rPr>
          <w:spacing w:val="-4"/>
          <w:w w:val="110"/>
        </w:rPr>
        <w:t xml:space="preserve"> </w:t>
      </w:r>
      <w:r>
        <w:rPr>
          <w:w w:val="110"/>
        </w:rPr>
        <w:t>on</w:t>
      </w:r>
      <w:r>
        <w:rPr>
          <w:spacing w:val="-5"/>
          <w:w w:val="110"/>
        </w:rPr>
        <w:t xml:space="preserve"> </w:t>
      </w:r>
      <w:r>
        <w:rPr>
          <w:w w:val="110"/>
        </w:rPr>
        <w:t>military</w:t>
      </w:r>
      <w:r>
        <w:rPr>
          <w:spacing w:val="-4"/>
          <w:w w:val="110"/>
        </w:rPr>
        <w:t xml:space="preserve"> </w:t>
      </w:r>
      <w:r>
        <w:rPr>
          <w:w w:val="110"/>
        </w:rPr>
        <w:t>emissions is patchy, the research is clear that unconstrained military spending is incompatible with the EU’s commitment to reach net zero by 2025.</w:t>
      </w:r>
    </w:p>
    <w:p w:rsidR="00B84CED" w:rsidRDefault="00794452" w14:paraId="372A734A" w14:textId="77777777">
      <w:pPr>
        <w:pStyle w:val="BodyText"/>
        <w:spacing w:before="162" w:line="357" w:lineRule="auto"/>
        <w:ind w:left="219" w:right="457"/>
        <w:rPr>
          <w:position w:val="8"/>
          <w:sz w:val="13"/>
        </w:rPr>
      </w:pPr>
      <w:r>
        <w:rPr>
          <w:w w:val="110"/>
        </w:rPr>
        <w:t>It was emphasised that increases in military spending will directly increase emissions.</w:t>
      </w:r>
      <w:r>
        <w:rPr>
          <w:spacing w:val="40"/>
          <w:w w:val="110"/>
        </w:rPr>
        <w:t xml:space="preserve"> </w:t>
      </w:r>
      <w:r>
        <w:rPr>
          <w:w w:val="110"/>
        </w:rPr>
        <w:t>This</w:t>
      </w:r>
      <w:r>
        <w:rPr>
          <w:spacing w:val="-2"/>
          <w:w w:val="110"/>
        </w:rPr>
        <w:t xml:space="preserve"> </w:t>
      </w:r>
      <w:r>
        <w:rPr>
          <w:w w:val="110"/>
        </w:rPr>
        <w:t>in</w:t>
      </w:r>
      <w:r>
        <w:rPr>
          <w:spacing w:val="-5"/>
          <w:w w:val="110"/>
        </w:rPr>
        <w:t xml:space="preserve"> </w:t>
      </w:r>
      <w:r>
        <w:rPr>
          <w:w w:val="110"/>
        </w:rPr>
        <w:t>turn</w:t>
      </w:r>
      <w:r>
        <w:rPr>
          <w:spacing w:val="-5"/>
          <w:w w:val="110"/>
        </w:rPr>
        <w:t xml:space="preserve"> </w:t>
      </w:r>
      <w:r>
        <w:rPr>
          <w:w w:val="110"/>
        </w:rPr>
        <w:t>will</w:t>
      </w:r>
      <w:r>
        <w:rPr>
          <w:spacing w:val="-5"/>
          <w:w w:val="110"/>
        </w:rPr>
        <w:t xml:space="preserve"> </w:t>
      </w:r>
      <w:r>
        <w:rPr>
          <w:w w:val="110"/>
        </w:rPr>
        <w:t>worsen</w:t>
      </w:r>
      <w:r>
        <w:rPr>
          <w:spacing w:val="-3"/>
          <w:w w:val="110"/>
        </w:rPr>
        <w:t xml:space="preserve"> </w:t>
      </w:r>
      <w:r>
        <w:rPr>
          <w:w w:val="110"/>
        </w:rPr>
        <w:t>the</w:t>
      </w:r>
      <w:r>
        <w:rPr>
          <w:spacing w:val="-1"/>
          <w:w w:val="110"/>
        </w:rPr>
        <w:t xml:space="preserve"> </w:t>
      </w:r>
      <w:r>
        <w:rPr>
          <w:w w:val="110"/>
        </w:rPr>
        <w:t>climate</w:t>
      </w:r>
      <w:r>
        <w:rPr>
          <w:spacing w:val="-1"/>
          <w:w w:val="110"/>
        </w:rPr>
        <w:t xml:space="preserve"> </w:t>
      </w:r>
      <w:r>
        <w:rPr>
          <w:w w:val="110"/>
        </w:rPr>
        <w:t>crisis</w:t>
      </w:r>
      <w:r>
        <w:rPr>
          <w:spacing w:val="-2"/>
          <w:w w:val="110"/>
        </w:rPr>
        <w:t xml:space="preserve"> </w:t>
      </w:r>
      <w:r>
        <w:rPr>
          <w:w w:val="110"/>
        </w:rPr>
        <w:t>and</w:t>
      </w:r>
      <w:r>
        <w:rPr>
          <w:spacing w:val="-6"/>
          <w:w w:val="110"/>
        </w:rPr>
        <w:t xml:space="preserve"> </w:t>
      </w:r>
      <w:r>
        <w:rPr>
          <w:w w:val="110"/>
        </w:rPr>
        <w:t>render</w:t>
      </w:r>
      <w:r>
        <w:rPr>
          <w:spacing w:val="-2"/>
          <w:w w:val="110"/>
        </w:rPr>
        <w:t xml:space="preserve"> </w:t>
      </w:r>
      <w:r>
        <w:rPr>
          <w:w w:val="110"/>
        </w:rPr>
        <w:t>the</w:t>
      </w:r>
      <w:r>
        <w:rPr>
          <w:spacing w:val="-1"/>
          <w:w w:val="110"/>
        </w:rPr>
        <w:t xml:space="preserve"> </w:t>
      </w:r>
      <w:r>
        <w:rPr>
          <w:w w:val="110"/>
        </w:rPr>
        <w:t>Paris</w:t>
      </w:r>
      <w:r>
        <w:rPr>
          <w:spacing w:val="-4"/>
          <w:w w:val="110"/>
        </w:rPr>
        <w:t xml:space="preserve"> </w:t>
      </w:r>
      <w:r>
        <w:rPr>
          <w:w w:val="110"/>
        </w:rPr>
        <w:t>Agreement</w:t>
      </w:r>
      <w:r>
        <w:rPr>
          <w:spacing w:val="-5"/>
          <w:w w:val="110"/>
        </w:rPr>
        <w:t xml:space="preserve"> </w:t>
      </w:r>
      <w:r>
        <w:rPr>
          <w:w w:val="110"/>
        </w:rPr>
        <w:t>goals</w:t>
      </w:r>
      <w:r>
        <w:rPr>
          <w:spacing w:val="-4"/>
          <w:w w:val="110"/>
        </w:rPr>
        <w:t xml:space="preserve"> </w:t>
      </w:r>
      <w:r>
        <w:rPr>
          <w:w w:val="110"/>
        </w:rPr>
        <w:t>of</w:t>
      </w:r>
      <w:r>
        <w:rPr>
          <w:spacing w:val="-2"/>
          <w:w w:val="110"/>
        </w:rPr>
        <w:t xml:space="preserve"> </w:t>
      </w:r>
      <w:r>
        <w:rPr>
          <w:w w:val="110"/>
        </w:rPr>
        <w:t>limiting warming to 1.5 degrees Celsius impossible. The Conflict and Environment Observatory estimate that the climate impact of ReArm Europe, taken alongside NATO’s spending increase, will create up to €264 billion of climate damage per year.</w:t>
      </w:r>
      <w:hyperlink w:history="1" w:anchor="_bookmark25">
        <w:r>
          <w:rPr>
            <w:w w:val="110"/>
            <w:position w:val="8"/>
            <w:sz w:val="13"/>
          </w:rPr>
          <w:t>11</w:t>
        </w:r>
      </w:hyperlink>
      <w:r>
        <w:rPr>
          <w:spacing w:val="80"/>
          <w:w w:val="110"/>
          <w:position w:val="8"/>
          <w:sz w:val="13"/>
        </w:rPr>
        <w:t xml:space="preserve"> </w:t>
      </w:r>
      <w:r>
        <w:rPr>
          <w:w w:val="110"/>
        </w:rPr>
        <w:t>Attention was drawn to the</w:t>
      </w:r>
      <w:r>
        <w:rPr>
          <w:spacing w:val="-1"/>
          <w:w w:val="110"/>
        </w:rPr>
        <w:t xml:space="preserve"> </w:t>
      </w:r>
      <w:r>
        <w:rPr>
          <w:w w:val="110"/>
        </w:rPr>
        <w:t>shift</w:t>
      </w:r>
      <w:r>
        <w:rPr>
          <w:spacing w:val="-4"/>
          <w:w w:val="110"/>
        </w:rPr>
        <w:t xml:space="preserve"> </w:t>
      </w:r>
      <w:r>
        <w:rPr>
          <w:w w:val="110"/>
        </w:rPr>
        <w:t>in focus from the</w:t>
      </w:r>
      <w:r>
        <w:rPr>
          <w:spacing w:val="-1"/>
          <w:w w:val="110"/>
        </w:rPr>
        <w:t xml:space="preserve"> </w:t>
      </w:r>
      <w:r>
        <w:rPr>
          <w:w w:val="110"/>
        </w:rPr>
        <w:t>European</w:t>
      </w:r>
      <w:r>
        <w:rPr>
          <w:spacing w:val="-3"/>
          <w:w w:val="110"/>
        </w:rPr>
        <w:t xml:space="preserve"> </w:t>
      </w:r>
      <w:r>
        <w:rPr>
          <w:w w:val="110"/>
        </w:rPr>
        <w:t>Green Deal</w:t>
      </w:r>
      <w:r>
        <w:rPr>
          <w:spacing w:val="-3"/>
          <w:w w:val="110"/>
        </w:rPr>
        <w:t xml:space="preserve"> </w:t>
      </w:r>
      <w:r>
        <w:rPr>
          <w:w w:val="110"/>
        </w:rPr>
        <w:t>to the current</w:t>
      </w:r>
      <w:r>
        <w:rPr>
          <w:spacing w:val="-4"/>
          <w:w w:val="110"/>
        </w:rPr>
        <w:t xml:space="preserve"> </w:t>
      </w:r>
      <w:r>
        <w:rPr>
          <w:w w:val="110"/>
        </w:rPr>
        <w:t>focus on military and</w:t>
      </w:r>
      <w:r>
        <w:rPr>
          <w:spacing w:val="-3"/>
          <w:w w:val="110"/>
        </w:rPr>
        <w:t xml:space="preserve"> </w:t>
      </w:r>
      <w:r>
        <w:rPr>
          <w:w w:val="110"/>
        </w:rPr>
        <w:t>defence</w:t>
      </w:r>
      <w:r>
        <w:rPr>
          <w:spacing w:val="-4"/>
          <w:w w:val="110"/>
        </w:rPr>
        <w:t xml:space="preserve"> </w:t>
      </w:r>
      <w:r>
        <w:rPr>
          <w:w w:val="110"/>
        </w:rPr>
        <w:t>with</w:t>
      </w:r>
      <w:r>
        <w:rPr>
          <w:spacing w:val="-5"/>
          <w:w w:val="110"/>
        </w:rPr>
        <w:t xml:space="preserve"> </w:t>
      </w:r>
      <w:r>
        <w:rPr>
          <w:w w:val="110"/>
        </w:rPr>
        <w:t>representatives</w:t>
      </w:r>
      <w:r>
        <w:rPr>
          <w:spacing w:val="-4"/>
          <w:w w:val="110"/>
        </w:rPr>
        <w:t xml:space="preserve"> </w:t>
      </w:r>
      <w:r>
        <w:rPr>
          <w:w w:val="110"/>
        </w:rPr>
        <w:t>of</w:t>
      </w:r>
      <w:r>
        <w:rPr>
          <w:spacing w:val="-2"/>
          <w:w w:val="110"/>
        </w:rPr>
        <w:t xml:space="preserve"> </w:t>
      </w:r>
      <w:r>
        <w:rPr>
          <w:w w:val="110"/>
        </w:rPr>
        <w:t>the</w:t>
      </w:r>
      <w:r>
        <w:rPr>
          <w:spacing w:val="-4"/>
          <w:w w:val="110"/>
        </w:rPr>
        <w:t xml:space="preserve"> </w:t>
      </w:r>
      <w:r>
        <w:rPr>
          <w:w w:val="110"/>
        </w:rPr>
        <w:t>Conflict</w:t>
      </w:r>
      <w:r>
        <w:rPr>
          <w:spacing w:val="-5"/>
          <w:w w:val="110"/>
        </w:rPr>
        <w:t xml:space="preserve"> </w:t>
      </w:r>
      <w:r>
        <w:rPr>
          <w:w w:val="110"/>
        </w:rPr>
        <w:t>and</w:t>
      </w:r>
      <w:r>
        <w:rPr>
          <w:spacing w:val="-3"/>
          <w:w w:val="110"/>
        </w:rPr>
        <w:t xml:space="preserve"> </w:t>
      </w:r>
      <w:r>
        <w:rPr>
          <w:w w:val="110"/>
        </w:rPr>
        <w:t>Environment</w:t>
      </w:r>
      <w:r>
        <w:rPr>
          <w:spacing w:val="-3"/>
          <w:w w:val="110"/>
        </w:rPr>
        <w:t xml:space="preserve"> </w:t>
      </w:r>
      <w:r>
        <w:rPr>
          <w:w w:val="110"/>
        </w:rPr>
        <w:t>Observatory</w:t>
      </w:r>
      <w:r>
        <w:rPr>
          <w:spacing w:val="-5"/>
          <w:w w:val="110"/>
        </w:rPr>
        <w:t xml:space="preserve"> </w:t>
      </w:r>
      <w:r>
        <w:rPr>
          <w:w w:val="110"/>
        </w:rPr>
        <w:t>telling</w:t>
      </w:r>
      <w:r>
        <w:rPr>
          <w:spacing w:val="-1"/>
          <w:w w:val="110"/>
        </w:rPr>
        <w:t xml:space="preserve"> </w:t>
      </w:r>
      <w:r>
        <w:rPr>
          <w:w w:val="110"/>
        </w:rPr>
        <w:t xml:space="preserve">the Committee that in comparison to efforts being made towards military and defence “we have not really seen this kind of mobilisation and this framing of the climate </w:t>
      </w:r>
      <w:r>
        <w:rPr>
          <w:spacing w:val="-2"/>
          <w:w w:val="110"/>
        </w:rPr>
        <w:t>emergency.”</w:t>
      </w:r>
      <w:hyperlink w:history="1" w:anchor="_bookmark26">
        <w:r>
          <w:rPr>
            <w:spacing w:val="-2"/>
            <w:w w:val="110"/>
            <w:position w:val="8"/>
            <w:sz w:val="13"/>
          </w:rPr>
          <w:t>12</w:t>
        </w:r>
      </w:hyperlink>
    </w:p>
    <w:p w:rsidR="00B84CED" w:rsidRDefault="00B84CED" w14:paraId="7295A656" w14:textId="77777777">
      <w:pPr>
        <w:pStyle w:val="BodyText"/>
        <w:rPr>
          <w:sz w:val="20"/>
        </w:rPr>
      </w:pPr>
    </w:p>
    <w:p w:rsidR="00B84CED" w:rsidRDefault="00B84CED" w14:paraId="721B23E1" w14:textId="77777777">
      <w:pPr>
        <w:pStyle w:val="BodyText"/>
        <w:rPr>
          <w:sz w:val="20"/>
        </w:rPr>
      </w:pPr>
    </w:p>
    <w:p w:rsidR="00B84CED" w:rsidRDefault="00794452" w14:paraId="163C6BA6" w14:textId="77777777">
      <w:pPr>
        <w:pStyle w:val="BodyText"/>
        <w:spacing w:before="89"/>
        <w:rPr>
          <w:sz w:val="20"/>
        </w:rPr>
      </w:pPr>
      <w:r>
        <w:rPr>
          <w:noProof/>
          <w:sz w:val="20"/>
        </w:rPr>
        <mc:AlternateContent>
          <mc:Choice Requires="wps">
            <w:drawing>
              <wp:anchor distT="0" distB="0" distL="0" distR="0" simplePos="0" relativeHeight="487592448" behindDoc="1" locked="0" layoutInCell="1" allowOverlap="1" wp14:editId="350175CF" wp14:anchorId="63F47A37">
                <wp:simplePos x="0" y="0"/>
                <wp:positionH relativeFrom="page">
                  <wp:posOffset>900683</wp:posOffset>
                </wp:positionH>
                <wp:positionV relativeFrom="paragraph">
                  <wp:posOffset>227099</wp:posOffset>
                </wp:positionV>
                <wp:extent cx="1828800" cy="9525"/>
                <wp:effectExtent l="0" t="0" r="0" b="0"/>
                <wp:wrapTopAndBottom/>
                <wp:docPr id="11"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72" style="position:absolute;margin-left:70.9pt;margin-top:17.9pt;width:2in;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3r1828800,l1828800,xe" w14:anchorId="0087CF6B">
                <v:path arrowok="t"/>
                <w10:wrap type="topAndBottom" anchorx="page"/>
              </v:shape>
            </w:pict>
          </mc:Fallback>
        </mc:AlternateContent>
      </w:r>
    </w:p>
    <w:p w:rsidR="00B84CED" w:rsidRDefault="00794452" w14:paraId="26FA6AFD" w14:textId="77777777">
      <w:pPr>
        <w:spacing w:before="123"/>
        <w:ind w:left="1"/>
        <w:rPr>
          <w:sz w:val="16"/>
        </w:rPr>
      </w:pPr>
      <w:bookmarkStart w:name="_bookmark25" w:id="48"/>
      <w:bookmarkEnd w:id="48"/>
      <w:r>
        <w:rPr>
          <w:w w:val="115"/>
          <w:position w:val="6"/>
          <w:sz w:val="10"/>
        </w:rPr>
        <w:t>11</w:t>
      </w:r>
      <w:r>
        <w:rPr>
          <w:spacing w:val="12"/>
          <w:w w:val="115"/>
          <w:position w:val="6"/>
          <w:sz w:val="10"/>
        </w:rPr>
        <w:t xml:space="preserve"> </w:t>
      </w:r>
      <w:hyperlink r:id="rId34">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 24.09.25</w:t>
        </w:r>
        <w:r>
          <w:rPr>
            <w:color w:val="0000FF"/>
            <w:spacing w:val="-2"/>
            <w:w w:val="115"/>
            <w:sz w:val="16"/>
            <w:u w:val="single" w:color="0000FF"/>
          </w:rPr>
          <w:t xml:space="preserve"> </w:t>
        </w:r>
        <w:r>
          <w:rPr>
            <w:color w:val="0000FF"/>
            <w:spacing w:val="-4"/>
            <w:w w:val="115"/>
            <w:sz w:val="16"/>
            <w:u w:val="single" w:color="0000FF"/>
          </w:rPr>
          <w:t>p.17</w:t>
        </w:r>
      </w:hyperlink>
    </w:p>
    <w:p w:rsidR="00B84CED" w:rsidRDefault="00B84CED" w14:paraId="6FE741C6" w14:textId="77777777">
      <w:pPr>
        <w:pStyle w:val="BodyText"/>
        <w:spacing w:before="21"/>
        <w:rPr>
          <w:sz w:val="16"/>
        </w:rPr>
      </w:pPr>
    </w:p>
    <w:p w:rsidR="00B84CED" w:rsidRDefault="00794452" w14:paraId="15D34F47" w14:textId="77777777">
      <w:pPr>
        <w:spacing w:before="1"/>
        <w:ind w:left="1"/>
        <w:rPr>
          <w:sz w:val="16"/>
        </w:rPr>
      </w:pPr>
      <w:bookmarkStart w:name="_bookmark26" w:id="49"/>
      <w:bookmarkEnd w:id="49"/>
      <w:r>
        <w:rPr>
          <w:w w:val="115"/>
          <w:position w:val="6"/>
          <w:sz w:val="10"/>
        </w:rPr>
        <w:t>12</w:t>
      </w:r>
      <w:r>
        <w:rPr>
          <w:spacing w:val="12"/>
          <w:w w:val="115"/>
          <w:position w:val="6"/>
          <w:sz w:val="10"/>
        </w:rPr>
        <w:t xml:space="preserve"> </w:t>
      </w:r>
      <w:hyperlink r:id="rId35">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 24.09.25</w:t>
        </w:r>
        <w:r>
          <w:rPr>
            <w:color w:val="0000FF"/>
            <w:spacing w:val="-2"/>
            <w:w w:val="115"/>
            <w:sz w:val="16"/>
            <w:u w:val="single" w:color="0000FF"/>
          </w:rPr>
          <w:t xml:space="preserve"> </w:t>
        </w:r>
        <w:r>
          <w:rPr>
            <w:color w:val="0000FF"/>
            <w:spacing w:val="-4"/>
            <w:w w:val="115"/>
            <w:sz w:val="16"/>
            <w:u w:val="single" w:color="0000FF"/>
          </w:rPr>
          <w:t>p.17</w:t>
        </w:r>
      </w:hyperlink>
    </w:p>
    <w:p w:rsidR="00B84CED" w:rsidRDefault="00B84CED" w14:paraId="6695247E" w14:textId="77777777">
      <w:pPr>
        <w:rPr>
          <w:sz w:val="16"/>
        </w:rPr>
        <w:sectPr w:rsidR="00B84CED" w:rsidSect="00196DB0">
          <w:footerReference w:type="even" r:id="R60dd5eb38f874bcb"/>
          <w:footerReference w:type="first" r:id="R6f62017ce4994d50"/>
          <w:headerReference w:type="even" r:id="R201f52f10b3542c0"/>
          <w:headerReference w:type="first" r:id="R475505d409fb496a"/>
          <w:pgSz w:w="11907" w:h="16839"/>
          <w:pgMar w:top="1134" w:right="1134" w:bottom="1134" w:left="1134" w:header="567" w:footer="567" w:gutter="0"/>
          <w:cols w:space="720"/>
          <w:docGrid w:linePitch="299"/>
        </w:sectPr>
      </w:pPr>
    </w:p>
    <w:p w:rsidR="00B84CED" w:rsidRDefault="00794452" w14:paraId="02A5DD7A" w14:textId="77777777">
      <w:pPr>
        <w:pStyle w:val="BodyText"/>
        <w:spacing w:before="109" w:line="357" w:lineRule="auto"/>
        <w:ind w:left="219" w:right="459"/>
        <w:rPr>
          <w:position w:val="8"/>
          <w:sz w:val="13"/>
        </w:rPr>
      </w:pPr>
      <w:r>
        <w:rPr>
          <w:w w:val="110"/>
        </w:rPr>
        <w:lastRenderedPageBreak/>
        <w:t>The Committee heard about the “military emissions gap” which is a term to describe the difference between what is reported by EU militaries to the United Nations Framework Convention</w:t>
      </w:r>
      <w:r>
        <w:rPr>
          <w:spacing w:val="-3"/>
          <w:w w:val="110"/>
        </w:rPr>
        <w:t xml:space="preserve"> </w:t>
      </w:r>
      <w:r>
        <w:rPr>
          <w:w w:val="110"/>
        </w:rPr>
        <w:t>on</w:t>
      </w:r>
      <w:r>
        <w:rPr>
          <w:spacing w:val="-1"/>
          <w:w w:val="110"/>
        </w:rPr>
        <w:t xml:space="preserve"> </w:t>
      </w:r>
      <w:r>
        <w:rPr>
          <w:w w:val="110"/>
        </w:rPr>
        <w:t>Climate Change</w:t>
      </w:r>
      <w:r>
        <w:rPr>
          <w:spacing w:val="-2"/>
          <w:w w:val="110"/>
        </w:rPr>
        <w:t xml:space="preserve"> </w:t>
      </w:r>
      <w:r>
        <w:rPr>
          <w:w w:val="110"/>
        </w:rPr>
        <w:t>(UNFCCC)</w:t>
      </w:r>
      <w:r>
        <w:rPr>
          <w:spacing w:val="-2"/>
          <w:w w:val="110"/>
        </w:rPr>
        <w:t xml:space="preserve"> </w:t>
      </w:r>
      <w:r>
        <w:rPr>
          <w:w w:val="110"/>
        </w:rPr>
        <w:t>in</w:t>
      </w:r>
      <w:r>
        <w:rPr>
          <w:spacing w:val="-1"/>
          <w:w w:val="110"/>
        </w:rPr>
        <w:t xml:space="preserve"> </w:t>
      </w:r>
      <w:r>
        <w:rPr>
          <w:w w:val="110"/>
        </w:rPr>
        <w:t>terms of</w:t>
      </w:r>
      <w:r>
        <w:rPr>
          <w:spacing w:val="-2"/>
          <w:w w:val="110"/>
        </w:rPr>
        <w:t xml:space="preserve"> </w:t>
      </w:r>
      <w:r>
        <w:rPr>
          <w:w w:val="110"/>
        </w:rPr>
        <w:t>emissions versus</w:t>
      </w:r>
      <w:r>
        <w:rPr>
          <w:spacing w:val="-2"/>
          <w:w w:val="110"/>
        </w:rPr>
        <w:t xml:space="preserve"> </w:t>
      </w:r>
      <w:r>
        <w:rPr>
          <w:w w:val="110"/>
        </w:rPr>
        <w:t>how much</w:t>
      </w:r>
      <w:r>
        <w:rPr>
          <w:spacing w:val="-1"/>
          <w:w w:val="110"/>
        </w:rPr>
        <w:t xml:space="preserve"> </w:t>
      </w:r>
      <w:r>
        <w:rPr>
          <w:w w:val="110"/>
        </w:rPr>
        <w:t>climate damage they are actually responsible for in the carrying out of military activity. Recent estimates put the military emission gap at 82%.</w:t>
      </w:r>
      <w:hyperlink w:history="1" w:anchor="_bookmark28">
        <w:r>
          <w:rPr>
            <w:w w:val="110"/>
            <w:position w:val="8"/>
            <w:sz w:val="13"/>
          </w:rPr>
          <w:t>13</w:t>
        </w:r>
      </w:hyperlink>
    </w:p>
    <w:p w:rsidR="00B84CED" w:rsidRDefault="00794452" w14:paraId="302E53C8" w14:textId="77777777">
      <w:pPr>
        <w:pStyle w:val="BodyText"/>
        <w:spacing w:before="161" w:line="357" w:lineRule="auto"/>
        <w:ind w:left="219" w:right="459"/>
      </w:pPr>
      <w:r>
        <w:rPr>
          <w:w w:val="110"/>
        </w:rPr>
        <w:t>While it now seems clear that there are going to be substantial increases in military procurement,</w:t>
      </w:r>
      <w:r>
        <w:rPr>
          <w:spacing w:val="-4"/>
          <w:w w:val="110"/>
        </w:rPr>
        <w:t xml:space="preserve"> </w:t>
      </w:r>
      <w:r>
        <w:rPr>
          <w:w w:val="110"/>
        </w:rPr>
        <w:t>witnesses</w:t>
      </w:r>
      <w:r>
        <w:rPr>
          <w:spacing w:val="-6"/>
          <w:w w:val="110"/>
        </w:rPr>
        <w:t xml:space="preserve"> </w:t>
      </w:r>
      <w:r>
        <w:rPr>
          <w:w w:val="110"/>
        </w:rPr>
        <w:t>reminded</w:t>
      </w:r>
      <w:r>
        <w:rPr>
          <w:spacing w:val="-2"/>
          <w:w w:val="110"/>
        </w:rPr>
        <w:t xml:space="preserve"> </w:t>
      </w:r>
      <w:r>
        <w:rPr>
          <w:w w:val="110"/>
        </w:rPr>
        <w:t>members</w:t>
      </w:r>
      <w:r>
        <w:rPr>
          <w:spacing w:val="-1"/>
          <w:w w:val="110"/>
        </w:rPr>
        <w:t xml:space="preserve"> </w:t>
      </w:r>
      <w:r>
        <w:rPr>
          <w:w w:val="110"/>
        </w:rPr>
        <w:t>that</w:t>
      </w:r>
      <w:r>
        <w:rPr>
          <w:spacing w:val="-4"/>
          <w:w w:val="110"/>
        </w:rPr>
        <w:t xml:space="preserve"> </w:t>
      </w:r>
      <w:r>
        <w:rPr>
          <w:w w:val="110"/>
        </w:rPr>
        <w:t>there</w:t>
      </w:r>
      <w:r>
        <w:rPr>
          <w:spacing w:val="-3"/>
          <w:w w:val="110"/>
        </w:rPr>
        <w:t xml:space="preserve"> </w:t>
      </w:r>
      <w:r>
        <w:rPr>
          <w:w w:val="110"/>
        </w:rPr>
        <w:t>is</w:t>
      </w:r>
      <w:r>
        <w:rPr>
          <w:spacing w:val="-3"/>
          <w:w w:val="110"/>
        </w:rPr>
        <w:t xml:space="preserve"> </w:t>
      </w:r>
      <w:r>
        <w:rPr>
          <w:w w:val="110"/>
        </w:rPr>
        <w:t>no</w:t>
      </w:r>
      <w:r>
        <w:rPr>
          <w:spacing w:val="-3"/>
          <w:w w:val="110"/>
        </w:rPr>
        <w:t xml:space="preserve"> </w:t>
      </w:r>
      <w:r>
        <w:rPr>
          <w:w w:val="110"/>
        </w:rPr>
        <w:t>standardised</w:t>
      </w:r>
      <w:r>
        <w:rPr>
          <w:spacing w:val="-5"/>
          <w:w w:val="110"/>
        </w:rPr>
        <w:t xml:space="preserve"> </w:t>
      </w:r>
      <w:r>
        <w:rPr>
          <w:w w:val="110"/>
        </w:rPr>
        <w:t>approach</w:t>
      </w:r>
      <w:r>
        <w:rPr>
          <w:spacing w:val="-2"/>
          <w:w w:val="110"/>
        </w:rPr>
        <w:t xml:space="preserve"> </w:t>
      </w:r>
      <w:r>
        <w:rPr>
          <w:w w:val="110"/>
        </w:rPr>
        <w:t>to reporting</w:t>
      </w:r>
      <w:r>
        <w:rPr>
          <w:spacing w:val="-8"/>
          <w:w w:val="110"/>
        </w:rPr>
        <w:t xml:space="preserve"> </w:t>
      </w:r>
      <w:r>
        <w:rPr>
          <w:w w:val="110"/>
        </w:rPr>
        <w:t>military</w:t>
      </w:r>
      <w:r>
        <w:rPr>
          <w:spacing w:val="-9"/>
          <w:w w:val="110"/>
        </w:rPr>
        <w:t xml:space="preserve"> </w:t>
      </w:r>
      <w:r>
        <w:rPr>
          <w:w w:val="110"/>
        </w:rPr>
        <w:t>emissions</w:t>
      </w:r>
      <w:r>
        <w:rPr>
          <w:spacing w:val="-6"/>
          <w:w w:val="110"/>
        </w:rPr>
        <w:t xml:space="preserve"> </w:t>
      </w:r>
      <w:r>
        <w:rPr>
          <w:w w:val="110"/>
        </w:rPr>
        <w:t>in</w:t>
      </w:r>
      <w:r>
        <w:rPr>
          <w:spacing w:val="-9"/>
          <w:w w:val="110"/>
        </w:rPr>
        <w:t xml:space="preserve"> </w:t>
      </w:r>
      <w:r>
        <w:rPr>
          <w:w w:val="110"/>
        </w:rPr>
        <w:t>the</w:t>
      </w:r>
      <w:r>
        <w:rPr>
          <w:spacing w:val="-8"/>
          <w:w w:val="110"/>
        </w:rPr>
        <w:t xml:space="preserve"> </w:t>
      </w:r>
      <w:r>
        <w:rPr>
          <w:w w:val="110"/>
        </w:rPr>
        <w:t>EU</w:t>
      </w:r>
      <w:r>
        <w:rPr>
          <w:spacing w:val="-7"/>
          <w:w w:val="110"/>
        </w:rPr>
        <w:t xml:space="preserve"> </w:t>
      </w:r>
      <w:r>
        <w:rPr>
          <w:w w:val="110"/>
        </w:rPr>
        <w:t>and</w:t>
      </w:r>
      <w:r>
        <w:rPr>
          <w:spacing w:val="-10"/>
          <w:w w:val="110"/>
        </w:rPr>
        <w:t xml:space="preserve"> </w:t>
      </w:r>
      <w:r>
        <w:rPr>
          <w:w w:val="110"/>
        </w:rPr>
        <w:t>encouraged</w:t>
      </w:r>
      <w:r>
        <w:rPr>
          <w:spacing w:val="-10"/>
          <w:w w:val="110"/>
        </w:rPr>
        <w:t xml:space="preserve"> </w:t>
      </w:r>
      <w:r>
        <w:rPr>
          <w:w w:val="110"/>
        </w:rPr>
        <w:t>Members</w:t>
      </w:r>
      <w:r>
        <w:rPr>
          <w:spacing w:val="-6"/>
          <w:w w:val="110"/>
        </w:rPr>
        <w:t xml:space="preserve"> </w:t>
      </w:r>
      <w:r>
        <w:rPr>
          <w:w w:val="110"/>
        </w:rPr>
        <w:t>to</w:t>
      </w:r>
      <w:r>
        <w:rPr>
          <w:spacing w:val="-5"/>
          <w:w w:val="110"/>
        </w:rPr>
        <w:t xml:space="preserve"> </w:t>
      </w:r>
      <w:r>
        <w:rPr>
          <w:w w:val="110"/>
        </w:rPr>
        <w:t>use</w:t>
      </w:r>
      <w:r>
        <w:rPr>
          <w:spacing w:val="-5"/>
          <w:w w:val="110"/>
        </w:rPr>
        <w:t xml:space="preserve"> </w:t>
      </w:r>
      <w:r>
        <w:rPr>
          <w:w w:val="110"/>
        </w:rPr>
        <w:t>this</w:t>
      </w:r>
      <w:r>
        <w:rPr>
          <w:spacing w:val="-6"/>
          <w:w w:val="110"/>
        </w:rPr>
        <w:t xml:space="preserve"> </w:t>
      </w:r>
      <w:r>
        <w:rPr>
          <w:w w:val="110"/>
        </w:rPr>
        <w:t>moment</w:t>
      </w:r>
      <w:r>
        <w:rPr>
          <w:spacing w:val="-9"/>
          <w:w w:val="110"/>
        </w:rPr>
        <w:t xml:space="preserve"> </w:t>
      </w:r>
      <w:r>
        <w:rPr>
          <w:w w:val="110"/>
        </w:rPr>
        <w:t>of great</w:t>
      </w:r>
      <w:r>
        <w:rPr>
          <w:spacing w:val="-6"/>
          <w:w w:val="110"/>
        </w:rPr>
        <w:t xml:space="preserve"> </w:t>
      </w:r>
      <w:r>
        <w:rPr>
          <w:w w:val="110"/>
        </w:rPr>
        <w:t>investment</w:t>
      </w:r>
      <w:r>
        <w:rPr>
          <w:spacing w:val="-6"/>
          <w:w w:val="110"/>
        </w:rPr>
        <w:t xml:space="preserve"> </w:t>
      </w:r>
      <w:r>
        <w:rPr>
          <w:w w:val="110"/>
        </w:rPr>
        <w:t>to</w:t>
      </w:r>
      <w:r>
        <w:rPr>
          <w:spacing w:val="-4"/>
          <w:w w:val="110"/>
        </w:rPr>
        <w:t xml:space="preserve"> </w:t>
      </w:r>
      <w:r>
        <w:rPr>
          <w:w w:val="110"/>
        </w:rPr>
        <w:t>create</w:t>
      </w:r>
      <w:r>
        <w:rPr>
          <w:spacing w:val="-4"/>
          <w:w w:val="110"/>
        </w:rPr>
        <w:t xml:space="preserve"> </w:t>
      </w:r>
      <w:r>
        <w:rPr>
          <w:w w:val="110"/>
        </w:rPr>
        <w:t>a</w:t>
      </w:r>
      <w:r>
        <w:rPr>
          <w:spacing w:val="-8"/>
          <w:w w:val="110"/>
        </w:rPr>
        <w:t xml:space="preserve"> </w:t>
      </w:r>
      <w:r>
        <w:rPr>
          <w:w w:val="110"/>
        </w:rPr>
        <w:t>framework</w:t>
      </w:r>
      <w:r>
        <w:rPr>
          <w:spacing w:val="-4"/>
          <w:w w:val="110"/>
        </w:rPr>
        <w:t xml:space="preserve"> </w:t>
      </w:r>
      <w:r>
        <w:rPr>
          <w:w w:val="110"/>
        </w:rPr>
        <w:t>to</w:t>
      </w:r>
      <w:r>
        <w:rPr>
          <w:spacing w:val="-7"/>
          <w:w w:val="110"/>
        </w:rPr>
        <w:t xml:space="preserve"> </w:t>
      </w:r>
      <w:r>
        <w:rPr>
          <w:w w:val="110"/>
        </w:rPr>
        <w:t>ensure</w:t>
      </w:r>
      <w:r>
        <w:rPr>
          <w:spacing w:val="-4"/>
          <w:w w:val="110"/>
        </w:rPr>
        <w:t xml:space="preserve"> </w:t>
      </w:r>
      <w:r>
        <w:rPr>
          <w:w w:val="110"/>
        </w:rPr>
        <w:t>reporting</w:t>
      </w:r>
      <w:r>
        <w:rPr>
          <w:spacing w:val="-7"/>
          <w:w w:val="110"/>
        </w:rPr>
        <w:t xml:space="preserve"> </w:t>
      </w:r>
      <w:r>
        <w:rPr>
          <w:w w:val="110"/>
        </w:rPr>
        <w:t>on</w:t>
      </w:r>
      <w:r>
        <w:rPr>
          <w:spacing w:val="-8"/>
          <w:w w:val="110"/>
        </w:rPr>
        <w:t xml:space="preserve"> </w:t>
      </w:r>
      <w:r>
        <w:rPr>
          <w:w w:val="110"/>
        </w:rPr>
        <w:t>emission</w:t>
      </w:r>
      <w:r>
        <w:rPr>
          <w:spacing w:val="-8"/>
          <w:w w:val="110"/>
        </w:rPr>
        <w:t xml:space="preserve"> </w:t>
      </w:r>
      <w:r>
        <w:rPr>
          <w:w w:val="110"/>
        </w:rPr>
        <w:t>of</w:t>
      </w:r>
      <w:r>
        <w:rPr>
          <w:spacing w:val="-5"/>
          <w:w w:val="110"/>
        </w:rPr>
        <w:t xml:space="preserve"> </w:t>
      </w:r>
      <w:r>
        <w:rPr>
          <w:w w:val="110"/>
        </w:rPr>
        <w:t>the</w:t>
      </w:r>
      <w:r>
        <w:rPr>
          <w:spacing w:val="-4"/>
          <w:w w:val="110"/>
        </w:rPr>
        <w:t xml:space="preserve"> </w:t>
      </w:r>
      <w:r>
        <w:rPr>
          <w:w w:val="110"/>
        </w:rPr>
        <w:t>various militaries and their use and supply chains.</w:t>
      </w:r>
    </w:p>
    <w:p w:rsidR="00B84CED" w:rsidRDefault="00794452" w14:paraId="7C50FDEA" w14:textId="77777777">
      <w:pPr>
        <w:pStyle w:val="BodyText"/>
        <w:spacing w:before="159" w:line="357" w:lineRule="auto"/>
        <w:ind w:left="219" w:right="450"/>
        <w:jc w:val="both"/>
      </w:pPr>
      <w:r>
        <w:rPr>
          <w:w w:val="110"/>
        </w:rPr>
        <w:t>Social</w:t>
      </w:r>
      <w:r>
        <w:rPr>
          <w:spacing w:val="-2"/>
          <w:w w:val="110"/>
        </w:rPr>
        <w:t xml:space="preserve"> </w:t>
      </w:r>
      <w:r>
        <w:rPr>
          <w:w w:val="110"/>
        </w:rPr>
        <w:t>cohesion</w:t>
      </w:r>
      <w:r>
        <w:rPr>
          <w:spacing w:val="-3"/>
          <w:w w:val="110"/>
        </w:rPr>
        <w:t xml:space="preserve"> </w:t>
      </w:r>
      <w:r>
        <w:rPr>
          <w:w w:val="110"/>
        </w:rPr>
        <w:t>can</w:t>
      </w:r>
      <w:r>
        <w:rPr>
          <w:spacing w:val="-5"/>
          <w:w w:val="110"/>
        </w:rPr>
        <w:t xml:space="preserve"> </w:t>
      </w:r>
      <w:r>
        <w:rPr>
          <w:w w:val="110"/>
        </w:rPr>
        <w:t>be</w:t>
      </w:r>
      <w:r>
        <w:rPr>
          <w:spacing w:val="-4"/>
          <w:w w:val="110"/>
        </w:rPr>
        <w:t xml:space="preserve"> </w:t>
      </w:r>
      <w:r>
        <w:rPr>
          <w:w w:val="110"/>
        </w:rPr>
        <w:t>taken</w:t>
      </w:r>
      <w:r>
        <w:rPr>
          <w:spacing w:val="-5"/>
          <w:w w:val="110"/>
        </w:rPr>
        <w:t xml:space="preserve"> </w:t>
      </w:r>
      <w:r>
        <w:rPr>
          <w:w w:val="110"/>
        </w:rPr>
        <w:t>for</w:t>
      </w:r>
      <w:r>
        <w:rPr>
          <w:spacing w:val="-4"/>
          <w:w w:val="110"/>
        </w:rPr>
        <w:t xml:space="preserve"> </w:t>
      </w:r>
      <w:r>
        <w:rPr>
          <w:w w:val="110"/>
        </w:rPr>
        <w:t>granted</w:t>
      </w:r>
      <w:r>
        <w:rPr>
          <w:spacing w:val="-3"/>
          <w:w w:val="110"/>
        </w:rPr>
        <w:t xml:space="preserve"> </w:t>
      </w:r>
      <w:r>
        <w:rPr>
          <w:w w:val="110"/>
        </w:rPr>
        <w:t>during</w:t>
      </w:r>
      <w:r>
        <w:rPr>
          <w:spacing w:val="-1"/>
          <w:w w:val="110"/>
        </w:rPr>
        <w:t xml:space="preserve"> </w:t>
      </w:r>
      <w:r>
        <w:rPr>
          <w:w w:val="110"/>
        </w:rPr>
        <w:t>times</w:t>
      </w:r>
      <w:r>
        <w:rPr>
          <w:spacing w:val="-4"/>
          <w:w w:val="110"/>
        </w:rPr>
        <w:t xml:space="preserve"> </w:t>
      </w:r>
      <w:r>
        <w:rPr>
          <w:w w:val="110"/>
        </w:rPr>
        <w:t>of</w:t>
      </w:r>
      <w:r>
        <w:rPr>
          <w:spacing w:val="-4"/>
          <w:w w:val="110"/>
        </w:rPr>
        <w:t xml:space="preserve"> </w:t>
      </w:r>
      <w:r>
        <w:rPr>
          <w:w w:val="110"/>
        </w:rPr>
        <w:t>stability,</w:t>
      </w:r>
      <w:r>
        <w:rPr>
          <w:spacing w:val="-5"/>
          <w:w w:val="110"/>
        </w:rPr>
        <w:t xml:space="preserve"> </w:t>
      </w:r>
      <w:r>
        <w:rPr>
          <w:w w:val="110"/>
        </w:rPr>
        <w:t>when</w:t>
      </w:r>
      <w:r>
        <w:rPr>
          <w:spacing w:val="-3"/>
          <w:w w:val="110"/>
        </w:rPr>
        <w:t xml:space="preserve"> </w:t>
      </w:r>
      <w:r>
        <w:rPr>
          <w:w w:val="110"/>
        </w:rPr>
        <w:t>it</w:t>
      </w:r>
      <w:r>
        <w:rPr>
          <w:spacing w:val="-6"/>
          <w:w w:val="110"/>
        </w:rPr>
        <w:t xml:space="preserve"> </w:t>
      </w:r>
      <w:r>
        <w:rPr>
          <w:w w:val="110"/>
        </w:rPr>
        <w:t>is</w:t>
      </w:r>
      <w:r>
        <w:rPr>
          <w:spacing w:val="-2"/>
          <w:w w:val="110"/>
        </w:rPr>
        <w:t xml:space="preserve"> </w:t>
      </w:r>
      <w:r>
        <w:rPr>
          <w:w w:val="110"/>
        </w:rPr>
        <w:t>easy</w:t>
      </w:r>
      <w:r>
        <w:rPr>
          <w:spacing w:val="-5"/>
          <w:w w:val="110"/>
        </w:rPr>
        <w:t xml:space="preserve"> </w:t>
      </w:r>
      <w:r>
        <w:rPr>
          <w:w w:val="110"/>
        </w:rPr>
        <w:t>to</w:t>
      </w:r>
      <w:r>
        <w:rPr>
          <w:spacing w:val="-4"/>
          <w:w w:val="110"/>
        </w:rPr>
        <w:t xml:space="preserve"> </w:t>
      </w:r>
      <w:r>
        <w:rPr>
          <w:w w:val="110"/>
        </w:rPr>
        <w:t>forget the efforts</w:t>
      </w:r>
      <w:r>
        <w:rPr>
          <w:spacing w:val="-3"/>
          <w:w w:val="110"/>
        </w:rPr>
        <w:t xml:space="preserve"> </w:t>
      </w:r>
      <w:r>
        <w:rPr>
          <w:w w:val="110"/>
        </w:rPr>
        <w:t>required</w:t>
      </w:r>
      <w:r>
        <w:rPr>
          <w:spacing w:val="-2"/>
          <w:w w:val="110"/>
        </w:rPr>
        <w:t xml:space="preserve"> </w:t>
      </w:r>
      <w:r>
        <w:rPr>
          <w:w w:val="110"/>
        </w:rPr>
        <w:t>to</w:t>
      </w:r>
      <w:r>
        <w:rPr>
          <w:spacing w:val="-3"/>
          <w:w w:val="110"/>
        </w:rPr>
        <w:t xml:space="preserve"> </w:t>
      </w:r>
      <w:r>
        <w:rPr>
          <w:w w:val="110"/>
        </w:rPr>
        <w:t>reach</w:t>
      </w:r>
      <w:r>
        <w:rPr>
          <w:spacing w:val="-2"/>
          <w:w w:val="110"/>
        </w:rPr>
        <w:t xml:space="preserve"> </w:t>
      </w:r>
      <w:r>
        <w:rPr>
          <w:w w:val="110"/>
        </w:rPr>
        <w:t>that</w:t>
      </w:r>
      <w:r>
        <w:rPr>
          <w:spacing w:val="-2"/>
          <w:w w:val="110"/>
        </w:rPr>
        <w:t xml:space="preserve"> </w:t>
      </w:r>
      <w:r>
        <w:rPr>
          <w:w w:val="110"/>
        </w:rPr>
        <w:t>stability</w:t>
      </w:r>
      <w:r>
        <w:rPr>
          <w:spacing w:val="-1"/>
          <w:w w:val="110"/>
        </w:rPr>
        <w:t xml:space="preserve"> </w:t>
      </w:r>
      <w:r>
        <w:rPr>
          <w:w w:val="110"/>
        </w:rPr>
        <w:t>in</w:t>
      </w:r>
      <w:r>
        <w:rPr>
          <w:spacing w:val="-2"/>
          <w:w w:val="110"/>
        </w:rPr>
        <w:t xml:space="preserve"> </w:t>
      </w:r>
      <w:r>
        <w:rPr>
          <w:w w:val="110"/>
        </w:rPr>
        <w:t>the first</w:t>
      </w:r>
      <w:r>
        <w:rPr>
          <w:spacing w:val="-2"/>
          <w:w w:val="110"/>
        </w:rPr>
        <w:t xml:space="preserve"> </w:t>
      </w:r>
      <w:r>
        <w:rPr>
          <w:w w:val="110"/>
        </w:rPr>
        <w:t>instance.</w:t>
      </w:r>
      <w:r>
        <w:rPr>
          <w:spacing w:val="-4"/>
          <w:w w:val="110"/>
        </w:rPr>
        <w:t xml:space="preserve"> </w:t>
      </w:r>
      <w:r>
        <w:rPr>
          <w:w w:val="110"/>
        </w:rPr>
        <w:t>The</w:t>
      </w:r>
      <w:r>
        <w:rPr>
          <w:spacing w:val="-3"/>
          <w:w w:val="110"/>
        </w:rPr>
        <w:t xml:space="preserve"> </w:t>
      </w:r>
      <w:r>
        <w:rPr>
          <w:w w:val="110"/>
        </w:rPr>
        <w:t>diminishment</w:t>
      </w:r>
      <w:r>
        <w:rPr>
          <w:spacing w:val="-2"/>
          <w:w w:val="110"/>
        </w:rPr>
        <w:t xml:space="preserve"> </w:t>
      </w:r>
      <w:r>
        <w:rPr>
          <w:w w:val="110"/>
        </w:rPr>
        <w:t>of</w:t>
      </w:r>
      <w:r>
        <w:rPr>
          <w:spacing w:val="-1"/>
          <w:w w:val="110"/>
        </w:rPr>
        <w:t xml:space="preserve"> </w:t>
      </w:r>
      <w:r>
        <w:rPr>
          <w:w w:val="110"/>
        </w:rPr>
        <w:t>social cohesion funding brings with it potential implications in terms of peace and security.</w:t>
      </w:r>
    </w:p>
    <w:p w:rsidR="00B84CED" w:rsidRDefault="00794452" w14:paraId="4A29FE2E" w14:textId="77777777">
      <w:pPr>
        <w:pStyle w:val="BodyText"/>
        <w:spacing w:before="163" w:line="357" w:lineRule="auto"/>
        <w:ind w:left="219" w:right="521"/>
      </w:pPr>
      <w:r>
        <w:rPr>
          <w:w w:val="110"/>
        </w:rPr>
        <w:t>Members observed with interest the existence of the exit clause from the Stability and Growth</w:t>
      </w:r>
      <w:r>
        <w:rPr>
          <w:spacing w:val="-2"/>
          <w:w w:val="110"/>
        </w:rPr>
        <w:t xml:space="preserve"> </w:t>
      </w:r>
      <w:r>
        <w:rPr>
          <w:w w:val="110"/>
        </w:rPr>
        <w:t>Pact</w:t>
      </w:r>
      <w:r>
        <w:rPr>
          <w:spacing w:val="-2"/>
          <w:w w:val="110"/>
        </w:rPr>
        <w:t xml:space="preserve"> </w:t>
      </w:r>
      <w:r>
        <w:rPr>
          <w:w w:val="110"/>
        </w:rPr>
        <w:t>in</w:t>
      </w:r>
      <w:r>
        <w:rPr>
          <w:spacing w:val="-2"/>
          <w:w w:val="110"/>
        </w:rPr>
        <w:t xml:space="preserve"> </w:t>
      </w:r>
      <w:r>
        <w:rPr>
          <w:w w:val="110"/>
        </w:rPr>
        <w:t>relation</w:t>
      </w:r>
      <w:r>
        <w:rPr>
          <w:spacing w:val="-2"/>
          <w:w w:val="110"/>
        </w:rPr>
        <w:t xml:space="preserve"> </w:t>
      </w:r>
      <w:r>
        <w:rPr>
          <w:w w:val="110"/>
        </w:rPr>
        <w:t>to arms</w:t>
      </w:r>
      <w:r>
        <w:rPr>
          <w:spacing w:val="-3"/>
          <w:w w:val="110"/>
        </w:rPr>
        <w:t xml:space="preserve"> </w:t>
      </w:r>
      <w:r>
        <w:rPr>
          <w:w w:val="110"/>
        </w:rPr>
        <w:t>expenditure,</w:t>
      </w:r>
      <w:r>
        <w:rPr>
          <w:spacing w:val="-1"/>
          <w:w w:val="110"/>
        </w:rPr>
        <w:t xml:space="preserve"> </w:t>
      </w:r>
      <w:r>
        <w:rPr>
          <w:w w:val="110"/>
        </w:rPr>
        <w:t>highlighting that</w:t>
      </w:r>
      <w:r>
        <w:rPr>
          <w:spacing w:val="-2"/>
          <w:w w:val="110"/>
        </w:rPr>
        <w:t xml:space="preserve"> </w:t>
      </w:r>
      <w:r>
        <w:rPr>
          <w:w w:val="110"/>
        </w:rPr>
        <w:t>there does</w:t>
      </w:r>
      <w:r>
        <w:rPr>
          <w:spacing w:val="-3"/>
          <w:w w:val="110"/>
        </w:rPr>
        <w:t xml:space="preserve"> </w:t>
      </w:r>
      <w:r>
        <w:rPr>
          <w:w w:val="110"/>
        </w:rPr>
        <w:t>not</w:t>
      </w:r>
      <w:r>
        <w:rPr>
          <w:spacing w:val="-2"/>
          <w:w w:val="110"/>
        </w:rPr>
        <w:t xml:space="preserve"> </w:t>
      </w:r>
      <w:r>
        <w:rPr>
          <w:w w:val="110"/>
        </w:rPr>
        <w:t>appear</w:t>
      </w:r>
      <w:r>
        <w:rPr>
          <w:spacing w:val="-1"/>
          <w:w w:val="110"/>
        </w:rPr>
        <w:t xml:space="preserve"> </w:t>
      </w:r>
      <w:r>
        <w:rPr>
          <w:w w:val="110"/>
        </w:rPr>
        <w:t>to have</w:t>
      </w:r>
      <w:r>
        <w:rPr>
          <w:spacing w:val="-6"/>
          <w:w w:val="110"/>
        </w:rPr>
        <w:t xml:space="preserve"> </w:t>
      </w:r>
      <w:r>
        <w:rPr>
          <w:w w:val="110"/>
        </w:rPr>
        <w:t>been</w:t>
      </w:r>
      <w:r>
        <w:rPr>
          <w:spacing w:val="-7"/>
          <w:w w:val="110"/>
        </w:rPr>
        <w:t xml:space="preserve"> </w:t>
      </w:r>
      <w:r>
        <w:rPr>
          <w:w w:val="110"/>
        </w:rPr>
        <w:t>a</w:t>
      </w:r>
      <w:r>
        <w:rPr>
          <w:spacing w:val="-9"/>
          <w:w w:val="110"/>
        </w:rPr>
        <w:t xml:space="preserve"> </w:t>
      </w:r>
      <w:r>
        <w:rPr>
          <w:w w:val="110"/>
        </w:rPr>
        <w:t>similar</w:t>
      </w:r>
      <w:r>
        <w:rPr>
          <w:spacing w:val="-6"/>
          <w:w w:val="110"/>
        </w:rPr>
        <w:t xml:space="preserve"> </w:t>
      </w:r>
      <w:r>
        <w:rPr>
          <w:w w:val="110"/>
        </w:rPr>
        <w:t>allowance</w:t>
      </w:r>
      <w:r>
        <w:rPr>
          <w:spacing w:val="-8"/>
          <w:w w:val="110"/>
        </w:rPr>
        <w:t xml:space="preserve"> </w:t>
      </w:r>
      <w:r>
        <w:rPr>
          <w:w w:val="110"/>
        </w:rPr>
        <w:t>around</w:t>
      </w:r>
      <w:r>
        <w:rPr>
          <w:spacing w:val="-7"/>
          <w:w w:val="110"/>
        </w:rPr>
        <w:t xml:space="preserve"> </w:t>
      </w:r>
      <w:r>
        <w:rPr>
          <w:w w:val="110"/>
        </w:rPr>
        <w:t>expenditure</w:t>
      </w:r>
      <w:r>
        <w:rPr>
          <w:spacing w:val="-8"/>
          <w:w w:val="110"/>
        </w:rPr>
        <w:t xml:space="preserve"> </w:t>
      </w:r>
      <w:r>
        <w:rPr>
          <w:w w:val="110"/>
        </w:rPr>
        <w:t>on</w:t>
      </w:r>
      <w:r>
        <w:rPr>
          <w:spacing w:val="-7"/>
          <w:w w:val="110"/>
        </w:rPr>
        <w:t xml:space="preserve"> </w:t>
      </w:r>
      <w:r>
        <w:rPr>
          <w:w w:val="110"/>
        </w:rPr>
        <w:t>the</w:t>
      </w:r>
      <w:r>
        <w:rPr>
          <w:spacing w:val="-6"/>
          <w:w w:val="110"/>
        </w:rPr>
        <w:t xml:space="preserve"> </w:t>
      </w:r>
      <w:r>
        <w:rPr>
          <w:w w:val="110"/>
        </w:rPr>
        <w:t>climate</w:t>
      </w:r>
      <w:r>
        <w:rPr>
          <w:spacing w:val="-8"/>
          <w:w w:val="110"/>
        </w:rPr>
        <w:t xml:space="preserve"> </w:t>
      </w:r>
      <w:r>
        <w:rPr>
          <w:w w:val="110"/>
        </w:rPr>
        <w:t>emergency.</w:t>
      </w:r>
      <w:r>
        <w:rPr>
          <w:spacing w:val="-7"/>
          <w:w w:val="110"/>
        </w:rPr>
        <w:t xml:space="preserve"> </w:t>
      </w:r>
      <w:r>
        <w:rPr>
          <w:w w:val="110"/>
        </w:rPr>
        <w:t>While</w:t>
      </w:r>
      <w:r>
        <w:rPr>
          <w:spacing w:val="-8"/>
          <w:w w:val="110"/>
        </w:rPr>
        <w:t xml:space="preserve"> </w:t>
      </w:r>
      <w:r>
        <w:rPr>
          <w:w w:val="110"/>
        </w:rPr>
        <w:t>the risks to peace and security are understood, there must be a balance in measures designed to assist the various challenges faced across the Union.</w:t>
      </w:r>
    </w:p>
    <w:p w:rsidR="00B84CED" w:rsidRDefault="00794452" w14:paraId="4809146F" w14:textId="77777777">
      <w:pPr>
        <w:pStyle w:val="Heading2"/>
        <w:spacing w:before="203"/>
      </w:pPr>
      <w:bookmarkStart w:name="Military_investment_as_a_deterrent" w:id="50"/>
      <w:bookmarkStart w:name="_bookmark27" w:id="51"/>
      <w:bookmarkEnd w:id="50"/>
      <w:bookmarkEnd w:id="51"/>
      <w:r>
        <w:rPr>
          <w:color w:val="3A5C66"/>
          <w:w w:val="110"/>
        </w:rPr>
        <w:t>Military</w:t>
      </w:r>
      <w:r>
        <w:rPr>
          <w:color w:val="3A5C66"/>
          <w:spacing w:val="-13"/>
          <w:w w:val="110"/>
        </w:rPr>
        <w:t xml:space="preserve"> </w:t>
      </w:r>
      <w:r>
        <w:rPr>
          <w:color w:val="3A5C66"/>
          <w:w w:val="110"/>
        </w:rPr>
        <w:t>investment</w:t>
      </w:r>
      <w:r>
        <w:rPr>
          <w:color w:val="3A5C66"/>
          <w:spacing w:val="-13"/>
          <w:w w:val="110"/>
        </w:rPr>
        <w:t xml:space="preserve"> </w:t>
      </w:r>
      <w:r>
        <w:rPr>
          <w:color w:val="3A5C66"/>
          <w:w w:val="110"/>
        </w:rPr>
        <w:t>as</w:t>
      </w:r>
      <w:r>
        <w:rPr>
          <w:color w:val="3A5C66"/>
          <w:spacing w:val="-12"/>
          <w:w w:val="110"/>
        </w:rPr>
        <w:t xml:space="preserve"> </w:t>
      </w:r>
      <w:r>
        <w:rPr>
          <w:color w:val="3A5C66"/>
          <w:w w:val="110"/>
        </w:rPr>
        <w:t>a</w:t>
      </w:r>
      <w:r>
        <w:rPr>
          <w:color w:val="3A5C66"/>
          <w:spacing w:val="-12"/>
          <w:w w:val="110"/>
        </w:rPr>
        <w:t xml:space="preserve"> </w:t>
      </w:r>
      <w:r>
        <w:rPr>
          <w:color w:val="3A5C66"/>
          <w:spacing w:val="-2"/>
          <w:w w:val="110"/>
        </w:rPr>
        <w:t>deterrent</w:t>
      </w:r>
    </w:p>
    <w:p w:rsidR="00B84CED" w:rsidRDefault="00794452" w14:paraId="1F61CB7B" w14:textId="77777777">
      <w:pPr>
        <w:pStyle w:val="BodyText"/>
        <w:spacing w:before="187" w:line="357" w:lineRule="auto"/>
        <w:ind w:left="219" w:right="778"/>
      </w:pPr>
      <w:r>
        <w:rPr>
          <w:w w:val="110"/>
        </w:rPr>
        <w:t>During the meeting of 24 September, there was discussion around the distinction between financial contributions as opposed to military contributions of Member States,</w:t>
      </w:r>
      <w:r>
        <w:rPr>
          <w:spacing w:val="-5"/>
          <w:w w:val="110"/>
        </w:rPr>
        <w:t xml:space="preserve"> </w:t>
      </w:r>
      <w:r>
        <w:rPr>
          <w:w w:val="110"/>
        </w:rPr>
        <w:t>with</w:t>
      </w:r>
      <w:r>
        <w:rPr>
          <w:spacing w:val="-5"/>
          <w:w w:val="110"/>
        </w:rPr>
        <w:t xml:space="preserve"> </w:t>
      </w:r>
      <w:r>
        <w:rPr>
          <w:w w:val="110"/>
        </w:rPr>
        <w:t>some</w:t>
      </w:r>
      <w:r>
        <w:rPr>
          <w:spacing w:val="-6"/>
          <w:w w:val="110"/>
        </w:rPr>
        <w:t xml:space="preserve"> </w:t>
      </w:r>
      <w:r>
        <w:rPr>
          <w:w w:val="110"/>
        </w:rPr>
        <w:t>Members</w:t>
      </w:r>
      <w:r>
        <w:rPr>
          <w:spacing w:val="-6"/>
          <w:w w:val="110"/>
        </w:rPr>
        <w:t xml:space="preserve"> </w:t>
      </w:r>
      <w:r>
        <w:rPr>
          <w:w w:val="110"/>
        </w:rPr>
        <w:t>taking</w:t>
      </w:r>
      <w:r>
        <w:rPr>
          <w:spacing w:val="-3"/>
          <w:w w:val="110"/>
        </w:rPr>
        <w:t xml:space="preserve"> </w:t>
      </w:r>
      <w:r>
        <w:rPr>
          <w:w w:val="110"/>
        </w:rPr>
        <w:t>the</w:t>
      </w:r>
      <w:r>
        <w:rPr>
          <w:spacing w:val="-3"/>
          <w:w w:val="110"/>
        </w:rPr>
        <w:t xml:space="preserve"> </w:t>
      </w:r>
      <w:r>
        <w:rPr>
          <w:w w:val="110"/>
        </w:rPr>
        <w:t>view</w:t>
      </w:r>
      <w:r>
        <w:rPr>
          <w:spacing w:val="-6"/>
          <w:w w:val="110"/>
        </w:rPr>
        <w:t xml:space="preserve"> </w:t>
      </w:r>
      <w:r>
        <w:rPr>
          <w:w w:val="110"/>
        </w:rPr>
        <w:t>that</w:t>
      </w:r>
      <w:r>
        <w:rPr>
          <w:spacing w:val="-7"/>
          <w:w w:val="110"/>
        </w:rPr>
        <w:t xml:space="preserve"> </w:t>
      </w:r>
      <w:r>
        <w:rPr>
          <w:w w:val="110"/>
        </w:rPr>
        <w:t>contributing</w:t>
      </w:r>
      <w:r>
        <w:rPr>
          <w:spacing w:val="-6"/>
          <w:w w:val="110"/>
        </w:rPr>
        <w:t xml:space="preserve"> </w:t>
      </w:r>
      <w:r>
        <w:rPr>
          <w:w w:val="110"/>
        </w:rPr>
        <w:t>financially</w:t>
      </w:r>
      <w:r>
        <w:rPr>
          <w:spacing w:val="-4"/>
          <w:w w:val="110"/>
        </w:rPr>
        <w:t xml:space="preserve"> </w:t>
      </w:r>
      <w:r>
        <w:rPr>
          <w:w w:val="110"/>
        </w:rPr>
        <w:t>to</w:t>
      </w:r>
      <w:r>
        <w:rPr>
          <w:spacing w:val="-3"/>
          <w:w w:val="110"/>
        </w:rPr>
        <w:t xml:space="preserve"> </w:t>
      </w:r>
      <w:r>
        <w:rPr>
          <w:w w:val="110"/>
        </w:rPr>
        <w:t>the</w:t>
      </w:r>
      <w:r>
        <w:rPr>
          <w:spacing w:val="-6"/>
          <w:w w:val="110"/>
        </w:rPr>
        <w:t xml:space="preserve"> </w:t>
      </w:r>
      <w:r>
        <w:rPr>
          <w:w w:val="110"/>
        </w:rPr>
        <w:t>wider EU project aiming to develop a large-scale deterrent represents a means to ensure that the cheapest price possible is achieved and, in that regard, the instrument is considered</w:t>
      </w:r>
      <w:r>
        <w:rPr>
          <w:spacing w:val="-5"/>
          <w:w w:val="110"/>
        </w:rPr>
        <w:t xml:space="preserve"> </w:t>
      </w:r>
      <w:r>
        <w:rPr>
          <w:w w:val="110"/>
        </w:rPr>
        <w:t>useful.</w:t>
      </w:r>
      <w:r>
        <w:rPr>
          <w:spacing w:val="-2"/>
          <w:w w:val="110"/>
        </w:rPr>
        <w:t xml:space="preserve"> </w:t>
      </w:r>
      <w:r>
        <w:rPr>
          <w:w w:val="110"/>
        </w:rPr>
        <w:t>From</w:t>
      </w:r>
      <w:r>
        <w:rPr>
          <w:spacing w:val="-4"/>
          <w:w w:val="110"/>
        </w:rPr>
        <w:t xml:space="preserve"> </w:t>
      </w:r>
      <w:r>
        <w:rPr>
          <w:w w:val="110"/>
        </w:rPr>
        <w:t>this</w:t>
      </w:r>
      <w:r>
        <w:rPr>
          <w:spacing w:val="-1"/>
          <w:w w:val="110"/>
        </w:rPr>
        <w:t xml:space="preserve"> </w:t>
      </w:r>
      <w:r>
        <w:rPr>
          <w:w w:val="110"/>
        </w:rPr>
        <w:t>perspective the</w:t>
      </w:r>
      <w:r>
        <w:rPr>
          <w:spacing w:val="-3"/>
          <w:w w:val="110"/>
        </w:rPr>
        <w:t xml:space="preserve"> </w:t>
      </w:r>
      <w:r>
        <w:rPr>
          <w:w w:val="110"/>
        </w:rPr>
        <w:t>instrument</w:t>
      </w:r>
      <w:r>
        <w:rPr>
          <w:spacing w:val="-2"/>
          <w:w w:val="110"/>
        </w:rPr>
        <w:t xml:space="preserve"> </w:t>
      </w:r>
      <w:r>
        <w:rPr>
          <w:w w:val="110"/>
        </w:rPr>
        <w:t>is</w:t>
      </w:r>
      <w:r>
        <w:rPr>
          <w:spacing w:val="-1"/>
          <w:w w:val="110"/>
        </w:rPr>
        <w:t xml:space="preserve"> </w:t>
      </w:r>
      <w:r>
        <w:rPr>
          <w:w w:val="110"/>
        </w:rPr>
        <w:t>viewed</w:t>
      </w:r>
      <w:r>
        <w:rPr>
          <w:spacing w:val="-5"/>
          <w:w w:val="110"/>
        </w:rPr>
        <w:t xml:space="preserve"> </w:t>
      </w:r>
      <w:r>
        <w:rPr>
          <w:w w:val="110"/>
        </w:rPr>
        <w:t>as</w:t>
      </w:r>
      <w:r>
        <w:rPr>
          <w:spacing w:val="-1"/>
          <w:w w:val="110"/>
        </w:rPr>
        <w:t xml:space="preserve"> </w:t>
      </w:r>
      <w:r>
        <w:rPr>
          <w:w w:val="110"/>
        </w:rPr>
        <w:t>investing in</w:t>
      </w:r>
      <w:r>
        <w:rPr>
          <w:spacing w:val="-2"/>
          <w:w w:val="110"/>
        </w:rPr>
        <w:t xml:space="preserve"> </w:t>
      </w:r>
      <w:r>
        <w:rPr>
          <w:w w:val="110"/>
        </w:rPr>
        <w:t>the deterrent; an investment in strengthening Europe’s eastern border which in turn, helps to protect everyone in the EU.</w:t>
      </w:r>
    </w:p>
    <w:p w:rsidR="00B84CED" w:rsidRDefault="00794452" w14:paraId="05C7E968" w14:textId="77777777">
      <w:pPr>
        <w:pStyle w:val="BodyText"/>
        <w:spacing w:before="163"/>
        <w:ind w:left="219"/>
      </w:pPr>
      <w:r>
        <w:rPr>
          <w:w w:val="110"/>
        </w:rPr>
        <w:t>Members</w:t>
      </w:r>
      <w:r>
        <w:rPr>
          <w:spacing w:val="-9"/>
          <w:w w:val="110"/>
        </w:rPr>
        <w:t xml:space="preserve"> </w:t>
      </w:r>
      <w:r>
        <w:rPr>
          <w:w w:val="110"/>
        </w:rPr>
        <w:t>raised</w:t>
      </w:r>
      <w:r>
        <w:rPr>
          <w:spacing w:val="-8"/>
          <w:w w:val="110"/>
        </w:rPr>
        <w:t xml:space="preserve"> </w:t>
      </w:r>
      <w:r>
        <w:rPr>
          <w:w w:val="110"/>
        </w:rPr>
        <w:t>the</w:t>
      </w:r>
      <w:r>
        <w:rPr>
          <w:spacing w:val="-6"/>
          <w:w w:val="110"/>
        </w:rPr>
        <w:t xml:space="preserve"> </w:t>
      </w:r>
      <w:r>
        <w:rPr>
          <w:w w:val="110"/>
        </w:rPr>
        <w:t>threat</w:t>
      </w:r>
      <w:r>
        <w:rPr>
          <w:spacing w:val="-8"/>
          <w:w w:val="110"/>
        </w:rPr>
        <w:t xml:space="preserve"> </w:t>
      </w:r>
      <w:r>
        <w:rPr>
          <w:w w:val="110"/>
        </w:rPr>
        <w:t>posed</w:t>
      </w:r>
      <w:r>
        <w:rPr>
          <w:spacing w:val="-8"/>
          <w:w w:val="110"/>
        </w:rPr>
        <w:t xml:space="preserve"> </w:t>
      </w:r>
      <w:r>
        <w:rPr>
          <w:w w:val="110"/>
        </w:rPr>
        <w:t>by</w:t>
      </w:r>
      <w:r>
        <w:rPr>
          <w:spacing w:val="-9"/>
          <w:w w:val="110"/>
        </w:rPr>
        <w:t xml:space="preserve"> </w:t>
      </w:r>
      <w:r>
        <w:rPr>
          <w:w w:val="110"/>
        </w:rPr>
        <w:t>Russia,</w:t>
      </w:r>
      <w:r>
        <w:rPr>
          <w:spacing w:val="-8"/>
          <w:w w:val="110"/>
        </w:rPr>
        <w:t xml:space="preserve"> </w:t>
      </w:r>
      <w:r>
        <w:rPr>
          <w:w w:val="110"/>
        </w:rPr>
        <w:t>the</w:t>
      </w:r>
      <w:r>
        <w:rPr>
          <w:spacing w:val="-9"/>
          <w:w w:val="110"/>
        </w:rPr>
        <w:t xml:space="preserve"> </w:t>
      </w:r>
      <w:r>
        <w:rPr>
          <w:w w:val="110"/>
        </w:rPr>
        <w:t>conflict</w:t>
      </w:r>
      <w:r>
        <w:rPr>
          <w:spacing w:val="-8"/>
          <w:w w:val="110"/>
        </w:rPr>
        <w:t xml:space="preserve"> </w:t>
      </w:r>
      <w:r>
        <w:rPr>
          <w:w w:val="110"/>
        </w:rPr>
        <w:t>in</w:t>
      </w:r>
      <w:r>
        <w:rPr>
          <w:spacing w:val="-8"/>
          <w:w w:val="110"/>
        </w:rPr>
        <w:t xml:space="preserve"> </w:t>
      </w:r>
      <w:r>
        <w:rPr>
          <w:w w:val="110"/>
        </w:rPr>
        <w:t>Ukraine</w:t>
      </w:r>
      <w:r>
        <w:rPr>
          <w:spacing w:val="-8"/>
          <w:w w:val="110"/>
        </w:rPr>
        <w:t xml:space="preserve"> </w:t>
      </w:r>
      <w:r>
        <w:rPr>
          <w:w w:val="110"/>
        </w:rPr>
        <w:t>and</w:t>
      </w:r>
      <w:r>
        <w:rPr>
          <w:spacing w:val="-8"/>
          <w:w w:val="110"/>
        </w:rPr>
        <w:t xml:space="preserve"> </w:t>
      </w:r>
      <w:r>
        <w:rPr>
          <w:w w:val="110"/>
        </w:rPr>
        <w:t>the</w:t>
      </w:r>
      <w:r>
        <w:rPr>
          <w:spacing w:val="-6"/>
          <w:w w:val="110"/>
        </w:rPr>
        <w:t xml:space="preserve"> </w:t>
      </w:r>
      <w:r>
        <w:rPr>
          <w:w w:val="110"/>
        </w:rPr>
        <w:t>potential</w:t>
      </w:r>
      <w:r>
        <w:rPr>
          <w:spacing w:val="-10"/>
          <w:w w:val="110"/>
        </w:rPr>
        <w:t xml:space="preserve"> </w:t>
      </w:r>
      <w:r>
        <w:rPr>
          <w:spacing w:val="-5"/>
          <w:w w:val="110"/>
        </w:rPr>
        <w:t>for</w:t>
      </w:r>
    </w:p>
    <w:p w:rsidR="00B84CED" w:rsidRDefault="00B84CED" w14:paraId="6151E557" w14:textId="77777777">
      <w:pPr>
        <w:pStyle w:val="BodyText"/>
        <w:rPr>
          <w:sz w:val="20"/>
        </w:rPr>
      </w:pPr>
    </w:p>
    <w:p w:rsidR="00B84CED" w:rsidRDefault="00794452" w14:paraId="1DD81B0A" w14:textId="77777777">
      <w:pPr>
        <w:pStyle w:val="BodyText"/>
        <w:spacing w:before="55"/>
        <w:rPr>
          <w:sz w:val="20"/>
        </w:rPr>
      </w:pPr>
      <w:r>
        <w:rPr>
          <w:noProof/>
          <w:sz w:val="20"/>
        </w:rPr>
        <mc:AlternateContent>
          <mc:Choice Requires="wps">
            <w:drawing>
              <wp:anchor distT="0" distB="0" distL="0" distR="0" simplePos="0" relativeHeight="487592960" behindDoc="1" locked="0" layoutInCell="1" allowOverlap="1" wp14:editId="78C0DB42" wp14:anchorId="14115A46">
                <wp:simplePos x="0" y="0"/>
                <wp:positionH relativeFrom="page">
                  <wp:posOffset>900683</wp:posOffset>
                </wp:positionH>
                <wp:positionV relativeFrom="paragraph">
                  <wp:posOffset>205519</wp:posOffset>
                </wp:positionV>
                <wp:extent cx="1828800" cy="9525"/>
                <wp:effectExtent l="0" t="0" r="0" b="0"/>
                <wp:wrapTopAndBottom/>
                <wp:docPr id="12"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76" style="position:absolute;margin-left:70.9pt;margin-top:16.2pt;width:2in;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4r1828800,l1828800,xe" w14:anchorId="22DFDDE1">
                <v:path arrowok="t"/>
                <w10:wrap type="topAndBottom" anchorx="page"/>
              </v:shape>
            </w:pict>
          </mc:Fallback>
        </mc:AlternateContent>
      </w:r>
    </w:p>
    <w:p w:rsidR="00B84CED" w:rsidRDefault="00794452" w14:paraId="06921FB6" w14:textId="77777777">
      <w:pPr>
        <w:spacing w:before="123"/>
        <w:ind w:left="1"/>
        <w:rPr>
          <w:sz w:val="16"/>
        </w:rPr>
      </w:pPr>
      <w:bookmarkStart w:name="_bookmark28" w:id="52"/>
      <w:bookmarkEnd w:id="52"/>
      <w:r>
        <w:rPr>
          <w:w w:val="115"/>
          <w:position w:val="6"/>
          <w:sz w:val="10"/>
        </w:rPr>
        <w:t>13</w:t>
      </w:r>
      <w:r>
        <w:rPr>
          <w:spacing w:val="12"/>
          <w:w w:val="115"/>
          <w:position w:val="6"/>
          <w:sz w:val="10"/>
        </w:rPr>
        <w:t xml:space="preserve"> </w:t>
      </w:r>
      <w:hyperlink r:id="rId36">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 24.09.25</w:t>
        </w:r>
        <w:r>
          <w:rPr>
            <w:color w:val="0000FF"/>
            <w:spacing w:val="-2"/>
            <w:w w:val="115"/>
            <w:sz w:val="16"/>
            <w:u w:val="single" w:color="0000FF"/>
          </w:rPr>
          <w:t xml:space="preserve"> </w:t>
        </w:r>
        <w:r>
          <w:rPr>
            <w:color w:val="0000FF"/>
            <w:spacing w:val="-4"/>
            <w:w w:val="115"/>
            <w:sz w:val="16"/>
            <w:u w:val="single" w:color="0000FF"/>
          </w:rPr>
          <w:t>p.21</w:t>
        </w:r>
      </w:hyperlink>
    </w:p>
    <w:p w:rsidR="00B84CED" w:rsidRDefault="00B84CED" w14:paraId="2ED72AC3" w14:textId="77777777">
      <w:pPr>
        <w:rPr>
          <w:sz w:val="16"/>
        </w:rPr>
        <w:sectPr w:rsidR="00B84CED" w:rsidSect="00196DB0">
          <w:footerReference w:type="even" r:id="Rcfccff4f73ab445d"/>
          <w:footerReference w:type="first" r:id="R378ee7d6489343bc"/>
          <w:headerReference w:type="even" r:id="R0e1f0577548944d3"/>
          <w:headerReference w:type="first" r:id="R5c53c0a96de64f8e"/>
          <w:pgSz w:w="11907" w:h="16839"/>
          <w:pgMar w:top="1134" w:right="1134" w:bottom="1134" w:left="1134" w:header="567" w:footer="567" w:gutter="0"/>
          <w:cols w:space="720"/>
          <w:docGrid w:linePitch="299"/>
        </w:sectPr>
      </w:pPr>
    </w:p>
    <w:p w:rsidR="00B84CED" w:rsidRDefault="00794452" w14:paraId="0F9043AC" w14:textId="77777777">
      <w:pPr>
        <w:pStyle w:val="BodyText"/>
        <w:spacing w:before="109" w:line="357" w:lineRule="auto"/>
        <w:ind w:left="219" w:right="681"/>
      </w:pPr>
      <w:r>
        <w:rPr>
          <w:w w:val="110"/>
        </w:rPr>
        <w:lastRenderedPageBreak/>
        <w:t>that conflict to spread to other European countries. Within this context, it was suggested that Europe is justified in taking necessary measures to strengthen defence and military capabilities, in order to prevent this from happening. In response to this assertion,</w:t>
      </w:r>
      <w:r>
        <w:rPr>
          <w:spacing w:val="-9"/>
          <w:w w:val="110"/>
        </w:rPr>
        <w:t xml:space="preserve"> </w:t>
      </w:r>
      <w:r>
        <w:rPr>
          <w:w w:val="110"/>
        </w:rPr>
        <w:t>representatives</w:t>
      </w:r>
      <w:r>
        <w:rPr>
          <w:spacing w:val="-8"/>
          <w:w w:val="110"/>
        </w:rPr>
        <w:t xml:space="preserve"> </w:t>
      </w:r>
      <w:r>
        <w:rPr>
          <w:w w:val="110"/>
        </w:rPr>
        <w:t>of</w:t>
      </w:r>
      <w:r>
        <w:rPr>
          <w:spacing w:val="-8"/>
          <w:w w:val="110"/>
        </w:rPr>
        <w:t xml:space="preserve"> </w:t>
      </w:r>
      <w:r>
        <w:rPr>
          <w:w w:val="110"/>
        </w:rPr>
        <w:t>the</w:t>
      </w:r>
      <w:r>
        <w:rPr>
          <w:spacing w:val="-8"/>
          <w:w w:val="110"/>
        </w:rPr>
        <w:t xml:space="preserve"> </w:t>
      </w:r>
      <w:r>
        <w:rPr>
          <w:w w:val="110"/>
        </w:rPr>
        <w:t>Conflict</w:t>
      </w:r>
      <w:r>
        <w:rPr>
          <w:spacing w:val="-7"/>
          <w:w w:val="110"/>
        </w:rPr>
        <w:t xml:space="preserve"> </w:t>
      </w:r>
      <w:r>
        <w:rPr>
          <w:w w:val="110"/>
        </w:rPr>
        <w:t>and</w:t>
      </w:r>
      <w:r>
        <w:rPr>
          <w:spacing w:val="-7"/>
          <w:w w:val="110"/>
        </w:rPr>
        <w:t xml:space="preserve"> </w:t>
      </w:r>
      <w:r>
        <w:rPr>
          <w:w w:val="110"/>
        </w:rPr>
        <w:t>Environment</w:t>
      </w:r>
      <w:r>
        <w:rPr>
          <w:spacing w:val="-7"/>
          <w:w w:val="110"/>
        </w:rPr>
        <w:t xml:space="preserve"> </w:t>
      </w:r>
      <w:r>
        <w:rPr>
          <w:w w:val="110"/>
        </w:rPr>
        <w:t>Observatory</w:t>
      </w:r>
      <w:r>
        <w:rPr>
          <w:spacing w:val="-9"/>
          <w:w w:val="110"/>
        </w:rPr>
        <w:t xml:space="preserve"> </w:t>
      </w:r>
      <w:r>
        <w:rPr>
          <w:w w:val="110"/>
        </w:rPr>
        <w:t>made</w:t>
      </w:r>
      <w:r>
        <w:rPr>
          <w:spacing w:val="-6"/>
          <w:w w:val="110"/>
        </w:rPr>
        <w:t xml:space="preserve"> </w:t>
      </w:r>
      <w:r>
        <w:rPr>
          <w:w w:val="110"/>
        </w:rPr>
        <w:t>the</w:t>
      </w:r>
      <w:r>
        <w:rPr>
          <w:spacing w:val="-8"/>
          <w:w w:val="110"/>
        </w:rPr>
        <w:t xml:space="preserve"> </w:t>
      </w:r>
      <w:r>
        <w:rPr>
          <w:w w:val="110"/>
        </w:rPr>
        <w:t xml:space="preserve">point that in consideration of threats to Europe, much discussion centres around Russia and the potential threats authoritarian governments across the world pose to people’s security, while the existential threat posed by climate change features much less in </w:t>
      </w:r>
      <w:r>
        <w:rPr>
          <w:spacing w:val="-2"/>
          <w:w w:val="110"/>
        </w:rPr>
        <w:t>discussions.</w:t>
      </w:r>
    </w:p>
    <w:p w:rsidR="00B84CED" w:rsidRDefault="00794452" w14:paraId="2C80E63E" w14:textId="77777777">
      <w:pPr>
        <w:pStyle w:val="BodyText"/>
        <w:spacing w:before="158" w:line="357" w:lineRule="auto"/>
        <w:ind w:left="219" w:right="681"/>
        <w:rPr>
          <w:position w:val="8"/>
          <w:sz w:val="13"/>
        </w:rPr>
      </w:pPr>
      <w:r>
        <w:rPr>
          <w:w w:val="110"/>
        </w:rPr>
        <w:t>The Committee heard that from the view of the Commission officials present, defence is considered in terms of the industrial perspective and what is required to assist member</w:t>
      </w:r>
      <w:r>
        <w:rPr>
          <w:spacing w:val="-2"/>
          <w:w w:val="110"/>
        </w:rPr>
        <w:t xml:space="preserve"> </w:t>
      </w:r>
      <w:r>
        <w:rPr>
          <w:w w:val="110"/>
        </w:rPr>
        <w:t>states to ramp-up</w:t>
      </w:r>
      <w:r>
        <w:rPr>
          <w:spacing w:val="-1"/>
          <w:w w:val="110"/>
        </w:rPr>
        <w:t xml:space="preserve"> </w:t>
      </w:r>
      <w:r>
        <w:rPr>
          <w:w w:val="110"/>
        </w:rPr>
        <w:t>defence</w:t>
      </w:r>
      <w:r>
        <w:rPr>
          <w:spacing w:val="-2"/>
          <w:w w:val="110"/>
        </w:rPr>
        <w:t xml:space="preserve"> </w:t>
      </w:r>
      <w:r>
        <w:rPr>
          <w:w w:val="110"/>
        </w:rPr>
        <w:t>industrial capabilities to the necessary standard</w:t>
      </w:r>
      <w:r>
        <w:rPr>
          <w:spacing w:val="-4"/>
          <w:w w:val="110"/>
        </w:rPr>
        <w:t xml:space="preserve"> </w:t>
      </w:r>
      <w:r>
        <w:rPr>
          <w:w w:val="110"/>
        </w:rPr>
        <w:t>to ensure common</w:t>
      </w:r>
      <w:r>
        <w:rPr>
          <w:spacing w:val="-4"/>
          <w:w w:val="110"/>
        </w:rPr>
        <w:t xml:space="preserve"> </w:t>
      </w:r>
      <w:r>
        <w:rPr>
          <w:w w:val="110"/>
        </w:rPr>
        <w:t>security</w:t>
      </w:r>
      <w:r>
        <w:rPr>
          <w:spacing w:val="-4"/>
          <w:w w:val="110"/>
        </w:rPr>
        <w:t xml:space="preserve"> </w:t>
      </w:r>
      <w:r>
        <w:rPr>
          <w:w w:val="110"/>
        </w:rPr>
        <w:t>defence</w:t>
      </w:r>
      <w:r>
        <w:rPr>
          <w:spacing w:val="-3"/>
          <w:w w:val="110"/>
        </w:rPr>
        <w:t xml:space="preserve"> </w:t>
      </w:r>
      <w:r>
        <w:rPr>
          <w:w w:val="110"/>
        </w:rPr>
        <w:t>and</w:t>
      </w:r>
      <w:r>
        <w:rPr>
          <w:spacing w:val="-2"/>
          <w:w w:val="110"/>
        </w:rPr>
        <w:t xml:space="preserve"> </w:t>
      </w:r>
      <w:r>
        <w:rPr>
          <w:w w:val="110"/>
        </w:rPr>
        <w:t>meet</w:t>
      </w:r>
      <w:r>
        <w:rPr>
          <w:spacing w:val="-2"/>
          <w:w w:val="110"/>
        </w:rPr>
        <w:t xml:space="preserve"> </w:t>
      </w:r>
      <w:r>
        <w:rPr>
          <w:w w:val="110"/>
        </w:rPr>
        <w:t>the</w:t>
      </w:r>
      <w:r>
        <w:rPr>
          <w:spacing w:val="-3"/>
          <w:w w:val="110"/>
        </w:rPr>
        <w:t xml:space="preserve"> </w:t>
      </w:r>
      <w:r>
        <w:rPr>
          <w:w w:val="110"/>
        </w:rPr>
        <w:t>requirements</w:t>
      </w:r>
      <w:r>
        <w:rPr>
          <w:spacing w:val="-3"/>
          <w:w w:val="110"/>
        </w:rPr>
        <w:t xml:space="preserve"> </w:t>
      </w:r>
      <w:r>
        <w:rPr>
          <w:w w:val="110"/>
        </w:rPr>
        <w:t>set</w:t>
      </w:r>
      <w:r>
        <w:rPr>
          <w:spacing w:val="-2"/>
          <w:w w:val="110"/>
        </w:rPr>
        <w:t xml:space="preserve"> </w:t>
      </w:r>
      <w:r>
        <w:rPr>
          <w:w w:val="110"/>
        </w:rPr>
        <w:t>by</w:t>
      </w:r>
      <w:r>
        <w:rPr>
          <w:spacing w:val="-4"/>
          <w:w w:val="110"/>
        </w:rPr>
        <w:t xml:space="preserve"> </w:t>
      </w:r>
      <w:r>
        <w:rPr>
          <w:w w:val="110"/>
        </w:rPr>
        <w:t>NATO,</w:t>
      </w:r>
      <w:r>
        <w:rPr>
          <w:spacing w:val="-2"/>
          <w:w w:val="110"/>
        </w:rPr>
        <w:t xml:space="preserve"> </w:t>
      </w:r>
      <w:r>
        <w:rPr>
          <w:w w:val="110"/>
        </w:rPr>
        <w:t>such</w:t>
      </w:r>
      <w:r>
        <w:rPr>
          <w:spacing w:val="-2"/>
          <w:w w:val="110"/>
        </w:rPr>
        <w:t xml:space="preserve"> </w:t>
      </w:r>
      <w:r>
        <w:rPr>
          <w:w w:val="110"/>
        </w:rPr>
        <w:t>as</w:t>
      </w:r>
      <w:r>
        <w:rPr>
          <w:spacing w:val="-3"/>
          <w:w w:val="110"/>
        </w:rPr>
        <w:t xml:space="preserve"> </w:t>
      </w:r>
      <w:r>
        <w:rPr>
          <w:w w:val="110"/>
        </w:rPr>
        <w:t>the 5% investment in defence. Commission officials explained that the objective of European defence programmes they manage is to strengthen European industry and independence in industrial capacities and reduce dependencies on other countries.</w:t>
      </w:r>
      <w:hyperlink w:history="1" w:anchor="_bookmark30">
        <w:r>
          <w:rPr>
            <w:w w:val="110"/>
            <w:position w:val="8"/>
            <w:sz w:val="13"/>
          </w:rPr>
          <w:t>14</w:t>
        </w:r>
      </w:hyperlink>
    </w:p>
    <w:p w:rsidR="00B84CED" w:rsidRDefault="00794452" w14:paraId="680D9A4F" w14:textId="77777777">
      <w:pPr>
        <w:pStyle w:val="BodyText"/>
        <w:spacing w:before="164" w:line="357" w:lineRule="auto"/>
        <w:ind w:left="219" w:right="778"/>
        <w:rPr>
          <w:position w:val="8"/>
          <w:sz w:val="13"/>
        </w:rPr>
      </w:pPr>
      <w:r>
        <w:rPr>
          <w:w w:val="110"/>
        </w:rPr>
        <w:t>Representatives</w:t>
      </w:r>
      <w:r>
        <w:rPr>
          <w:spacing w:val="-6"/>
          <w:w w:val="110"/>
        </w:rPr>
        <w:t xml:space="preserve"> </w:t>
      </w:r>
      <w:r>
        <w:rPr>
          <w:w w:val="110"/>
        </w:rPr>
        <w:t>of</w:t>
      </w:r>
      <w:r>
        <w:rPr>
          <w:spacing w:val="-5"/>
          <w:w w:val="110"/>
        </w:rPr>
        <w:t xml:space="preserve"> </w:t>
      </w:r>
      <w:r>
        <w:rPr>
          <w:w w:val="110"/>
        </w:rPr>
        <w:t>the</w:t>
      </w:r>
      <w:r>
        <w:rPr>
          <w:spacing w:val="-4"/>
          <w:w w:val="110"/>
        </w:rPr>
        <w:t xml:space="preserve"> </w:t>
      </w:r>
      <w:r>
        <w:rPr>
          <w:w w:val="110"/>
        </w:rPr>
        <w:t>Conflict</w:t>
      </w:r>
      <w:r>
        <w:rPr>
          <w:spacing w:val="-5"/>
          <w:w w:val="110"/>
        </w:rPr>
        <w:t xml:space="preserve"> </w:t>
      </w:r>
      <w:r>
        <w:rPr>
          <w:w w:val="110"/>
        </w:rPr>
        <w:t>and</w:t>
      </w:r>
      <w:r>
        <w:rPr>
          <w:spacing w:val="-8"/>
          <w:w w:val="110"/>
        </w:rPr>
        <w:t xml:space="preserve"> </w:t>
      </w:r>
      <w:r>
        <w:rPr>
          <w:w w:val="110"/>
        </w:rPr>
        <w:t>Environment</w:t>
      </w:r>
      <w:r>
        <w:rPr>
          <w:spacing w:val="-7"/>
          <w:w w:val="110"/>
        </w:rPr>
        <w:t xml:space="preserve"> </w:t>
      </w:r>
      <w:r>
        <w:rPr>
          <w:w w:val="110"/>
        </w:rPr>
        <w:t>Observatory</w:t>
      </w:r>
      <w:r>
        <w:rPr>
          <w:spacing w:val="-7"/>
          <w:w w:val="110"/>
        </w:rPr>
        <w:t xml:space="preserve"> </w:t>
      </w:r>
      <w:r>
        <w:rPr>
          <w:w w:val="110"/>
        </w:rPr>
        <w:t>noted</w:t>
      </w:r>
      <w:r>
        <w:rPr>
          <w:spacing w:val="-5"/>
          <w:w w:val="110"/>
        </w:rPr>
        <w:t xml:space="preserve"> </w:t>
      </w:r>
      <w:r>
        <w:rPr>
          <w:w w:val="110"/>
        </w:rPr>
        <w:t>that</w:t>
      </w:r>
      <w:r>
        <w:rPr>
          <w:spacing w:val="-5"/>
          <w:w w:val="110"/>
        </w:rPr>
        <w:t xml:space="preserve"> </w:t>
      </w:r>
      <w:r>
        <w:rPr>
          <w:w w:val="110"/>
        </w:rPr>
        <w:t>if</w:t>
      </w:r>
      <w:r>
        <w:rPr>
          <w:spacing w:val="-5"/>
          <w:w w:val="110"/>
        </w:rPr>
        <w:t xml:space="preserve"> </w:t>
      </w:r>
      <w:r>
        <w:rPr>
          <w:w w:val="110"/>
        </w:rPr>
        <w:t>a</w:t>
      </w:r>
      <w:r>
        <w:rPr>
          <w:spacing w:val="-5"/>
          <w:w w:val="110"/>
        </w:rPr>
        <w:t xml:space="preserve"> </w:t>
      </w:r>
      <w:r>
        <w:rPr>
          <w:w w:val="110"/>
        </w:rPr>
        <w:t>historical overview is taken, points of incredibly high military spending are not points of peace. Such periods are typically followed by great efforts to reduce military spending. With the</w:t>
      </w:r>
      <w:r>
        <w:rPr>
          <w:spacing w:val="-1"/>
          <w:w w:val="110"/>
        </w:rPr>
        <w:t xml:space="preserve"> </w:t>
      </w:r>
      <w:r>
        <w:rPr>
          <w:w w:val="110"/>
        </w:rPr>
        <w:t>current</w:t>
      </w:r>
      <w:r>
        <w:rPr>
          <w:spacing w:val="-3"/>
          <w:w w:val="110"/>
        </w:rPr>
        <w:t xml:space="preserve"> </w:t>
      </w:r>
      <w:r>
        <w:rPr>
          <w:w w:val="110"/>
        </w:rPr>
        <w:t>projected</w:t>
      </w:r>
      <w:r>
        <w:rPr>
          <w:spacing w:val="-3"/>
          <w:w w:val="110"/>
        </w:rPr>
        <w:t xml:space="preserve"> </w:t>
      </w:r>
      <w:r>
        <w:rPr>
          <w:w w:val="110"/>
        </w:rPr>
        <w:t>pattern</w:t>
      </w:r>
      <w:r>
        <w:rPr>
          <w:spacing w:val="-5"/>
          <w:w w:val="110"/>
        </w:rPr>
        <w:t xml:space="preserve"> </w:t>
      </w:r>
      <w:r>
        <w:rPr>
          <w:w w:val="110"/>
        </w:rPr>
        <w:t>of</w:t>
      </w:r>
      <w:r>
        <w:rPr>
          <w:spacing w:val="-2"/>
          <w:w w:val="110"/>
        </w:rPr>
        <w:t xml:space="preserve"> </w:t>
      </w:r>
      <w:r>
        <w:rPr>
          <w:w w:val="110"/>
        </w:rPr>
        <w:t>military</w:t>
      </w:r>
      <w:r>
        <w:rPr>
          <w:spacing w:val="-5"/>
          <w:w w:val="110"/>
        </w:rPr>
        <w:t xml:space="preserve"> </w:t>
      </w:r>
      <w:r>
        <w:rPr>
          <w:w w:val="110"/>
        </w:rPr>
        <w:t>spending</w:t>
      </w:r>
      <w:r>
        <w:rPr>
          <w:spacing w:val="-1"/>
          <w:w w:val="110"/>
        </w:rPr>
        <w:t xml:space="preserve"> </w:t>
      </w:r>
      <w:r>
        <w:rPr>
          <w:w w:val="110"/>
        </w:rPr>
        <w:t>by</w:t>
      </w:r>
      <w:r>
        <w:rPr>
          <w:spacing w:val="-2"/>
          <w:w w:val="110"/>
        </w:rPr>
        <w:t xml:space="preserve"> </w:t>
      </w:r>
      <w:r>
        <w:rPr>
          <w:w w:val="110"/>
        </w:rPr>
        <w:t>2035</w:t>
      </w:r>
      <w:r>
        <w:rPr>
          <w:spacing w:val="-5"/>
          <w:w w:val="110"/>
        </w:rPr>
        <w:t xml:space="preserve"> </w:t>
      </w:r>
      <w:r>
        <w:rPr>
          <w:w w:val="110"/>
        </w:rPr>
        <w:t>spend</w:t>
      </w:r>
      <w:r>
        <w:rPr>
          <w:spacing w:val="-3"/>
          <w:w w:val="110"/>
        </w:rPr>
        <w:t xml:space="preserve"> </w:t>
      </w:r>
      <w:r>
        <w:rPr>
          <w:w w:val="110"/>
        </w:rPr>
        <w:t>in</w:t>
      </w:r>
      <w:r>
        <w:rPr>
          <w:spacing w:val="-3"/>
          <w:w w:val="110"/>
        </w:rPr>
        <w:t xml:space="preserve"> </w:t>
      </w:r>
      <w:r>
        <w:rPr>
          <w:w w:val="110"/>
        </w:rPr>
        <w:t>this</w:t>
      </w:r>
      <w:r>
        <w:rPr>
          <w:spacing w:val="-7"/>
          <w:w w:val="110"/>
        </w:rPr>
        <w:t xml:space="preserve"> </w:t>
      </w:r>
      <w:r>
        <w:rPr>
          <w:w w:val="110"/>
        </w:rPr>
        <w:t>area</w:t>
      </w:r>
      <w:r>
        <w:rPr>
          <w:spacing w:val="-3"/>
          <w:w w:val="110"/>
        </w:rPr>
        <w:t xml:space="preserve"> </w:t>
      </w:r>
      <w:r>
        <w:rPr>
          <w:w w:val="110"/>
        </w:rPr>
        <w:t>could</w:t>
      </w:r>
      <w:r>
        <w:rPr>
          <w:spacing w:val="-3"/>
          <w:w w:val="110"/>
        </w:rPr>
        <w:t xml:space="preserve"> </w:t>
      </w:r>
      <w:r>
        <w:rPr>
          <w:w w:val="110"/>
        </w:rPr>
        <w:t>be as high as €6.6 trillion which is nearly five time the level at the end of the Cold War.</w:t>
      </w:r>
      <w:hyperlink w:history="1" w:anchor="_bookmark31">
        <w:r>
          <w:rPr>
            <w:w w:val="110"/>
            <w:position w:val="8"/>
            <w:sz w:val="13"/>
          </w:rPr>
          <w:t>15</w:t>
        </w:r>
      </w:hyperlink>
    </w:p>
    <w:p w:rsidR="00B84CED" w:rsidRDefault="00794452" w14:paraId="6CE5B4F8" w14:textId="77777777">
      <w:pPr>
        <w:pStyle w:val="Heading2"/>
        <w:spacing w:before="202"/>
      </w:pPr>
      <w:bookmarkStart w:name="Legal_basis_for_the_SAFE_Regulation" w:id="53"/>
      <w:bookmarkStart w:name="_bookmark29" w:id="54"/>
      <w:bookmarkEnd w:id="53"/>
      <w:bookmarkEnd w:id="54"/>
      <w:r>
        <w:rPr>
          <w:color w:val="395C66"/>
          <w:w w:val="110"/>
        </w:rPr>
        <w:t>Legal</w:t>
      </w:r>
      <w:r>
        <w:rPr>
          <w:color w:val="395C66"/>
          <w:spacing w:val="6"/>
          <w:w w:val="110"/>
        </w:rPr>
        <w:t xml:space="preserve"> </w:t>
      </w:r>
      <w:r>
        <w:rPr>
          <w:color w:val="395C66"/>
          <w:w w:val="110"/>
        </w:rPr>
        <w:t>basis</w:t>
      </w:r>
      <w:r>
        <w:rPr>
          <w:color w:val="395C66"/>
          <w:spacing w:val="9"/>
          <w:w w:val="110"/>
        </w:rPr>
        <w:t xml:space="preserve"> </w:t>
      </w:r>
      <w:r>
        <w:rPr>
          <w:color w:val="395C66"/>
          <w:w w:val="110"/>
        </w:rPr>
        <w:t>for</w:t>
      </w:r>
      <w:r>
        <w:rPr>
          <w:color w:val="395C66"/>
          <w:spacing w:val="9"/>
          <w:w w:val="110"/>
        </w:rPr>
        <w:t xml:space="preserve"> </w:t>
      </w:r>
      <w:r>
        <w:rPr>
          <w:color w:val="395C66"/>
          <w:w w:val="110"/>
        </w:rPr>
        <w:t>the</w:t>
      </w:r>
      <w:r>
        <w:rPr>
          <w:color w:val="395C66"/>
          <w:spacing w:val="7"/>
          <w:w w:val="110"/>
        </w:rPr>
        <w:t xml:space="preserve"> </w:t>
      </w:r>
      <w:r>
        <w:rPr>
          <w:color w:val="395C66"/>
          <w:w w:val="110"/>
        </w:rPr>
        <w:t>SAFE</w:t>
      </w:r>
      <w:r>
        <w:rPr>
          <w:color w:val="395C66"/>
          <w:spacing w:val="7"/>
          <w:w w:val="110"/>
        </w:rPr>
        <w:t xml:space="preserve"> </w:t>
      </w:r>
      <w:r>
        <w:rPr>
          <w:color w:val="395C66"/>
          <w:spacing w:val="-2"/>
          <w:w w:val="110"/>
        </w:rPr>
        <w:t>Regulation</w:t>
      </w:r>
    </w:p>
    <w:p w:rsidR="00B84CED" w:rsidRDefault="00794452" w14:paraId="435C79FE" w14:textId="77777777">
      <w:pPr>
        <w:pStyle w:val="BodyText"/>
        <w:spacing w:before="187" w:line="357" w:lineRule="auto"/>
        <w:ind w:left="219" w:right="459"/>
      </w:pPr>
      <w:r>
        <w:rPr>
          <w:w w:val="110"/>
        </w:rPr>
        <w:t>The SAFE Regulation will see applicant countries draw down loans which are secured against</w:t>
      </w:r>
      <w:r>
        <w:rPr>
          <w:spacing w:val="-2"/>
          <w:w w:val="110"/>
        </w:rPr>
        <w:t xml:space="preserve"> </w:t>
      </w:r>
      <w:r>
        <w:rPr>
          <w:w w:val="110"/>
        </w:rPr>
        <w:t>the</w:t>
      </w:r>
      <w:r>
        <w:rPr>
          <w:spacing w:val="-3"/>
          <w:w w:val="110"/>
        </w:rPr>
        <w:t xml:space="preserve"> </w:t>
      </w:r>
      <w:r>
        <w:rPr>
          <w:w w:val="110"/>
        </w:rPr>
        <w:t>EU’s</w:t>
      </w:r>
      <w:r>
        <w:rPr>
          <w:spacing w:val="-1"/>
          <w:w w:val="110"/>
        </w:rPr>
        <w:t xml:space="preserve"> </w:t>
      </w:r>
      <w:r>
        <w:rPr>
          <w:w w:val="110"/>
        </w:rPr>
        <w:t>budget.</w:t>
      </w:r>
      <w:r>
        <w:rPr>
          <w:spacing w:val="-4"/>
          <w:w w:val="110"/>
        </w:rPr>
        <w:t xml:space="preserve"> </w:t>
      </w:r>
      <w:r>
        <w:rPr>
          <w:w w:val="110"/>
        </w:rPr>
        <w:t>If</w:t>
      </w:r>
      <w:r>
        <w:rPr>
          <w:spacing w:val="-3"/>
          <w:w w:val="110"/>
        </w:rPr>
        <w:t xml:space="preserve"> </w:t>
      </w:r>
      <w:r>
        <w:rPr>
          <w:w w:val="110"/>
        </w:rPr>
        <w:t>Member</w:t>
      </w:r>
      <w:r>
        <w:rPr>
          <w:spacing w:val="-1"/>
          <w:w w:val="110"/>
        </w:rPr>
        <w:t xml:space="preserve"> </w:t>
      </w:r>
      <w:r>
        <w:rPr>
          <w:w w:val="110"/>
        </w:rPr>
        <w:t>States</w:t>
      </w:r>
      <w:r>
        <w:rPr>
          <w:spacing w:val="-1"/>
          <w:w w:val="110"/>
        </w:rPr>
        <w:t xml:space="preserve"> </w:t>
      </w:r>
      <w:r>
        <w:rPr>
          <w:w w:val="110"/>
        </w:rPr>
        <w:t>default</w:t>
      </w:r>
      <w:r>
        <w:rPr>
          <w:spacing w:val="-2"/>
          <w:w w:val="110"/>
        </w:rPr>
        <w:t xml:space="preserve"> </w:t>
      </w:r>
      <w:r>
        <w:rPr>
          <w:w w:val="110"/>
        </w:rPr>
        <w:t>on</w:t>
      </w:r>
      <w:r>
        <w:rPr>
          <w:spacing w:val="-6"/>
          <w:w w:val="110"/>
        </w:rPr>
        <w:t xml:space="preserve"> </w:t>
      </w:r>
      <w:r>
        <w:rPr>
          <w:w w:val="110"/>
        </w:rPr>
        <w:t>repayments</w:t>
      </w:r>
      <w:r>
        <w:rPr>
          <w:spacing w:val="-3"/>
          <w:w w:val="110"/>
        </w:rPr>
        <w:t xml:space="preserve"> </w:t>
      </w:r>
      <w:r>
        <w:rPr>
          <w:w w:val="110"/>
        </w:rPr>
        <w:t>it</w:t>
      </w:r>
      <w:r>
        <w:rPr>
          <w:spacing w:val="-2"/>
          <w:w w:val="110"/>
        </w:rPr>
        <w:t xml:space="preserve"> </w:t>
      </w:r>
      <w:r>
        <w:rPr>
          <w:w w:val="110"/>
        </w:rPr>
        <w:t>will</w:t>
      </w:r>
      <w:r>
        <w:rPr>
          <w:spacing w:val="-2"/>
          <w:w w:val="110"/>
        </w:rPr>
        <w:t xml:space="preserve"> </w:t>
      </w:r>
      <w:r>
        <w:rPr>
          <w:w w:val="110"/>
        </w:rPr>
        <w:t>fall</w:t>
      </w:r>
      <w:r>
        <w:rPr>
          <w:spacing w:val="-2"/>
          <w:w w:val="110"/>
        </w:rPr>
        <w:t xml:space="preserve"> </w:t>
      </w:r>
      <w:r>
        <w:rPr>
          <w:w w:val="110"/>
        </w:rPr>
        <w:t>to the</w:t>
      </w:r>
      <w:r>
        <w:rPr>
          <w:spacing w:val="-3"/>
          <w:w w:val="110"/>
        </w:rPr>
        <w:t xml:space="preserve"> </w:t>
      </w:r>
      <w:r>
        <w:rPr>
          <w:w w:val="110"/>
        </w:rPr>
        <w:t>EU</w:t>
      </w:r>
      <w:r>
        <w:rPr>
          <w:spacing w:val="-2"/>
          <w:w w:val="110"/>
        </w:rPr>
        <w:t xml:space="preserve"> </w:t>
      </w:r>
      <w:r>
        <w:rPr>
          <w:w w:val="110"/>
        </w:rPr>
        <w:t>as guarantor of the fund to repay the amount outstanding. This would</w:t>
      </w:r>
      <w:r>
        <w:rPr>
          <w:spacing w:val="-1"/>
          <w:w w:val="110"/>
        </w:rPr>
        <w:t xml:space="preserve"> </w:t>
      </w:r>
      <w:r>
        <w:rPr>
          <w:w w:val="110"/>
        </w:rPr>
        <w:t>in turn, see the EU budget being dispersed to cover the cost of procuring lethal weapons, which is as previously mentioned, prohibited under EU law.</w:t>
      </w:r>
      <w:r>
        <w:rPr>
          <w:spacing w:val="-2"/>
          <w:w w:val="110"/>
        </w:rPr>
        <w:t xml:space="preserve"> </w:t>
      </w:r>
      <w:r>
        <w:rPr>
          <w:w w:val="110"/>
        </w:rPr>
        <w:t>Ireland, as a net contributor to the EU, would then potentially be liable for repaying part of the outstanding debt.</w:t>
      </w:r>
    </w:p>
    <w:p w:rsidR="00B84CED" w:rsidRDefault="00B84CED" w14:paraId="4DC0CE54" w14:textId="77777777">
      <w:pPr>
        <w:pStyle w:val="BodyText"/>
        <w:rPr>
          <w:sz w:val="20"/>
        </w:rPr>
      </w:pPr>
    </w:p>
    <w:p w:rsidR="00B84CED" w:rsidRDefault="00794452" w14:paraId="78B84A2C" w14:textId="77777777">
      <w:pPr>
        <w:pStyle w:val="BodyText"/>
        <w:spacing w:before="233"/>
        <w:rPr>
          <w:sz w:val="20"/>
        </w:rPr>
      </w:pPr>
      <w:r>
        <w:rPr>
          <w:noProof/>
          <w:sz w:val="20"/>
        </w:rPr>
        <mc:AlternateContent>
          <mc:Choice Requires="wps">
            <w:drawing>
              <wp:anchor distT="0" distB="0" distL="0" distR="0" simplePos="0" relativeHeight="487593472" behindDoc="1" locked="0" layoutInCell="1" allowOverlap="1" wp14:editId="6FD5CC2E" wp14:anchorId="19A87D26">
                <wp:simplePos x="0" y="0"/>
                <wp:positionH relativeFrom="page">
                  <wp:posOffset>900683</wp:posOffset>
                </wp:positionH>
                <wp:positionV relativeFrom="paragraph">
                  <wp:posOffset>318775</wp:posOffset>
                </wp:positionV>
                <wp:extent cx="1828800" cy="9525"/>
                <wp:effectExtent l="0" t="0" r="0" b="0"/>
                <wp:wrapTopAndBottom/>
                <wp:docPr id="13"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80" style="position:absolute;margin-left:70.9pt;margin-top:25.1pt;width:2in;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3r1828800,l1828800,xe" w14:anchorId="09281586">
                <v:path arrowok="t"/>
                <w10:wrap type="topAndBottom" anchorx="page"/>
              </v:shape>
            </w:pict>
          </mc:Fallback>
        </mc:AlternateContent>
      </w:r>
    </w:p>
    <w:p w:rsidR="00B84CED" w:rsidRDefault="00794452" w14:paraId="51027C22" w14:textId="77777777">
      <w:pPr>
        <w:spacing w:before="123"/>
        <w:ind w:left="1"/>
        <w:rPr>
          <w:sz w:val="16"/>
        </w:rPr>
      </w:pPr>
      <w:bookmarkStart w:name="_bookmark30" w:id="55"/>
      <w:bookmarkEnd w:id="55"/>
      <w:r>
        <w:rPr>
          <w:w w:val="115"/>
          <w:position w:val="6"/>
          <w:sz w:val="10"/>
        </w:rPr>
        <w:t>14</w:t>
      </w:r>
      <w:r>
        <w:rPr>
          <w:spacing w:val="12"/>
          <w:w w:val="115"/>
          <w:position w:val="6"/>
          <w:sz w:val="10"/>
        </w:rPr>
        <w:t xml:space="preserve"> </w:t>
      </w:r>
      <w:hyperlink r:id="rId37">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 15.10.25</w:t>
        </w:r>
        <w:r>
          <w:rPr>
            <w:color w:val="0000FF"/>
            <w:spacing w:val="-2"/>
            <w:w w:val="115"/>
            <w:sz w:val="16"/>
            <w:u w:val="single" w:color="0000FF"/>
          </w:rPr>
          <w:t xml:space="preserve"> </w:t>
        </w:r>
        <w:r>
          <w:rPr>
            <w:color w:val="0000FF"/>
            <w:spacing w:val="-4"/>
            <w:w w:val="115"/>
            <w:sz w:val="16"/>
            <w:u w:val="single" w:color="0000FF"/>
          </w:rPr>
          <w:t>p.15</w:t>
        </w:r>
      </w:hyperlink>
    </w:p>
    <w:p w:rsidR="00B84CED" w:rsidRDefault="00B84CED" w14:paraId="676111D2" w14:textId="77777777">
      <w:pPr>
        <w:pStyle w:val="BodyText"/>
        <w:spacing w:before="21"/>
        <w:rPr>
          <w:sz w:val="16"/>
        </w:rPr>
      </w:pPr>
    </w:p>
    <w:p w:rsidR="00B84CED" w:rsidRDefault="00794452" w14:paraId="11F58D98" w14:textId="77777777">
      <w:pPr>
        <w:spacing w:before="1"/>
        <w:ind w:left="1"/>
        <w:rPr>
          <w:sz w:val="16"/>
        </w:rPr>
      </w:pPr>
      <w:bookmarkStart w:name="_bookmark31" w:id="56"/>
      <w:bookmarkEnd w:id="56"/>
      <w:r>
        <w:rPr>
          <w:w w:val="115"/>
          <w:position w:val="6"/>
          <w:sz w:val="10"/>
        </w:rPr>
        <w:t>15</w:t>
      </w:r>
      <w:r>
        <w:rPr>
          <w:spacing w:val="12"/>
          <w:w w:val="115"/>
          <w:position w:val="6"/>
          <w:sz w:val="10"/>
        </w:rPr>
        <w:t xml:space="preserve"> </w:t>
      </w:r>
      <w:hyperlink r:id="rId38">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 24.09.25</w:t>
        </w:r>
        <w:r>
          <w:rPr>
            <w:color w:val="0000FF"/>
            <w:spacing w:val="-2"/>
            <w:w w:val="115"/>
            <w:sz w:val="16"/>
            <w:u w:val="single" w:color="0000FF"/>
          </w:rPr>
          <w:t xml:space="preserve"> </w:t>
        </w:r>
        <w:r>
          <w:rPr>
            <w:color w:val="0000FF"/>
            <w:spacing w:val="-4"/>
            <w:w w:val="115"/>
            <w:sz w:val="16"/>
            <w:u w:val="single" w:color="0000FF"/>
          </w:rPr>
          <w:t>p.31</w:t>
        </w:r>
      </w:hyperlink>
    </w:p>
    <w:p w:rsidR="00B84CED" w:rsidRDefault="00B84CED" w14:paraId="1445ADB4" w14:textId="77777777">
      <w:pPr>
        <w:rPr>
          <w:sz w:val="16"/>
        </w:rPr>
        <w:sectPr w:rsidR="00B84CED" w:rsidSect="00196DB0">
          <w:footerReference w:type="even" r:id="R45ceaffb26cb455a"/>
          <w:footerReference w:type="first" r:id="Re3a64575fc74436a"/>
          <w:headerReference w:type="even" r:id="Rde26f34ac07d4c07"/>
          <w:headerReference w:type="first" r:id="Rdb29c7fdd68047d0"/>
          <w:pgSz w:w="11907" w:h="16839"/>
          <w:pgMar w:top="1134" w:right="1134" w:bottom="1134" w:left="1134" w:header="567" w:footer="567" w:gutter="0"/>
          <w:cols w:space="720"/>
          <w:docGrid w:linePitch="299"/>
        </w:sectPr>
      </w:pPr>
    </w:p>
    <w:p w:rsidR="00B84CED" w:rsidRDefault="00794452" w14:paraId="50258FAE" w14:textId="77777777">
      <w:pPr>
        <w:spacing w:before="109" w:line="357" w:lineRule="auto"/>
        <w:ind w:left="219" w:right="681"/>
        <w:rPr>
          <w:i/>
        </w:rPr>
      </w:pPr>
      <w:r>
        <w:rPr>
          <w:w w:val="110"/>
        </w:rPr>
        <w:lastRenderedPageBreak/>
        <w:t>The legal basis for the SAFE Regulation is underpinned by Article 122 of the TFEU. Article 122</w:t>
      </w:r>
      <w:hyperlink w:history="1" w:anchor="_bookmark32">
        <w:r>
          <w:rPr>
            <w:w w:val="110"/>
            <w:position w:val="8"/>
            <w:sz w:val="13"/>
          </w:rPr>
          <w:t>16</w:t>
        </w:r>
      </w:hyperlink>
      <w:r>
        <w:rPr>
          <w:spacing w:val="-1"/>
          <w:w w:val="110"/>
          <w:position w:val="8"/>
          <w:sz w:val="13"/>
        </w:rPr>
        <w:t xml:space="preserve"> </w:t>
      </w:r>
      <w:r>
        <w:rPr>
          <w:w w:val="110"/>
        </w:rPr>
        <w:t>is an</w:t>
      </w:r>
      <w:r>
        <w:rPr>
          <w:spacing w:val="-2"/>
          <w:w w:val="110"/>
        </w:rPr>
        <w:t xml:space="preserve"> </w:t>
      </w:r>
      <w:r>
        <w:rPr>
          <w:w w:val="110"/>
        </w:rPr>
        <w:t>emergency measure</w:t>
      </w:r>
      <w:r>
        <w:rPr>
          <w:spacing w:val="-1"/>
          <w:w w:val="110"/>
        </w:rPr>
        <w:t xml:space="preserve"> </w:t>
      </w:r>
      <w:r>
        <w:rPr>
          <w:w w:val="110"/>
        </w:rPr>
        <w:t>that permits the</w:t>
      </w:r>
      <w:r>
        <w:rPr>
          <w:spacing w:val="-1"/>
          <w:w w:val="110"/>
        </w:rPr>
        <w:t xml:space="preserve"> </w:t>
      </w:r>
      <w:r>
        <w:rPr>
          <w:w w:val="110"/>
        </w:rPr>
        <w:t xml:space="preserve">European Commission and the Council to bypass the Parliament in cases of </w:t>
      </w:r>
      <w:r>
        <w:rPr>
          <w:i/>
          <w:w w:val="110"/>
        </w:rPr>
        <w:t>“…severe difficulties caused by natural disasters or exceptional occurrences…”.</w:t>
      </w:r>
    </w:p>
    <w:p w:rsidR="00B84CED" w:rsidRDefault="00794452" w14:paraId="4C05F661" w14:textId="77777777">
      <w:pPr>
        <w:pStyle w:val="BodyText"/>
        <w:spacing w:before="161" w:line="357" w:lineRule="auto"/>
        <w:ind w:left="219" w:right="796" w:hanging="3"/>
      </w:pPr>
      <w:r>
        <w:rPr>
          <w:w w:val="110"/>
        </w:rPr>
        <w:t>41.2 A</w:t>
      </w:r>
      <w:r>
        <w:rPr>
          <w:spacing w:val="-2"/>
          <w:w w:val="110"/>
        </w:rPr>
        <w:t xml:space="preserve"> </w:t>
      </w:r>
      <w:r>
        <w:rPr>
          <w:w w:val="110"/>
        </w:rPr>
        <w:t>legal</w:t>
      </w:r>
      <w:r>
        <w:rPr>
          <w:spacing w:val="-2"/>
          <w:w w:val="110"/>
        </w:rPr>
        <w:t xml:space="preserve"> </w:t>
      </w:r>
      <w:r>
        <w:rPr>
          <w:w w:val="110"/>
        </w:rPr>
        <w:t>question</w:t>
      </w:r>
      <w:r>
        <w:rPr>
          <w:spacing w:val="-3"/>
          <w:w w:val="110"/>
        </w:rPr>
        <w:t xml:space="preserve"> </w:t>
      </w:r>
      <w:r>
        <w:rPr>
          <w:w w:val="110"/>
        </w:rPr>
        <w:t>thus</w:t>
      </w:r>
      <w:r>
        <w:rPr>
          <w:spacing w:val="-4"/>
          <w:w w:val="110"/>
        </w:rPr>
        <w:t xml:space="preserve"> </w:t>
      </w:r>
      <w:r>
        <w:rPr>
          <w:w w:val="110"/>
        </w:rPr>
        <w:t>arises</w:t>
      </w:r>
      <w:r>
        <w:rPr>
          <w:spacing w:val="-4"/>
          <w:w w:val="110"/>
        </w:rPr>
        <w:t xml:space="preserve"> </w:t>
      </w:r>
      <w:r>
        <w:rPr>
          <w:w w:val="110"/>
        </w:rPr>
        <w:t>with</w:t>
      </w:r>
      <w:r>
        <w:rPr>
          <w:spacing w:val="-5"/>
          <w:w w:val="110"/>
        </w:rPr>
        <w:t xml:space="preserve"> </w:t>
      </w:r>
      <w:r>
        <w:rPr>
          <w:w w:val="110"/>
        </w:rPr>
        <w:t>regard</w:t>
      </w:r>
      <w:r>
        <w:rPr>
          <w:spacing w:val="-3"/>
          <w:w w:val="110"/>
        </w:rPr>
        <w:t xml:space="preserve"> </w:t>
      </w:r>
      <w:r>
        <w:rPr>
          <w:w w:val="110"/>
        </w:rPr>
        <w:t>to</w:t>
      </w:r>
      <w:r>
        <w:rPr>
          <w:spacing w:val="-4"/>
          <w:w w:val="110"/>
        </w:rPr>
        <w:t xml:space="preserve"> </w:t>
      </w:r>
      <w:r>
        <w:rPr>
          <w:w w:val="110"/>
        </w:rPr>
        <w:t>this</w:t>
      </w:r>
      <w:r>
        <w:rPr>
          <w:spacing w:val="-4"/>
          <w:w w:val="110"/>
        </w:rPr>
        <w:t xml:space="preserve"> </w:t>
      </w:r>
      <w:r>
        <w:rPr>
          <w:w w:val="110"/>
        </w:rPr>
        <w:t>Regulation</w:t>
      </w:r>
      <w:r>
        <w:rPr>
          <w:spacing w:val="-3"/>
          <w:w w:val="110"/>
        </w:rPr>
        <w:t xml:space="preserve"> </w:t>
      </w:r>
      <w:r>
        <w:rPr>
          <w:w w:val="110"/>
        </w:rPr>
        <w:t>and</w:t>
      </w:r>
      <w:r>
        <w:rPr>
          <w:spacing w:val="-3"/>
          <w:w w:val="110"/>
        </w:rPr>
        <w:t xml:space="preserve"> </w:t>
      </w:r>
      <w:r>
        <w:rPr>
          <w:w w:val="110"/>
        </w:rPr>
        <w:t>its</w:t>
      </w:r>
      <w:r>
        <w:rPr>
          <w:spacing w:val="-2"/>
          <w:w w:val="110"/>
        </w:rPr>
        <w:t xml:space="preserve"> </w:t>
      </w:r>
      <w:r>
        <w:rPr>
          <w:w w:val="110"/>
        </w:rPr>
        <w:t>interaction</w:t>
      </w:r>
      <w:r>
        <w:rPr>
          <w:spacing w:val="-5"/>
          <w:w w:val="110"/>
        </w:rPr>
        <w:t xml:space="preserve"> </w:t>
      </w:r>
      <w:r>
        <w:rPr>
          <w:w w:val="110"/>
        </w:rPr>
        <w:t>with Article 41.2 of the TFEU.</w:t>
      </w:r>
      <w:hyperlink w:history="1" w:anchor="_bookmark33">
        <w:r>
          <w:rPr>
            <w:w w:val="110"/>
            <w:position w:val="8"/>
            <w:sz w:val="13"/>
          </w:rPr>
          <w:t>17</w:t>
        </w:r>
      </w:hyperlink>
      <w:r>
        <w:rPr>
          <w:spacing w:val="36"/>
          <w:w w:val="110"/>
          <w:position w:val="8"/>
          <w:sz w:val="13"/>
        </w:rPr>
        <w:t xml:space="preserve"> </w:t>
      </w:r>
      <w:r>
        <w:rPr>
          <w:w w:val="110"/>
        </w:rPr>
        <w:t>Members highlighted Article 41.2 of the TFEU which excludes the use of the</w:t>
      </w:r>
      <w:r>
        <w:rPr>
          <w:spacing w:val="-1"/>
          <w:w w:val="110"/>
        </w:rPr>
        <w:t xml:space="preserve"> </w:t>
      </w:r>
      <w:r>
        <w:rPr>
          <w:w w:val="110"/>
        </w:rPr>
        <w:t xml:space="preserve">EU budget </w:t>
      </w:r>
      <w:r>
        <w:rPr>
          <w:i/>
          <w:w w:val="110"/>
        </w:rPr>
        <w:t xml:space="preserve">“arising from operations having military or defence implications” </w:t>
      </w:r>
      <w:r>
        <w:rPr>
          <w:w w:val="110"/>
        </w:rPr>
        <w:t>and queried the use of Article 122, observing that the use of this Article appears to provide a means to circumvent the obligations under Article 41.2.</w:t>
      </w:r>
    </w:p>
    <w:p w:rsidR="00B84CED" w:rsidRDefault="00794452" w14:paraId="1BC9BDDC" w14:textId="77777777">
      <w:pPr>
        <w:pStyle w:val="BodyText"/>
        <w:spacing w:before="116" w:line="357" w:lineRule="auto"/>
        <w:ind w:left="219" w:right="724"/>
        <w:rPr>
          <w:position w:val="8"/>
          <w:sz w:val="13"/>
        </w:rPr>
      </w:pPr>
      <w:r>
        <w:rPr>
          <w:w w:val="110"/>
        </w:rPr>
        <w:t>Members</w:t>
      </w:r>
      <w:r>
        <w:rPr>
          <w:spacing w:val="-1"/>
          <w:w w:val="110"/>
        </w:rPr>
        <w:t xml:space="preserve"> </w:t>
      </w:r>
      <w:r>
        <w:rPr>
          <w:w w:val="110"/>
        </w:rPr>
        <w:t>drew</w:t>
      </w:r>
      <w:r>
        <w:rPr>
          <w:spacing w:val="-1"/>
          <w:w w:val="110"/>
        </w:rPr>
        <w:t xml:space="preserve"> </w:t>
      </w:r>
      <w:r>
        <w:rPr>
          <w:w w:val="110"/>
        </w:rPr>
        <w:t>attention</w:t>
      </w:r>
      <w:r>
        <w:rPr>
          <w:spacing w:val="-2"/>
          <w:w w:val="110"/>
        </w:rPr>
        <w:t xml:space="preserve"> </w:t>
      </w:r>
      <w:r>
        <w:rPr>
          <w:w w:val="110"/>
        </w:rPr>
        <w:t>to an</w:t>
      </w:r>
      <w:r>
        <w:rPr>
          <w:spacing w:val="-2"/>
          <w:w w:val="110"/>
        </w:rPr>
        <w:t xml:space="preserve"> </w:t>
      </w:r>
      <w:r>
        <w:rPr>
          <w:w w:val="110"/>
        </w:rPr>
        <w:t>opinion issued by</w:t>
      </w:r>
      <w:r>
        <w:rPr>
          <w:spacing w:val="-2"/>
          <w:w w:val="110"/>
        </w:rPr>
        <w:t xml:space="preserve"> </w:t>
      </w:r>
      <w:r>
        <w:rPr>
          <w:w w:val="110"/>
        </w:rPr>
        <w:t>a Committee</w:t>
      </w:r>
      <w:r>
        <w:rPr>
          <w:spacing w:val="-1"/>
          <w:w w:val="110"/>
        </w:rPr>
        <w:t xml:space="preserve"> </w:t>
      </w:r>
      <w:r>
        <w:rPr>
          <w:w w:val="110"/>
        </w:rPr>
        <w:t>of</w:t>
      </w:r>
      <w:r>
        <w:rPr>
          <w:spacing w:val="-1"/>
          <w:w w:val="110"/>
        </w:rPr>
        <w:t xml:space="preserve"> </w:t>
      </w:r>
      <w:r>
        <w:rPr>
          <w:w w:val="110"/>
        </w:rPr>
        <w:t>the</w:t>
      </w:r>
      <w:r>
        <w:rPr>
          <w:spacing w:val="-1"/>
          <w:w w:val="110"/>
        </w:rPr>
        <w:t xml:space="preserve"> </w:t>
      </w:r>
      <w:r>
        <w:rPr>
          <w:w w:val="110"/>
        </w:rPr>
        <w:t>Bundestag</w:t>
      </w:r>
      <w:r>
        <w:rPr>
          <w:spacing w:val="-1"/>
          <w:w w:val="110"/>
        </w:rPr>
        <w:t xml:space="preserve"> </w:t>
      </w:r>
      <w:r>
        <w:rPr>
          <w:w w:val="110"/>
        </w:rPr>
        <w:t>which questioned the legality of what is proposed under this programme in the context of conflicts with Article 41.2 of the TFEU and sought the views of the Commission</w:t>
      </w:r>
      <w:r>
        <w:rPr>
          <w:spacing w:val="80"/>
          <w:w w:val="110"/>
        </w:rPr>
        <w:t xml:space="preserve"> </w:t>
      </w:r>
      <w:r>
        <w:rPr>
          <w:w w:val="110"/>
        </w:rPr>
        <w:t xml:space="preserve">officials present on that opinion. </w:t>
      </w:r>
      <w:hyperlink w:history="1" w:anchor="_bookmark34">
        <w:r>
          <w:rPr>
            <w:w w:val="110"/>
            <w:position w:val="8"/>
            <w:sz w:val="13"/>
          </w:rPr>
          <w:t>18</w:t>
        </w:r>
      </w:hyperlink>
      <w:r>
        <w:rPr>
          <w:w w:val="110"/>
          <w:position w:val="8"/>
          <w:sz w:val="13"/>
        </w:rPr>
        <w:t xml:space="preserve"> </w:t>
      </w:r>
      <w:r>
        <w:rPr>
          <w:w w:val="110"/>
        </w:rPr>
        <w:t>In response, Commission officials told the Committee “On the legal basis that we used to design the instruments, we strongly believe, and it was assessed several times, including by the Council, that it was the right</w:t>
      </w:r>
      <w:r>
        <w:rPr>
          <w:spacing w:val="-5"/>
          <w:w w:val="110"/>
        </w:rPr>
        <w:t xml:space="preserve"> </w:t>
      </w:r>
      <w:r>
        <w:rPr>
          <w:w w:val="110"/>
        </w:rPr>
        <w:t>instrument</w:t>
      </w:r>
      <w:r>
        <w:rPr>
          <w:spacing w:val="-5"/>
          <w:w w:val="110"/>
        </w:rPr>
        <w:t xml:space="preserve"> </w:t>
      </w:r>
      <w:r>
        <w:rPr>
          <w:w w:val="110"/>
        </w:rPr>
        <w:t>considering</w:t>
      </w:r>
      <w:r>
        <w:rPr>
          <w:spacing w:val="-3"/>
          <w:w w:val="110"/>
        </w:rPr>
        <w:t xml:space="preserve"> </w:t>
      </w:r>
      <w:r>
        <w:rPr>
          <w:w w:val="110"/>
        </w:rPr>
        <w:t>the</w:t>
      </w:r>
      <w:r>
        <w:rPr>
          <w:spacing w:val="-3"/>
          <w:w w:val="110"/>
        </w:rPr>
        <w:t xml:space="preserve"> </w:t>
      </w:r>
      <w:r>
        <w:rPr>
          <w:w w:val="110"/>
        </w:rPr>
        <w:t>situation</w:t>
      </w:r>
      <w:r>
        <w:rPr>
          <w:spacing w:val="-5"/>
          <w:w w:val="110"/>
        </w:rPr>
        <w:t xml:space="preserve"> </w:t>
      </w:r>
      <w:r>
        <w:rPr>
          <w:w w:val="110"/>
        </w:rPr>
        <w:t>that</w:t>
      </w:r>
      <w:r>
        <w:rPr>
          <w:spacing w:val="-7"/>
          <w:w w:val="110"/>
        </w:rPr>
        <w:t xml:space="preserve"> </w:t>
      </w:r>
      <w:r>
        <w:rPr>
          <w:w w:val="110"/>
        </w:rPr>
        <w:t>we</w:t>
      </w:r>
      <w:r>
        <w:rPr>
          <w:spacing w:val="-3"/>
          <w:w w:val="110"/>
        </w:rPr>
        <w:t xml:space="preserve"> </w:t>
      </w:r>
      <w:r>
        <w:rPr>
          <w:w w:val="110"/>
        </w:rPr>
        <w:t>face.</w:t>
      </w:r>
      <w:r>
        <w:rPr>
          <w:spacing w:val="-7"/>
          <w:w w:val="110"/>
        </w:rPr>
        <w:t xml:space="preserve"> </w:t>
      </w:r>
      <w:r>
        <w:rPr>
          <w:w w:val="110"/>
        </w:rPr>
        <w:t>We</w:t>
      </w:r>
      <w:r>
        <w:rPr>
          <w:spacing w:val="-6"/>
          <w:w w:val="110"/>
        </w:rPr>
        <w:t xml:space="preserve"> </w:t>
      </w:r>
      <w:r>
        <w:rPr>
          <w:w w:val="110"/>
        </w:rPr>
        <w:t>are</w:t>
      </w:r>
      <w:r>
        <w:rPr>
          <w:spacing w:val="-3"/>
          <w:w w:val="110"/>
        </w:rPr>
        <w:t xml:space="preserve"> </w:t>
      </w:r>
      <w:r>
        <w:rPr>
          <w:w w:val="110"/>
        </w:rPr>
        <w:t>not</w:t>
      </w:r>
      <w:r>
        <w:rPr>
          <w:spacing w:val="-5"/>
          <w:w w:val="110"/>
        </w:rPr>
        <w:t xml:space="preserve"> </w:t>
      </w:r>
      <w:r>
        <w:rPr>
          <w:w w:val="110"/>
        </w:rPr>
        <w:t>interfering</w:t>
      </w:r>
      <w:r>
        <w:rPr>
          <w:spacing w:val="-6"/>
          <w:w w:val="110"/>
        </w:rPr>
        <w:t xml:space="preserve"> </w:t>
      </w:r>
      <w:r>
        <w:rPr>
          <w:w w:val="110"/>
        </w:rPr>
        <w:t>with</w:t>
      </w:r>
      <w:r>
        <w:rPr>
          <w:spacing w:val="-5"/>
          <w:w w:val="110"/>
        </w:rPr>
        <w:t xml:space="preserve"> </w:t>
      </w:r>
      <w:r>
        <w:rPr>
          <w:w w:val="110"/>
        </w:rPr>
        <w:t>the action</w:t>
      </w:r>
      <w:r>
        <w:rPr>
          <w:spacing w:val="-7"/>
          <w:w w:val="110"/>
        </w:rPr>
        <w:t xml:space="preserve"> </w:t>
      </w:r>
      <w:r>
        <w:rPr>
          <w:w w:val="110"/>
        </w:rPr>
        <w:t>that</w:t>
      </w:r>
      <w:r>
        <w:rPr>
          <w:spacing w:val="-7"/>
          <w:w w:val="110"/>
        </w:rPr>
        <w:t xml:space="preserve"> </w:t>
      </w:r>
      <w:r>
        <w:rPr>
          <w:w w:val="110"/>
        </w:rPr>
        <w:t>was</w:t>
      </w:r>
      <w:r>
        <w:rPr>
          <w:spacing w:val="-6"/>
          <w:w w:val="110"/>
        </w:rPr>
        <w:t xml:space="preserve"> </w:t>
      </w:r>
      <w:r>
        <w:rPr>
          <w:w w:val="110"/>
        </w:rPr>
        <w:t>undertaken</w:t>
      </w:r>
      <w:r>
        <w:rPr>
          <w:spacing w:val="-7"/>
          <w:w w:val="110"/>
        </w:rPr>
        <w:t xml:space="preserve"> </w:t>
      </w:r>
      <w:r>
        <w:rPr>
          <w:w w:val="110"/>
        </w:rPr>
        <w:t>by</w:t>
      </w:r>
      <w:r>
        <w:rPr>
          <w:spacing w:val="-9"/>
          <w:w w:val="110"/>
        </w:rPr>
        <w:t xml:space="preserve"> </w:t>
      </w:r>
      <w:r>
        <w:rPr>
          <w:w w:val="110"/>
        </w:rPr>
        <w:t>European</w:t>
      </w:r>
      <w:r>
        <w:rPr>
          <w:spacing w:val="-9"/>
          <w:w w:val="110"/>
        </w:rPr>
        <w:t xml:space="preserve"> </w:t>
      </w:r>
      <w:r>
        <w:rPr>
          <w:w w:val="110"/>
        </w:rPr>
        <w:t>Parliaments.</w:t>
      </w:r>
      <w:r>
        <w:rPr>
          <w:spacing w:val="-9"/>
          <w:w w:val="110"/>
        </w:rPr>
        <w:t xml:space="preserve"> </w:t>
      </w:r>
      <w:r>
        <w:rPr>
          <w:w w:val="110"/>
        </w:rPr>
        <w:t>We</w:t>
      </w:r>
      <w:r>
        <w:rPr>
          <w:spacing w:val="-8"/>
          <w:w w:val="110"/>
        </w:rPr>
        <w:t xml:space="preserve"> </w:t>
      </w:r>
      <w:r>
        <w:rPr>
          <w:w w:val="110"/>
        </w:rPr>
        <w:t>have</w:t>
      </w:r>
      <w:r>
        <w:rPr>
          <w:spacing w:val="-5"/>
          <w:w w:val="110"/>
        </w:rPr>
        <w:t xml:space="preserve"> </w:t>
      </w:r>
      <w:r>
        <w:rPr>
          <w:w w:val="110"/>
        </w:rPr>
        <w:t>no</w:t>
      </w:r>
      <w:r>
        <w:rPr>
          <w:spacing w:val="-8"/>
          <w:w w:val="110"/>
        </w:rPr>
        <w:t xml:space="preserve"> </w:t>
      </w:r>
      <w:r>
        <w:rPr>
          <w:w w:val="110"/>
        </w:rPr>
        <w:t>say</w:t>
      </w:r>
      <w:r>
        <w:rPr>
          <w:spacing w:val="-9"/>
          <w:w w:val="110"/>
        </w:rPr>
        <w:t xml:space="preserve"> </w:t>
      </w:r>
      <w:r>
        <w:rPr>
          <w:w w:val="110"/>
        </w:rPr>
        <w:t>in</w:t>
      </w:r>
      <w:r>
        <w:rPr>
          <w:spacing w:val="-7"/>
          <w:w w:val="110"/>
        </w:rPr>
        <w:t xml:space="preserve"> </w:t>
      </w:r>
      <w:r>
        <w:rPr>
          <w:w w:val="110"/>
        </w:rPr>
        <w:t>that,</w:t>
      </w:r>
      <w:r>
        <w:rPr>
          <w:spacing w:val="-6"/>
          <w:w w:val="110"/>
        </w:rPr>
        <w:t xml:space="preserve"> </w:t>
      </w:r>
      <w:r>
        <w:rPr>
          <w:w w:val="110"/>
        </w:rPr>
        <w:t>we</w:t>
      </w:r>
      <w:r>
        <w:rPr>
          <w:spacing w:val="-5"/>
          <w:w w:val="110"/>
        </w:rPr>
        <w:t xml:space="preserve"> </w:t>
      </w:r>
      <w:r>
        <w:rPr>
          <w:w w:val="110"/>
        </w:rPr>
        <w:t>are</w:t>
      </w:r>
      <w:r>
        <w:rPr>
          <w:spacing w:val="-5"/>
          <w:w w:val="110"/>
        </w:rPr>
        <w:t xml:space="preserve"> </w:t>
      </w:r>
      <w:r>
        <w:rPr>
          <w:w w:val="110"/>
        </w:rPr>
        <w:t>in a wait-and-see mode.”</w:t>
      </w:r>
      <w:hyperlink w:history="1" w:anchor="_bookmark35">
        <w:r>
          <w:rPr>
            <w:w w:val="110"/>
            <w:position w:val="8"/>
            <w:sz w:val="13"/>
          </w:rPr>
          <w:t>19</w:t>
        </w:r>
      </w:hyperlink>
    </w:p>
    <w:p w:rsidR="00B84CED" w:rsidRDefault="00794452" w14:paraId="25855380" w14:textId="77777777">
      <w:pPr>
        <w:pStyle w:val="BodyText"/>
        <w:spacing w:before="159" w:line="357" w:lineRule="auto"/>
        <w:ind w:left="219" w:right="778"/>
      </w:pPr>
      <w:r>
        <w:rPr>
          <w:w w:val="110"/>
        </w:rPr>
        <w:t>During the meeting of 15 October with officials from the European Commission and Government Departments, Committee members drew attention to the Cluster Munitions</w:t>
      </w:r>
      <w:r>
        <w:rPr>
          <w:spacing w:val="-2"/>
          <w:w w:val="110"/>
        </w:rPr>
        <w:t xml:space="preserve"> </w:t>
      </w:r>
      <w:r>
        <w:rPr>
          <w:w w:val="110"/>
        </w:rPr>
        <w:t>and</w:t>
      </w:r>
      <w:r>
        <w:rPr>
          <w:spacing w:val="-1"/>
          <w:w w:val="110"/>
        </w:rPr>
        <w:t xml:space="preserve"> </w:t>
      </w:r>
      <w:r>
        <w:rPr>
          <w:w w:val="110"/>
        </w:rPr>
        <w:t>Anti-Personnel</w:t>
      </w:r>
      <w:r>
        <w:rPr>
          <w:spacing w:val="-3"/>
          <w:w w:val="110"/>
        </w:rPr>
        <w:t xml:space="preserve"> </w:t>
      </w:r>
      <w:r>
        <w:rPr>
          <w:w w:val="110"/>
        </w:rPr>
        <w:t>Mines</w:t>
      </w:r>
      <w:r>
        <w:rPr>
          <w:spacing w:val="-2"/>
          <w:w w:val="110"/>
        </w:rPr>
        <w:t xml:space="preserve"> </w:t>
      </w:r>
      <w:r>
        <w:rPr>
          <w:w w:val="110"/>
        </w:rPr>
        <w:t>Act,</w:t>
      </w:r>
      <w:r>
        <w:rPr>
          <w:spacing w:val="-1"/>
          <w:w w:val="110"/>
        </w:rPr>
        <w:t xml:space="preserve"> </w:t>
      </w:r>
      <w:r>
        <w:rPr>
          <w:w w:val="110"/>
        </w:rPr>
        <w:t>2008</w:t>
      </w:r>
      <w:hyperlink w:history="1" w:anchor="_bookmark36">
        <w:r>
          <w:rPr>
            <w:w w:val="110"/>
            <w:position w:val="8"/>
            <w:sz w:val="13"/>
          </w:rPr>
          <w:t>20</w:t>
        </w:r>
      </w:hyperlink>
      <w:r>
        <w:rPr>
          <w:w w:val="110"/>
        </w:rPr>
        <w:t>,</w:t>
      </w:r>
      <w:r>
        <w:rPr>
          <w:spacing w:val="-1"/>
          <w:w w:val="110"/>
        </w:rPr>
        <w:t xml:space="preserve"> </w:t>
      </w:r>
      <w:r>
        <w:rPr>
          <w:w w:val="110"/>
        </w:rPr>
        <w:t>which</w:t>
      </w:r>
      <w:r>
        <w:rPr>
          <w:spacing w:val="-1"/>
          <w:w w:val="110"/>
        </w:rPr>
        <w:t xml:space="preserve"> </w:t>
      </w:r>
      <w:r>
        <w:rPr>
          <w:w w:val="110"/>
        </w:rPr>
        <w:t>prohibits the Irish</w:t>
      </w:r>
      <w:r>
        <w:rPr>
          <w:spacing w:val="-3"/>
          <w:w w:val="110"/>
        </w:rPr>
        <w:t xml:space="preserve"> </w:t>
      </w:r>
      <w:r>
        <w:rPr>
          <w:w w:val="110"/>
        </w:rPr>
        <w:t>State from investing, either directly or indirectly, in the production, stockpiling or use of cluster munitions and anti-personnel mines.</w:t>
      </w:r>
    </w:p>
    <w:p w:rsidR="00B84CED" w:rsidRDefault="00794452" w14:paraId="06E12048" w14:textId="77777777">
      <w:pPr>
        <w:pStyle w:val="BodyText"/>
        <w:spacing w:before="104" w:line="357" w:lineRule="auto"/>
        <w:ind w:left="219" w:right="778"/>
      </w:pPr>
      <w:r>
        <w:rPr>
          <w:w w:val="110"/>
        </w:rPr>
        <w:t>With</w:t>
      </w:r>
      <w:r>
        <w:rPr>
          <w:spacing w:val="-4"/>
          <w:w w:val="110"/>
        </w:rPr>
        <w:t xml:space="preserve"> </w:t>
      </w:r>
      <w:r>
        <w:rPr>
          <w:w w:val="110"/>
        </w:rPr>
        <w:t>this</w:t>
      </w:r>
      <w:r>
        <w:rPr>
          <w:spacing w:val="-3"/>
          <w:w w:val="110"/>
        </w:rPr>
        <w:t xml:space="preserve"> </w:t>
      </w:r>
      <w:r>
        <w:rPr>
          <w:w w:val="110"/>
        </w:rPr>
        <w:t>in</w:t>
      </w:r>
      <w:r>
        <w:rPr>
          <w:spacing w:val="-4"/>
          <w:w w:val="110"/>
        </w:rPr>
        <w:t xml:space="preserve"> </w:t>
      </w:r>
      <w:r>
        <w:rPr>
          <w:w w:val="110"/>
        </w:rPr>
        <w:t>mind,</w:t>
      </w:r>
      <w:r>
        <w:rPr>
          <w:spacing w:val="-3"/>
          <w:w w:val="110"/>
        </w:rPr>
        <w:t xml:space="preserve"> </w:t>
      </w:r>
      <w:r>
        <w:rPr>
          <w:w w:val="110"/>
        </w:rPr>
        <w:t>Commission</w:t>
      </w:r>
      <w:r>
        <w:rPr>
          <w:spacing w:val="-4"/>
          <w:w w:val="110"/>
        </w:rPr>
        <w:t xml:space="preserve"> </w:t>
      </w:r>
      <w:r>
        <w:rPr>
          <w:w w:val="110"/>
        </w:rPr>
        <w:t>officials</w:t>
      </w:r>
      <w:r>
        <w:rPr>
          <w:spacing w:val="-5"/>
          <w:w w:val="110"/>
        </w:rPr>
        <w:t xml:space="preserve"> </w:t>
      </w:r>
      <w:r>
        <w:rPr>
          <w:w w:val="110"/>
        </w:rPr>
        <w:t>were</w:t>
      </w:r>
      <w:r>
        <w:rPr>
          <w:spacing w:val="-5"/>
          <w:w w:val="110"/>
        </w:rPr>
        <w:t xml:space="preserve"> </w:t>
      </w:r>
      <w:r>
        <w:rPr>
          <w:w w:val="110"/>
        </w:rPr>
        <w:t>asked</w:t>
      </w:r>
      <w:r>
        <w:rPr>
          <w:spacing w:val="-4"/>
          <w:w w:val="110"/>
        </w:rPr>
        <w:t xml:space="preserve"> </w:t>
      </w:r>
      <w:r>
        <w:rPr>
          <w:w w:val="110"/>
        </w:rPr>
        <w:t>whether</w:t>
      </w:r>
      <w:r>
        <w:rPr>
          <w:spacing w:val="-5"/>
          <w:w w:val="110"/>
        </w:rPr>
        <w:t xml:space="preserve"> </w:t>
      </w:r>
      <w:r>
        <w:rPr>
          <w:w w:val="110"/>
        </w:rPr>
        <w:t>there</w:t>
      </w:r>
      <w:r>
        <w:rPr>
          <w:spacing w:val="-2"/>
          <w:w w:val="110"/>
        </w:rPr>
        <w:t xml:space="preserve"> </w:t>
      </w:r>
      <w:r>
        <w:rPr>
          <w:w w:val="110"/>
        </w:rPr>
        <w:t>are</w:t>
      </w:r>
      <w:r>
        <w:rPr>
          <w:spacing w:val="-5"/>
          <w:w w:val="110"/>
        </w:rPr>
        <w:t xml:space="preserve"> </w:t>
      </w:r>
      <w:r>
        <w:rPr>
          <w:w w:val="110"/>
        </w:rPr>
        <w:t>any</w:t>
      </w:r>
      <w:r>
        <w:rPr>
          <w:spacing w:val="-6"/>
          <w:w w:val="110"/>
        </w:rPr>
        <w:t xml:space="preserve"> </w:t>
      </w:r>
      <w:r>
        <w:rPr>
          <w:w w:val="110"/>
        </w:rPr>
        <w:t>safeguards against the purchase of cluster munitions or anti-personnel mines through the loans secured under the SAFE regulation or the moneys reallocated under the mid-term review of cohesion funding. Commission officials told the Committee that it is the</w:t>
      </w:r>
    </w:p>
    <w:p w:rsidR="00B84CED" w:rsidRDefault="00794452" w14:paraId="05A02847" w14:textId="77777777">
      <w:pPr>
        <w:pStyle w:val="BodyText"/>
        <w:spacing w:before="148"/>
        <w:rPr>
          <w:sz w:val="20"/>
        </w:rPr>
      </w:pPr>
      <w:r>
        <w:rPr>
          <w:noProof/>
          <w:sz w:val="20"/>
        </w:rPr>
        <mc:AlternateContent>
          <mc:Choice Requires="wps">
            <w:drawing>
              <wp:anchor distT="0" distB="0" distL="0" distR="0" simplePos="0" relativeHeight="487593984" behindDoc="1" locked="0" layoutInCell="1" allowOverlap="1" wp14:editId="3E03169E" wp14:anchorId="7806F572">
                <wp:simplePos x="0" y="0"/>
                <wp:positionH relativeFrom="page">
                  <wp:posOffset>900683</wp:posOffset>
                </wp:positionH>
                <wp:positionV relativeFrom="paragraph">
                  <wp:posOffset>264658</wp:posOffset>
                </wp:positionV>
                <wp:extent cx="1828800" cy="9525"/>
                <wp:effectExtent l="0" t="0" r="0" b="0"/>
                <wp:wrapTopAndBottom/>
                <wp:docPr id="1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84" style="position:absolute;margin-left:70.9pt;margin-top:20.85pt;width:2in;height:.75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3r1828800,l1828800,xe" w14:anchorId="4DCB9B7B">
                <v:path arrowok="t"/>
                <w10:wrap type="topAndBottom" anchorx="page"/>
              </v:shape>
            </w:pict>
          </mc:Fallback>
        </mc:AlternateContent>
      </w:r>
    </w:p>
    <w:p w:rsidR="00B84CED" w:rsidRDefault="00794452" w14:paraId="6C35CF28" w14:textId="77777777">
      <w:pPr>
        <w:spacing w:before="123"/>
        <w:ind w:left="1"/>
        <w:rPr>
          <w:sz w:val="16"/>
        </w:rPr>
      </w:pPr>
      <w:bookmarkStart w:name="_bookmark32" w:id="57"/>
      <w:bookmarkEnd w:id="57"/>
      <w:r>
        <w:rPr>
          <w:w w:val="110"/>
          <w:position w:val="6"/>
          <w:sz w:val="10"/>
        </w:rPr>
        <w:t>16</w:t>
      </w:r>
      <w:r>
        <w:rPr>
          <w:spacing w:val="9"/>
          <w:w w:val="110"/>
          <w:position w:val="6"/>
          <w:sz w:val="10"/>
        </w:rPr>
        <w:t xml:space="preserve"> </w:t>
      </w:r>
      <w:hyperlink r:id="rId39">
        <w:r>
          <w:rPr>
            <w:color w:val="0000FF"/>
            <w:w w:val="110"/>
            <w:sz w:val="16"/>
            <w:u w:val="single" w:color="0000FF"/>
          </w:rPr>
          <w:t>Article</w:t>
        </w:r>
        <w:r>
          <w:rPr>
            <w:color w:val="0000FF"/>
            <w:spacing w:val="-4"/>
            <w:w w:val="110"/>
            <w:sz w:val="16"/>
            <w:u w:val="single" w:color="0000FF"/>
          </w:rPr>
          <w:t xml:space="preserve"> </w:t>
        </w:r>
        <w:r>
          <w:rPr>
            <w:color w:val="0000FF"/>
            <w:w w:val="110"/>
            <w:sz w:val="16"/>
            <w:u w:val="single" w:color="0000FF"/>
          </w:rPr>
          <w:t>122</w:t>
        </w:r>
        <w:r>
          <w:rPr>
            <w:color w:val="0000FF"/>
            <w:spacing w:val="-6"/>
            <w:w w:val="110"/>
            <w:sz w:val="16"/>
            <w:u w:val="single" w:color="0000FF"/>
          </w:rPr>
          <w:t xml:space="preserve"> </w:t>
        </w:r>
        <w:r>
          <w:rPr>
            <w:color w:val="0000FF"/>
            <w:w w:val="110"/>
            <w:sz w:val="16"/>
            <w:u w:val="single" w:color="0000FF"/>
          </w:rPr>
          <w:t>of</w:t>
        </w:r>
        <w:r>
          <w:rPr>
            <w:color w:val="0000FF"/>
            <w:spacing w:val="-6"/>
            <w:w w:val="110"/>
            <w:sz w:val="16"/>
            <w:u w:val="single" w:color="0000FF"/>
          </w:rPr>
          <w:t xml:space="preserve"> </w:t>
        </w:r>
        <w:r>
          <w:rPr>
            <w:color w:val="0000FF"/>
            <w:w w:val="110"/>
            <w:sz w:val="16"/>
            <w:u w:val="single" w:color="0000FF"/>
          </w:rPr>
          <w:t>the</w:t>
        </w:r>
        <w:r>
          <w:rPr>
            <w:color w:val="0000FF"/>
            <w:spacing w:val="-4"/>
            <w:w w:val="110"/>
            <w:sz w:val="16"/>
            <w:u w:val="single" w:color="0000FF"/>
          </w:rPr>
          <w:t xml:space="preserve"> </w:t>
        </w:r>
        <w:r>
          <w:rPr>
            <w:color w:val="0000FF"/>
            <w:w w:val="110"/>
            <w:sz w:val="16"/>
            <w:u w:val="single" w:color="0000FF"/>
          </w:rPr>
          <w:t>Treaty</w:t>
        </w:r>
        <w:r>
          <w:rPr>
            <w:color w:val="0000FF"/>
            <w:spacing w:val="-5"/>
            <w:w w:val="110"/>
            <w:sz w:val="16"/>
            <w:u w:val="single" w:color="0000FF"/>
          </w:rPr>
          <w:t xml:space="preserve"> </w:t>
        </w:r>
        <w:r>
          <w:rPr>
            <w:color w:val="0000FF"/>
            <w:w w:val="110"/>
            <w:sz w:val="16"/>
            <w:u w:val="single" w:color="0000FF"/>
          </w:rPr>
          <w:t>on</w:t>
        </w:r>
        <w:r>
          <w:rPr>
            <w:color w:val="0000FF"/>
            <w:spacing w:val="-4"/>
            <w:w w:val="110"/>
            <w:sz w:val="16"/>
            <w:u w:val="single" w:color="0000FF"/>
          </w:rPr>
          <w:t xml:space="preserve"> </w:t>
        </w:r>
        <w:r>
          <w:rPr>
            <w:color w:val="0000FF"/>
            <w:w w:val="110"/>
            <w:sz w:val="16"/>
            <w:u w:val="single" w:color="0000FF"/>
          </w:rPr>
          <w:t>the</w:t>
        </w:r>
        <w:r>
          <w:rPr>
            <w:color w:val="0000FF"/>
            <w:spacing w:val="-4"/>
            <w:w w:val="110"/>
            <w:sz w:val="16"/>
            <w:u w:val="single" w:color="0000FF"/>
          </w:rPr>
          <w:t xml:space="preserve"> </w:t>
        </w:r>
        <w:r>
          <w:rPr>
            <w:color w:val="0000FF"/>
            <w:w w:val="110"/>
            <w:sz w:val="16"/>
            <w:u w:val="single" w:color="0000FF"/>
          </w:rPr>
          <w:t>Functioning</w:t>
        </w:r>
        <w:r>
          <w:rPr>
            <w:color w:val="0000FF"/>
            <w:spacing w:val="-7"/>
            <w:w w:val="110"/>
            <w:sz w:val="16"/>
            <w:u w:val="single" w:color="0000FF"/>
          </w:rPr>
          <w:t xml:space="preserve"> </w:t>
        </w:r>
        <w:r>
          <w:rPr>
            <w:color w:val="0000FF"/>
            <w:w w:val="110"/>
            <w:sz w:val="16"/>
            <w:u w:val="single" w:color="0000FF"/>
          </w:rPr>
          <w:t>of</w:t>
        </w:r>
        <w:r>
          <w:rPr>
            <w:color w:val="0000FF"/>
            <w:spacing w:val="-6"/>
            <w:w w:val="110"/>
            <w:sz w:val="16"/>
            <w:u w:val="single" w:color="0000FF"/>
          </w:rPr>
          <w:t xml:space="preserve"> </w:t>
        </w:r>
        <w:r>
          <w:rPr>
            <w:color w:val="0000FF"/>
            <w:w w:val="110"/>
            <w:sz w:val="16"/>
            <w:u w:val="single" w:color="0000FF"/>
          </w:rPr>
          <w:t>the</w:t>
        </w:r>
        <w:r>
          <w:rPr>
            <w:color w:val="0000FF"/>
            <w:spacing w:val="-6"/>
            <w:w w:val="110"/>
            <w:sz w:val="16"/>
            <w:u w:val="single" w:color="0000FF"/>
          </w:rPr>
          <w:t xml:space="preserve"> </w:t>
        </w:r>
        <w:r>
          <w:rPr>
            <w:color w:val="0000FF"/>
            <w:w w:val="110"/>
            <w:sz w:val="16"/>
            <w:u w:val="single" w:color="0000FF"/>
          </w:rPr>
          <w:t>European</w:t>
        </w:r>
        <w:r>
          <w:rPr>
            <w:color w:val="0000FF"/>
            <w:spacing w:val="-7"/>
            <w:w w:val="110"/>
            <w:sz w:val="16"/>
            <w:u w:val="single" w:color="0000FF"/>
          </w:rPr>
          <w:t xml:space="preserve"> </w:t>
        </w:r>
        <w:r>
          <w:rPr>
            <w:color w:val="0000FF"/>
            <w:spacing w:val="-2"/>
            <w:w w:val="110"/>
            <w:sz w:val="16"/>
            <w:u w:val="single" w:color="0000FF"/>
          </w:rPr>
          <w:t>Union</w:t>
        </w:r>
      </w:hyperlink>
    </w:p>
    <w:p w:rsidR="00B84CED" w:rsidRDefault="00794452" w14:paraId="6759278B" w14:textId="77777777">
      <w:pPr>
        <w:spacing w:before="11"/>
        <w:ind w:left="1"/>
        <w:rPr>
          <w:sz w:val="16"/>
        </w:rPr>
      </w:pPr>
      <w:bookmarkStart w:name="_bookmark33" w:id="58"/>
      <w:bookmarkEnd w:id="58"/>
      <w:r>
        <w:rPr>
          <w:w w:val="110"/>
          <w:position w:val="6"/>
          <w:sz w:val="10"/>
        </w:rPr>
        <w:t>17</w:t>
      </w:r>
      <w:r>
        <w:rPr>
          <w:spacing w:val="9"/>
          <w:w w:val="110"/>
          <w:position w:val="6"/>
          <w:sz w:val="10"/>
        </w:rPr>
        <w:t xml:space="preserve"> </w:t>
      </w:r>
      <w:hyperlink r:id="rId40">
        <w:r>
          <w:rPr>
            <w:color w:val="0000FF"/>
            <w:w w:val="110"/>
            <w:sz w:val="16"/>
            <w:u w:val="single" w:color="0000FF"/>
          </w:rPr>
          <w:t>Article</w:t>
        </w:r>
        <w:r>
          <w:rPr>
            <w:color w:val="0000FF"/>
            <w:spacing w:val="-5"/>
            <w:w w:val="110"/>
            <w:sz w:val="16"/>
            <w:u w:val="single" w:color="0000FF"/>
          </w:rPr>
          <w:t xml:space="preserve"> </w:t>
        </w:r>
        <w:r>
          <w:rPr>
            <w:color w:val="0000FF"/>
            <w:w w:val="110"/>
            <w:sz w:val="16"/>
            <w:u w:val="single" w:color="0000FF"/>
          </w:rPr>
          <w:t>41</w:t>
        </w:r>
        <w:r>
          <w:rPr>
            <w:color w:val="0000FF"/>
            <w:spacing w:val="-7"/>
            <w:w w:val="110"/>
            <w:sz w:val="16"/>
            <w:u w:val="single" w:color="0000FF"/>
          </w:rPr>
          <w:t xml:space="preserve"> </w:t>
        </w:r>
        <w:r>
          <w:rPr>
            <w:color w:val="0000FF"/>
            <w:w w:val="110"/>
            <w:sz w:val="16"/>
            <w:u w:val="single" w:color="0000FF"/>
          </w:rPr>
          <w:t>of</w:t>
        </w:r>
        <w:r>
          <w:rPr>
            <w:color w:val="0000FF"/>
            <w:spacing w:val="-6"/>
            <w:w w:val="110"/>
            <w:sz w:val="16"/>
            <w:u w:val="single" w:color="0000FF"/>
          </w:rPr>
          <w:t xml:space="preserve"> </w:t>
        </w:r>
        <w:r>
          <w:rPr>
            <w:color w:val="0000FF"/>
            <w:w w:val="110"/>
            <w:sz w:val="16"/>
            <w:u w:val="single" w:color="0000FF"/>
          </w:rPr>
          <w:t>the</w:t>
        </w:r>
        <w:r>
          <w:rPr>
            <w:color w:val="0000FF"/>
            <w:spacing w:val="-4"/>
            <w:w w:val="110"/>
            <w:sz w:val="16"/>
            <w:u w:val="single" w:color="0000FF"/>
          </w:rPr>
          <w:t xml:space="preserve"> </w:t>
        </w:r>
        <w:r>
          <w:rPr>
            <w:color w:val="0000FF"/>
            <w:w w:val="110"/>
            <w:sz w:val="16"/>
            <w:u w:val="single" w:color="0000FF"/>
          </w:rPr>
          <w:t>Treaty</w:t>
        </w:r>
        <w:r>
          <w:rPr>
            <w:color w:val="0000FF"/>
            <w:spacing w:val="-5"/>
            <w:w w:val="110"/>
            <w:sz w:val="16"/>
            <w:u w:val="single" w:color="0000FF"/>
          </w:rPr>
          <w:t xml:space="preserve"> </w:t>
        </w:r>
        <w:r>
          <w:rPr>
            <w:color w:val="0000FF"/>
            <w:w w:val="110"/>
            <w:sz w:val="16"/>
            <w:u w:val="single" w:color="0000FF"/>
          </w:rPr>
          <w:t>on</w:t>
        </w:r>
        <w:r>
          <w:rPr>
            <w:color w:val="0000FF"/>
            <w:spacing w:val="-5"/>
            <w:w w:val="110"/>
            <w:sz w:val="16"/>
            <w:u w:val="single" w:color="0000FF"/>
          </w:rPr>
          <w:t xml:space="preserve"> </w:t>
        </w:r>
        <w:r>
          <w:rPr>
            <w:color w:val="0000FF"/>
            <w:w w:val="110"/>
            <w:sz w:val="16"/>
            <w:u w:val="single" w:color="0000FF"/>
          </w:rPr>
          <w:t>the</w:t>
        </w:r>
        <w:r>
          <w:rPr>
            <w:color w:val="0000FF"/>
            <w:spacing w:val="-4"/>
            <w:w w:val="110"/>
            <w:sz w:val="16"/>
            <w:u w:val="single" w:color="0000FF"/>
          </w:rPr>
          <w:t xml:space="preserve"> </w:t>
        </w:r>
        <w:r>
          <w:rPr>
            <w:color w:val="0000FF"/>
            <w:w w:val="110"/>
            <w:sz w:val="16"/>
            <w:u w:val="single" w:color="0000FF"/>
          </w:rPr>
          <w:t>Functioning</w:t>
        </w:r>
        <w:r>
          <w:rPr>
            <w:color w:val="0000FF"/>
            <w:spacing w:val="-8"/>
            <w:w w:val="110"/>
            <w:sz w:val="16"/>
            <w:u w:val="single" w:color="0000FF"/>
          </w:rPr>
          <w:t xml:space="preserve"> </w:t>
        </w:r>
        <w:r>
          <w:rPr>
            <w:color w:val="0000FF"/>
            <w:w w:val="110"/>
            <w:sz w:val="16"/>
            <w:u w:val="single" w:color="0000FF"/>
          </w:rPr>
          <w:t>of</w:t>
        </w:r>
        <w:r>
          <w:rPr>
            <w:color w:val="0000FF"/>
            <w:spacing w:val="-6"/>
            <w:w w:val="110"/>
            <w:sz w:val="16"/>
            <w:u w:val="single" w:color="0000FF"/>
          </w:rPr>
          <w:t xml:space="preserve"> </w:t>
        </w:r>
        <w:r>
          <w:rPr>
            <w:color w:val="0000FF"/>
            <w:w w:val="110"/>
            <w:sz w:val="16"/>
            <w:u w:val="single" w:color="0000FF"/>
          </w:rPr>
          <w:t>the</w:t>
        </w:r>
        <w:r>
          <w:rPr>
            <w:color w:val="0000FF"/>
            <w:spacing w:val="-6"/>
            <w:w w:val="110"/>
            <w:sz w:val="16"/>
            <w:u w:val="single" w:color="0000FF"/>
          </w:rPr>
          <w:t xml:space="preserve"> </w:t>
        </w:r>
        <w:r>
          <w:rPr>
            <w:color w:val="0000FF"/>
            <w:w w:val="110"/>
            <w:sz w:val="16"/>
            <w:u w:val="single" w:color="0000FF"/>
          </w:rPr>
          <w:t>European</w:t>
        </w:r>
        <w:r>
          <w:rPr>
            <w:color w:val="0000FF"/>
            <w:spacing w:val="-8"/>
            <w:w w:val="110"/>
            <w:sz w:val="16"/>
            <w:u w:val="single" w:color="0000FF"/>
          </w:rPr>
          <w:t xml:space="preserve"> </w:t>
        </w:r>
        <w:r>
          <w:rPr>
            <w:color w:val="0000FF"/>
            <w:spacing w:val="-4"/>
            <w:w w:val="110"/>
            <w:sz w:val="16"/>
            <w:u w:val="single" w:color="0000FF"/>
          </w:rPr>
          <w:t>Union</w:t>
        </w:r>
      </w:hyperlink>
    </w:p>
    <w:p w:rsidR="00B84CED" w:rsidRDefault="00794452" w14:paraId="624EDCA1" w14:textId="77777777">
      <w:pPr>
        <w:spacing w:before="10"/>
        <w:ind w:left="1"/>
        <w:rPr>
          <w:sz w:val="16"/>
        </w:rPr>
      </w:pPr>
      <w:bookmarkStart w:name="_bookmark34" w:id="59"/>
      <w:bookmarkEnd w:id="59"/>
      <w:r>
        <w:rPr>
          <w:w w:val="110"/>
          <w:position w:val="6"/>
          <w:sz w:val="10"/>
        </w:rPr>
        <w:t>18</w:t>
      </w:r>
      <w:r>
        <w:rPr>
          <w:spacing w:val="11"/>
          <w:w w:val="110"/>
          <w:position w:val="6"/>
          <w:sz w:val="10"/>
        </w:rPr>
        <w:t xml:space="preserve"> </w:t>
      </w:r>
      <w:hyperlink r:id="rId41">
        <w:r>
          <w:rPr>
            <w:color w:val="0000FF"/>
            <w:w w:val="110"/>
            <w:sz w:val="16"/>
            <w:u w:val="single" w:color="0000FF"/>
          </w:rPr>
          <w:t>Flagship</w:t>
        </w:r>
        <w:r>
          <w:rPr>
            <w:color w:val="0000FF"/>
            <w:spacing w:val="-5"/>
            <w:w w:val="110"/>
            <w:sz w:val="16"/>
            <w:u w:val="single" w:color="0000FF"/>
          </w:rPr>
          <w:t xml:space="preserve"> </w:t>
        </w:r>
        <w:r>
          <w:rPr>
            <w:color w:val="0000FF"/>
            <w:w w:val="110"/>
            <w:sz w:val="16"/>
            <w:u w:val="single" w:color="0000FF"/>
          </w:rPr>
          <w:t>EU</w:t>
        </w:r>
        <w:r>
          <w:rPr>
            <w:color w:val="0000FF"/>
            <w:spacing w:val="-3"/>
            <w:w w:val="110"/>
            <w:sz w:val="16"/>
            <w:u w:val="single" w:color="0000FF"/>
          </w:rPr>
          <w:t xml:space="preserve"> </w:t>
        </w:r>
        <w:r>
          <w:rPr>
            <w:color w:val="0000FF"/>
            <w:w w:val="110"/>
            <w:sz w:val="16"/>
            <w:u w:val="single" w:color="0000FF"/>
          </w:rPr>
          <w:t>defence</w:t>
        </w:r>
        <w:r>
          <w:rPr>
            <w:color w:val="0000FF"/>
            <w:spacing w:val="-4"/>
            <w:w w:val="110"/>
            <w:sz w:val="16"/>
            <w:u w:val="single" w:color="0000FF"/>
          </w:rPr>
          <w:t xml:space="preserve"> </w:t>
        </w:r>
        <w:r>
          <w:rPr>
            <w:color w:val="0000FF"/>
            <w:w w:val="110"/>
            <w:sz w:val="16"/>
            <w:u w:val="single" w:color="0000FF"/>
          </w:rPr>
          <w:t>plan</w:t>
        </w:r>
        <w:r>
          <w:rPr>
            <w:color w:val="0000FF"/>
            <w:spacing w:val="-5"/>
            <w:w w:val="110"/>
            <w:sz w:val="16"/>
            <w:u w:val="single" w:color="0000FF"/>
          </w:rPr>
          <w:t xml:space="preserve"> </w:t>
        </w:r>
        <w:r>
          <w:rPr>
            <w:color w:val="0000FF"/>
            <w:w w:val="110"/>
            <w:sz w:val="16"/>
            <w:u w:val="single" w:color="0000FF"/>
          </w:rPr>
          <w:t>may</w:t>
        </w:r>
        <w:r>
          <w:rPr>
            <w:color w:val="0000FF"/>
            <w:spacing w:val="-3"/>
            <w:w w:val="110"/>
            <w:sz w:val="16"/>
            <w:u w:val="single" w:color="0000FF"/>
          </w:rPr>
          <w:t xml:space="preserve"> </w:t>
        </w:r>
        <w:r>
          <w:rPr>
            <w:color w:val="0000FF"/>
            <w:w w:val="110"/>
            <w:sz w:val="16"/>
            <w:u w:val="single" w:color="0000FF"/>
          </w:rPr>
          <w:t>be</w:t>
        </w:r>
        <w:r>
          <w:rPr>
            <w:color w:val="0000FF"/>
            <w:spacing w:val="-4"/>
            <w:w w:val="110"/>
            <w:sz w:val="16"/>
            <w:u w:val="single" w:color="0000FF"/>
          </w:rPr>
          <w:t xml:space="preserve"> </w:t>
        </w:r>
        <w:r>
          <w:rPr>
            <w:color w:val="0000FF"/>
            <w:w w:val="110"/>
            <w:sz w:val="16"/>
            <w:u w:val="single" w:color="0000FF"/>
          </w:rPr>
          <w:t>illegal,</w:t>
        </w:r>
        <w:r>
          <w:rPr>
            <w:color w:val="0000FF"/>
            <w:spacing w:val="-4"/>
            <w:w w:val="110"/>
            <w:sz w:val="16"/>
            <w:u w:val="single" w:color="0000FF"/>
          </w:rPr>
          <w:t xml:space="preserve"> </w:t>
        </w:r>
        <w:r>
          <w:rPr>
            <w:color w:val="0000FF"/>
            <w:w w:val="110"/>
            <w:sz w:val="16"/>
            <w:u w:val="single" w:color="0000FF"/>
          </w:rPr>
          <w:t>German</w:t>
        </w:r>
        <w:r>
          <w:rPr>
            <w:color w:val="0000FF"/>
            <w:spacing w:val="-2"/>
            <w:w w:val="110"/>
            <w:sz w:val="16"/>
            <w:u w:val="single" w:color="0000FF"/>
          </w:rPr>
          <w:t xml:space="preserve"> </w:t>
        </w:r>
        <w:r>
          <w:rPr>
            <w:color w:val="0000FF"/>
            <w:w w:val="110"/>
            <w:sz w:val="16"/>
            <w:u w:val="single" w:color="0000FF"/>
          </w:rPr>
          <w:t>parliamentary</w:t>
        </w:r>
        <w:r>
          <w:rPr>
            <w:color w:val="0000FF"/>
            <w:spacing w:val="-3"/>
            <w:w w:val="110"/>
            <w:sz w:val="16"/>
            <w:u w:val="single" w:color="0000FF"/>
          </w:rPr>
          <w:t xml:space="preserve"> </w:t>
        </w:r>
        <w:r>
          <w:rPr>
            <w:color w:val="0000FF"/>
            <w:w w:val="110"/>
            <w:sz w:val="16"/>
            <w:u w:val="single" w:color="0000FF"/>
          </w:rPr>
          <w:t>report</w:t>
        </w:r>
        <w:r>
          <w:rPr>
            <w:color w:val="0000FF"/>
            <w:spacing w:val="-1"/>
            <w:w w:val="110"/>
            <w:sz w:val="16"/>
            <w:u w:val="single" w:color="0000FF"/>
          </w:rPr>
          <w:t xml:space="preserve"> </w:t>
        </w:r>
        <w:r>
          <w:rPr>
            <w:color w:val="0000FF"/>
            <w:w w:val="110"/>
            <w:sz w:val="16"/>
            <w:u w:val="single" w:color="0000FF"/>
          </w:rPr>
          <w:t>warns</w:t>
        </w:r>
        <w:r>
          <w:rPr>
            <w:color w:val="0000FF"/>
            <w:spacing w:val="-5"/>
            <w:w w:val="110"/>
            <w:sz w:val="16"/>
            <w:u w:val="single" w:color="0000FF"/>
          </w:rPr>
          <w:t xml:space="preserve"> </w:t>
        </w:r>
        <w:r>
          <w:rPr>
            <w:color w:val="0000FF"/>
            <w:w w:val="110"/>
            <w:sz w:val="16"/>
            <w:u w:val="single" w:color="0000FF"/>
          </w:rPr>
          <w:t>–</w:t>
        </w:r>
        <w:r>
          <w:rPr>
            <w:color w:val="0000FF"/>
            <w:spacing w:val="-3"/>
            <w:w w:val="110"/>
            <w:sz w:val="16"/>
            <w:u w:val="single" w:color="0000FF"/>
          </w:rPr>
          <w:t xml:space="preserve"> </w:t>
        </w:r>
        <w:r>
          <w:rPr>
            <w:color w:val="0000FF"/>
            <w:spacing w:val="-2"/>
            <w:w w:val="110"/>
            <w:sz w:val="16"/>
            <w:u w:val="single" w:color="0000FF"/>
          </w:rPr>
          <w:t>POLITICO</w:t>
        </w:r>
      </w:hyperlink>
    </w:p>
    <w:p w:rsidR="00B84CED" w:rsidRDefault="00794452" w14:paraId="0673043A" w14:textId="77777777">
      <w:pPr>
        <w:spacing w:before="8"/>
        <w:ind w:left="1"/>
        <w:rPr>
          <w:sz w:val="16"/>
        </w:rPr>
      </w:pPr>
      <w:bookmarkStart w:name="_bookmark35" w:id="60"/>
      <w:bookmarkEnd w:id="60"/>
      <w:r>
        <w:rPr>
          <w:w w:val="115"/>
          <w:position w:val="6"/>
          <w:sz w:val="10"/>
        </w:rPr>
        <w:t>19</w:t>
      </w:r>
      <w:r>
        <w:rPr>
          <w:spacing w:val="12"/>
          <w:w w:val="115"/>
          <w:position w:val="6"/>
          <w:sz w:val="10"/>
        </w:rPr>
        <w:t xml:space="preserve"> </w:t>
      </w:r>
      <w:hyperlink r:id="rId42">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 15.10.25</w:t>
        </w:r>
        <w:r>
          <w:rPr>
            <w:color w:val="0000FF"/>
            <w:spacing w:val="-2"/>
            <w:w w:val="115"/>
            <w:sz w:val="16"/>
            <w:u w:val="single" w:color="0000FF"/>
          </w:rPr>
          <w:t xml:space="preserve"> </w:t>
        </w:r>
        <w:r>
          <w:rPr>
            <w:color w:val="0000FF"/>
            <w:spacing w:val="-4"/>
            <w:w w:val="115"/>
            <w:sz w:val="16"/>
            <w:u w:val="single" w:color="0000FF"/>
          </w:rPr>
          <w:t>p.33</w:t>
        </w:r>
      </w:hyperlink>
    </w:p>
    <w:p w:rsidR="00B84CED" w:rsidRDefault="00794452" w14:paraId="0575E297" w14:textId="77777777">
      <w:pPr>
        <w:spacing w:before="11"/>
        <w:ind w:left="1"/>
        <w:rPr>
          <w:sz w:val="16"/>
        </w:rPr>
      </w:pPr>
      <w:bookmarkStart w:name="_bookmark36" w:id="61"/>
      <w:bookmarkEnd w:id="61"/>
      <w:r>
        <w:rPr>
          <w:w w:val="110"/>
          <w:position w:val="6"/>
          <w:sz w:val="10"/>
        </w:rPr>
        <w:t>20</w:t>
      </w:r>
      <w:r>
        <w:rPr>
          <w:spacing w:val="6"/>
          <w:w w:val="110"/>
          <w:position w:val="6"/>
          <w:sz w:val="10"/>
        </w:rPr>
        <w:t xml:space="preserve"> </w:t>
      </w:r>
      <w:hyperlink r:id="rId43">
        <w:r>
          <w:rPr>
            <w:color w:val="0000FF"/>
            <w:w w:val="110"/>
            <w:sz w:val="16"/>
            <w:u w:val="single" w:color="0000FF"/>
          </w:rPr>
          <w:t>Cluster</w:t>
        </w:r>
        <w:r>
          <w:rPr>
            <w:color w:val="0000FF"/>
            <w:spacing w:val="-6"/>
            <w:w w:val="110"/>
            <w:sz w:val="16"/>
            <w:u w:val="single" w:color="0000FF"/>
          </w:rPr>
          <w:t xml:space="preserve"> </w:t>
        </w:r>
        <w:r>
          <w:rPr>
            <w:color w:val="0000FF"/>
            <w:w w:val="110"/>
            <w:sz w:val="16"/>
            <w:u w:val="single" w:color="0000FF"/>
          </w:rPr>
          <w:t>Munitions</w:t>
        </w:r>
        <w:r>
          <w:rPr>
            <w:color w:val="0000FF"/>
            <w:spacing w:val="-6"/>
            <w:w w:val="110"/>
            <w:sz w:val="16"/>
            <w:u w:val="single" w:color="0000FF"/>
          </w:rPr>
          <w:t xml:space="preserve"> </w:t>
        </w:r>
        <w:r>
          <w:rPr>
            <w:color w:val="0000FF"/>
            <w:w w:val="110"/>
            <w:sz w:val="16"/>
            <w:u w:val="single" w:color="0000FF"/>
          </w:rPr>
          <w:t>And</w:t>
        </w:r>
        <w:r>
          <w:rPr>
            <w:color w:val="0000FF"/>
            <w:spacing w:val="-7"/>
            <w:w w:val="110"/>
            <w:sz w:val="16"/>
            <w:u w:val="single" w:color="0000FF"/>
          </w:rPr>
          <w:t xml:space="preserve"> </w:t>
        </w:r>
        <w:r>
          <w:rPr>
            <w:color w:val="0000FF"/>
            <w:w w:val="110"/>
            <w:sz w:val="16"/>
            <w:u w:val="single" w:color="0000FF"/>
          </w:rPr>
          <w:t>Anti-Personnel</w:t>
        </w:r>
        <w:r>
          <w:rPr>
            <w:color w:val="0000FF"/>
            <w:spacing w:val="-8"/>
            <w:w w:val="110"/>
            <w:sz w:val="16"/>
            <w:u w:val="single" w:color="0000FF"/>
          </w:rPr>
          <w:t xml:space="preserve"> </w:t>
        </w:r>
        <w:r>
          <w:rPr>
            <w:color w:val="0000FF"/>
            <w:w w:val="110"/>
            <w:sz w:val="16"/>
            <w:u w:val="single" w:color="0000FF"/>
          </w:rPr>
          <w:t>Mines</w:t>
        </w:r>
        <w:r>
          <w:rPr>
            <w:color w:val="0000FF"/>
            <w:spacing w:val="-8"/>
            <w:w w:val="110"/>
            <w:sz w:val="16"/>
            <w:u w:val="single" w:color="0000FF"/>
          </w:rPr>
          <w:t xml:space="preserve"> </w:t>
        </w:r>
        <w:r>
          <w:rPr>
            <w:color w:val="0000FF"/>
            <w:w w:val="110"/>
            <w:sz w:val="16"/>
            <w:u w:val="single" w:color="0000FF"/>
          </w:rPr>
          <w:t>Act</w:t>
        </w:r>
        <w:r>
          <w:rPr>
            <w:color w:val="0000FF"/>
            <w:spacing w:val="-7"/>
            <w:w w:val="110"/>
            <w:sz w:val="16"/>
            <w:u w:val="single" w:color="0000FF"/>
          </w:rPr>
          <w:t xml:space="preserve"> </w:t>
        </w:r>
        <w:r>
          <w:rPr>
            <w:color w:val="0000FF"/>
            <w:spacing w:val="-4"/>
            <w:w w:val="110"/>
            <w:sz w:val="16"/>
            <w:u w:val="single" w:color="0000FF"/>
          </w:rPr>
          <w:t>2008</w:t>
        </w:r>
      </w:hyperlink>
    </w:p>
    <w:p w:rsidR="00B84CED" w:rsidRDefault="00B84CED" w14:paraId="16827334" w14:textId="77777777">
      <w:pPr>
        <w:rPr>
          <w:sz w:val="16"/>
        </w:rPr>
        <w:sectPr w:rsidR="00B84CED" w:rsidSect="00196DB0">
          <w:footerReference w:type="even" r:id="Rbf1e12c63a42477a"/>
          <w:footerReference w:type="first" r:id="Rae47c4e348054af7"/>
          <w:headerReference w:type="even" r:id="Rcf328ad02d644f41"/>
          <w:headerReference w:type="first" r:id="Rc7cc0bdc7e834302"/>
          <w:pgSz w:w="11907" w:h="16839"/>
          <w:pgMar w:top="1134" w:right="1134" w:bottom="1134" w:left="1134" w:header="567" w:footer="567" w:gutter="0"/>
          <w:cols w:space="720"/>
          <w:docGrid w:linePitch="299"/>
        </w:sectPr>
      </w:pPr>
    </w:p>
    <w:p w:rsidR="00B84CED" w:rsidRDefault="00794452" w14:paraId="258A5C26" w14:textId="77777777">
      <w:pPr>
        <w:pStyle w:val="BodyText"/>
        <w:spacing w:before="109" w:line="357" w:lineRule="auto"/>
        <w:ind w:left="219" w:right="778"/>
        <w:rPr>
          <w:position w:val="8"/>
          <w:sz w:val="13"/>
        </w:rPr>
      </w:pPr>
      <w:r>
        <w:rPr>
          <w:w w:val="110"/>
        </w:rPr>
        <w:lastRenderedPageBreak/>
        <w:t>responsibility</w:t>
      </w:r>
      <w:r>
        <w:rPr>
          <w:spacing w:val="-9"/>
          <w:w w:val="110"/>
        </w:rPr>
        <w:t xml:space="preserve"> </w:t>
      </w:r>
      <w:r>
        <w:rPr>
          <w:w w:val="110"/>
        </w:rPr>
        <w:t>of</w:t>
      </w:r>
      <w:r>
        <w:rPr>
          <w:spacing w:val="-6"/>
          <w:w w:val="110"/>
        </w:rPr>
        <w:t xml:space="preserve"> </w:t>
      </w:r>
      <w:r>
        <w:rPr>
          <w:w w:val="110"/>
        </w:rPr>
        <w:t>member</w:t>
      </w:r>
      <w:r>
        <w:rPr>
          <w:spacing w:val="-6"/>
          <w:w w:val="110"/>
        </w:rPr>
        <w:t xml:space="preserve"> </w:t>
      </w:r>
      <w:r>
        <w:rPr>
          <w:w w:val="110"/>
        </w:rPr>
        <w:t>states</w:t>
      </w:r>
      <w:r>
        <w:rPr>
          <w:spacing w:val="-6"/>
          <w:w w:val="110"/>
        </w:rPr>
        <w:t xml:space="preserve"> </w:t>
      </w:r>
      <w:r>
        <w:rPr>
          <w:w w:val="110"/>
        </w:rPr>
        <w:t>to</w:t>
      </w:r>
      <w:r>
        <w:rPr>
          <w:spacing w:val="-5"/>
          <w:w w:val="110"/>
        </w:rPr>
        <w:t xml:space="preserve"> </w:t>
      </w:r>
      <w:r>
        <w:rPr>
          <w:w w:val="110"/>
        </w:rPr>
        <w:t>define</w:t>
      </w:r>
      <w:r>
        <w:rPr>
          <w:spacing w:val="-5"/>
          <w:w w:val="110"/>
        </w:rPr>
        <w:t xml:space="preserve"> </w:t>
      </w:r>
      <w:r>
        <w:rPr>
          <w:w w:val="110"/>
        </w:rPr>
        <w:t>what</w:t>
      </w:r>
      <w:r>
        <w:rPr>
          <w:spacing w:val="-10"/>
          <w:w w:val="110"/>
        </w:rPr>
        <w:t xml:space="preserve"> </w:t>
      </w:r>
      <w:r>
        <w:rPr>
          <w:w w:val="110"/>
        </w:rPr>
        <w:t>they</w:t>
      </w:r>
      <w:r>
        <w:rPr>
          <w:spacing w:val="-6"/>
          <w:w w:val="110"/>
        </w:rPr>
        <w:t xml:space="preserve"> </w:t>
      </w:r>
      <w:r>
        <w:rPr>
          <w:w w:val="110"/>
        </w:rPr>
        <w:t>put</w:t>
      </w:r>
      <w:r>
        <w:rPr>
          <w:spacing w:val="-7"/>
          <w:w w:val="110"/>
        </w:rPr>
        <w:t xml:space="preserve"> </w:t>
      </w:r>
      <w:r>
        <w:rPr>
          <w:w w:val="110"/>
        </w:rPr>
        <w:t>in</w:t>
      </w:r>
      <w:r>
        <w:rPr>
          <w:spacing w:val="-9"/>
          <w:w w:val="110"/>
        </w:rPr>
        <w:t xml:space="preserve"> </w:t>
      </w:r>
      <w:r>
        <w:rPr>
          <w:w w:val="110"/>
        </w:rPr>
        <w:t>their</w:t>
      </w:r>
      <w:r>
        <w:rPr>
          <w:spacing w:val="-8"/>
          <w:w w:val="110"/>
        </w:rPr>
        <w:t xml:space="preserve"> </w:t>
      </w:r>
      <w:r>
        <w:rPr>
          <w:w w:val="110"/>
        </w:rPr>
        <w:t>national</w:t>
      </w:r>
      <w:r>
        <w:rPr>
          <w:spacing w:val="-11"/>
          <w:w w:val="110"/>
        </w:rPr>
        <w:t xml:space="preserve"> </w:t>
      </w:r>
      <w:r>
        <w:rPr>
          <w:w w:val="110"/>
        </w:rPr>
        <w:t>plans</w:t>
      </w:r>
      <w:r>
        <w:rPr>
          <w:spacing w:val="-6"/>
          <w:w w:val="110"/>
        </w:rPr>
        <w:t xml:space="preserve"> </w:t>
      </w:r>
      <w:r>
        <w:rPr>
          <w:w w:val="110"/>
        </w:rPr>
        <w:t>under the SAFE regulation, confirming that if it aligns with national policy a member state may choose to spend this money on cluster munitions and landmines.</w:t>
      </w:r>
      <w:hyperlink w:history="1" w:anchor="_bookmark38">
        <w:r>
          <w:rPr>
            <w:w w:val="110"/>
            <w:position w:val="8"/>
            <w:sz w:val="13"/>
          </w:rPr>
          <w:t>21</w:t>
        </w:r>
      </w:hyperlink>
    </w:p>
    <w:p w:rsidR="00B84CED" w:rsidRDefault="00794452" w14:paraId="47FDD181" w14:textId="77777777">
      <w:pPr>
        <w:pStyle w:val="BodyText"/>
        <w:spacing w:before="158" w:line="357" w:lineRule="auto"/>
        <w:ind w:left="219" w:right="681"/>
      </w:pPr>
      <w:r>
        <w:rPr>
          <w:w w:val="110"/>
        </w:rPr>
        <w:t>Of key concern here in the case of Ireland is the investment side whereby member states are being asked to collectively contribute to the guarantee, which is the EU general</w:t>
      </w:r>
      <w:r>
        <w:rPr>
          <w:spacing w:val="-7"/>
          <w:w w:val="110"/>
        </w:rPr>
        <w:t xml:space="preserve"> </w:t>
      </w:r>
      <w:r>
        <w:rPr>
          <w:w w:val="110"/>
        </w:rPr>
        <w:t>budget.</w:t>
      </w:r>
      <w:r>
        <w:rPr>
          <w:spacing w:val="-5"/>
          <w:w w:val="110"/>
        </w:rPr>
        <w:t xml:space="preserve"> </w:t>
      </w:r>
      <w:r>
        <w:rPr>
          <w:w w:val="110"/>
        </w:rPr>
        <w:t>Poland,</w:t>
      </w:r>
      <w:r>
        <w:rPr>
          <w:spacing w:val="-7"/>
          <w:w w:val="110"/>
        </w:rPr>
        <w:t xml:space="preserve"> </w:t>
      </w:r>
      <w:r>
        <w:rPr>
          <w:w w:val="110"/>
        </w:rPr>
        <w:t>Latvia,</w:t>
      </w:r>
      <w:r>
        <w:rPr>
          <w:spacing w:val="-5"/>
          <w:w w:val="110"/>
        </w:rPr>
        <w:t xml:space="preserve"> </w:t>
      </w:r>
      <w:r>
        <w:rPr>
          <w:w w:val="110"/>
        </w:rPr>
        <w:t>Estonia,</w:t>
      </w:r>
      <w:r>
        <w:rPr>
          <w:spacing w:val="-5"/>
          <w:w w:val="110"/>
        </w:rPr>
        <w:t xml:space="preserve"> </w:t>
      </w:r>
      <w:r>
        <w:rPr>
          <w:w w:val="110"/>
        </w:rPr>
        <w:t>Lithuania</w:t>
      </w:r>
      <w:r>
        <w:rPr>
          <w:spacing w:val="-7"/>
          <w:w w:val="110"/>
        </w:rPr>
        <w:t xml:space="preserve"> </w:t>
      </w:r>
      <w:r>
        <w:rPr>
          <w:w w:val="110"/>
        </w:rPr>
        <w:t>and</w:t>
      </w:r>
      <w:r>
        <w:rPr>
          <w:spacing w:val="-5"/>
          <w:w w:val="110"/>
        </w:rPr>
        <w:t xml:space="preserve"> </w:t>
      </w:r>
      <w:r>
        <w:rPr>
          <w:w w:val="110"/>
        </w:rPr>
        <w:t>Finland</w:t>
      </w:r>
      <w:r>
        <w:rPr>
          <w:spacing w:val="-5"/>
          <w:w w:val="110"/>
        </w:rPr>
        <w:t xml:space="preserve"> </w:t>
      </w:r>
      <w:r>
        <w:rPr>
          <w:w w:val="110"/>
        </w:rPr>
        <w:t>have</w:t>
      </w:r>
      <w:r>
        <w:rPr>
          <w:spacing w:val="-3"/>
          <w:w w:val="110"/>
        </w:rPr>
        <w:t xml:space="preserve"> </w:t>
      </w:r>
      <w:r>
        <w:rPr>
          <w:w w:val="110"/>
        </w:rPr>
        <w:t>moved</w:t>
      </w:r>
      <w:r>
        <w:rPr>
          <w:spacing w:val="-5"/>
          <w:w w:val="110"/>
        </w:rPr>
        <w:t xml:space="preserve"> </w:t>
      </w:r>
      <w:r>
        <w:rPr>
          <w:w w:val="110"/>
        </w:rPr>
        <w:t>to</w:t>
      </w:r>
      <w:r>
        <w:rPr>
          <w:spacing w:val="-6"/>
          <w:w w:val="110"/>
        </w:rPr>
        <w:t xml:space="preserve"> </w:t>
      </w:r>
      <w:r>
        <w:rPr>
          <w:w w:val="110"/>
        </w:rPr>
        <w:t>withdraw from the Anti-Personnel Mines Convention and Lithuania has withdrawn from the Convention on Cluster Munitions, while Finland, Latvia, Estonia, Poland, Romania and Greece never acceded to the latter convention. Some of these countries have announced large investments into the production and procurement of landmines and cluster munitions, if they were to default it would</w:t>
      </w:r>
      <w:r>
        <w:rPr>
          <w:spacing w:val="-3"/>
          <w:w w:val="110"/>
        </w:rPr>
        <w:t xml:space="preserve"> </w:t>
      </w:r>
      <w:r>
        <w:rPr>
          <w:w w:val="110"/>
        </w:rPr>
        <w:t>be underwritten by the EU budget and all contributors, including Ireland, to the EU budget would be underwriting loans for weapons which Ireland has deemed illegal and prohibited all direct and indirect investment in.</w:t>
      </w:r>
    </w:p>
    <w:p w:rsidR="00B84CED" w:rsidRDefault="00794452" w14:paraId="6F5B2870" w14:textId="77777777">
      <w:pPr>
        <w:pStyle w:val="Heading2"/>
        <w:spacing w:before="206"/>
      </w:pPr>
      <w:bookmarkStart w:name="Use_of_EU_Budget_to_guarantee_SAFE_Loans" w:id="62"/>
      <w:bookmarkStart w:name="_bookmark37" w:id="63"/>
      <w:bookmarkEnd w:id="62"/>
      <w:bookmarkEnd w:id="63"/>
      <w:r>
        <w:rPr>
          <w:color w:val="395C66"/>
          <w:w w:val="110"/>
        </w:rPr>
        <w:t>Use</w:t>
      </w:r>
      <w:r>
        <w:rPr>
          <w:color w:val="395C66"/>
          <w:spacing w:val="-3"/>
          <w:w w:val="110"/>
        </w:rPr>
        <w:t xml:space="preserve"> </w:t>
      </w:r>
      <w:r>
        <w:rPr>
          <w:color w:val="395C66"/>
          <w:w w:val="110"/>
        </w:rPr>
        <w:t>of</w:t>
      </w:r>
      <w:r>
        <w:rPr>
          <w:color w:val="395C66"/>
          <w:spacing w:val="-2"/>
          <w:w w:val="110"/>
        </w:rPr>
        <w:t xml:space="preserve"> </w:t>
      </w:r>
      <w:r>
        <w:rPr>
          <w:color w:val="395C66"/>
          <w:w w:val="110"/>
        </w:rPr>
        <w:t>EU</w:t>
      </w:r>
      <w:r>
        <w:rPr>
          <w:color w:val="395C66"/>
          <w:spacing w:val="-2"/>
          <w:w w:val="110"/>
        </w:rPr>
        <w:t xml:space="preserve"> </w:t>
      </w:r>
      <w:r>
        <w:rPr>
          <w:color w:val="395C66"/>
          <w:w w:val="110"/>
        </w:rPr>
        <w:t>Budget</w:t>
      </w:r>
      <w:r>
        <w:rPr>
          <w:color w:val="395C66"/>
          <w:spacing w:val="-2"/>
          <w:w w:val="110"/>
        </w:rPr>
        <w:t xml:space="preserve"> </w:t>
      </w:r>
      <w:r>
        <w:rPr>
          <w:color w:val="395C66"/>
          <w:w w:val="110"/>
        </w:rPr>
        <w:t>to</w:t>
      </w:r>
      <w:r>
        <w:rPr>
          <w:color w:val="395C66"/>
          <w:spacing w:val="-3"/>
          <w:w w:val="110"/>
        </w:rPr>
        <w:t xml:space="preserve"> </w:t>
      </w:r>
      <w:r>
        <w:rPr>
          <w:color w:val="395C66"/>
          <w:w w:val="110"/>
        </w:rPr>
        <w:t>guarantee</w:t>
      </w:r>
      <w:r>
        <w:rPr>
          <w:color w:val="395C66"/>
          <w:spacing w:val="-2"/>
          <w:w w:val="110"/>
        </w:rPr>
        <w:t xml:space="preserve"> </w:t>
      </w:r>
      <w:r>
        <w:rPr>
          <w:color w:val="395C66"/>
          <w:w w:val="110"/>
        </w:rPr>
        <w:t>SAFE</w:t>
      </w:r>
      <w:r>
        <w:rPr>
          <w:color w:val="395C66"/>
          <w:spacing w:val="-2"/>
          <w:w w:val="110"/>
        </w:rPr>
        <w:t xml:space="preserve"> Loans</w:t>
      </w:r>
    </w:p>
    <w:p w:rsidR="00B84CED" w:rsidRDefault="00794452" w14:paraId="172B4414" w14:textId="77777777">
      <w:pPr>
        <w:pStyle w:val="BodyText"/>
        <w:spacing w:before="194" w:line="357" w:lineRule="auto"/>
        <w:ind w:left="219" w:right="1007"/>
      </w:pPr>
      <w:r>
        <w:rPr>
          <w:w w:val="110"/>
        </w:rPr>
        <w:t>Questions</w:t>
      </w:r>
      <w:r>
        <w:rPr>
          <w:spacing w:val="-1"/>
          <w:w w:val="110"/>
        </w:rPr>
        <w:t xml:space="preserve"> </w:t>
      </w:r>
      <w:r>
        <w:rPr>
          <w:w w:val="110"/>
        </w:rPr>
        <w:t>were raised</w:t>
      </w:r>
      <w:r>
        <w:rPr>
          <w:spacing w:val="-3"/>
          <w:w w:val="110"/>
        </w:rPr>
        <w:t xml:space="preserve"> </w:t>
      </w:r>
      <w:r>
        <w:rPr>
          <w:w w:val="110"/>
        </w:rPr>
        <w:t>with regard to the ‘backstop’ through</w:t>
      </w:r>
      <w:r>
        <w:rPr>
          <w:spacing w:val="-3"/>
          <w:w w:val="110"/>
        </w:rPr>
        <w:t xml:space="preserve"> </w:t>
      </w:r>
      <w:r>
        <w:rPr>
          <w:w w:val="110"/>
        </w:rPr>
        <w:t>which the loans would be secured</w:t>
      </w:r>
      <w:r>
        <w:rPr>
          <w:spacing w:val="-2"/>
          <w:w w:val="110"/>
        </w:rPr>
        <w:t xml:space="preserve"> </w:t>
      </w:r>
      <w:r>
        <w:rPr>
          <w:w w:val="110"/>
        </w:rPr>
        <w:t>against</w:t>
      </w:r>
      <w:r>
        <w:rPr>
          <w:spacing w:val="-2"/>
          <w:w w:val="110"/>
        </w:rPr>
        <w:t xml:space="preserve"> </w:t>
      </w:r>
      <w:r>
        <w:rPr>
          <w:w w:val="110"/>
        </w:rPr>
        <w:t>the</w:t>
      </w:r>
      <w:r>
        <w:rPr>
          <w:spacing w:val="-3"/>
          <w:w w:val="110"/>
        </w:rPr>
        <w:t xml:space="preserve"> </w:t>
      </w:r>
      <w:r>
        <w:rPr>
          <w:w w:val="110"/>
        </w:rPr>
        <w:t>EU</w:t>
      </w:r>
      <w:r>
        <w:rPr>
          <w:spacing w:val="-2"/>
          <w:w w:val="110"/>
        </w:rPr>
        <w:t xml:space="preserve"> </w:t>
      </w:r>
      <w:r>
        <w:rPr>
          <w:w w:val="110"/>
        </w:rPr>
        <w:t>budget</w:t>
      </w:r>
      <w:r>
        <w:rPr>
          <w:spacing w:val="-2"/>
          <w:w w:val="110"/>
        </w:rPr>
        <w:t xml:space="preserve"> </w:t>
      </w:r>
      <w:r>
        <w:rPr>
          <w:w w:val="110"/>
        </w:rPr>
        <w:t>and</w:t>
      </w:r>
      <w:r>
        <w:rPr>
          <w:spacing w:val="-2"/>
          <w:w w:val="110"/>
        </w:rPr>
        <w:t xml:space="preserve"> </w:t>
      </w:r>
      <w:r>
        <w:rPr>
          <w:w w:val="110"/>
        </w:rPr>
        <w:t>the potential</w:t>
      </w:r>
      <w:r>
        <w:rPr>
          <w:spacing w:val="-1"/>
          <w:w w:val="110"/>
        </w:rPr>
        <w:t xml:space="preserve"> </w:t>
      </w:r>
      <w:r>
        <w:rPr>
          <w:w w:val="110"/>
        </w:rPr>
        <w:t>legal</w:t>
      </w:r>
      <w:r>
        <w:rPr>
          <w:spacing w:val="-2"/>
          <w:w w:val="110"/>
        </w:rPr>
        <w:t xml:space="preserve"> </w:t>
      </w:r>
      <w:r>
        <w:rPr>
          <w:w w:val="110"/>
        </w:rPr>
        <w:t>issues</w:t>
      </w:r>
      <w:r>
        <w:rPr>
          <w:spacing w:val="-1"/>
          <w:w w:val="110"/>
        </w:rPr>
        <w:t xml:space="preserve"> </w:t>
      </w:r>
      <w:r>
        <w:rPr>
          <w:w w:val="110"/>
        </w:rPr>
        <w:t>arising</w:t>
      </w:r>
      <w:r>
        <w:rPr>
          <w:spacing w:val="-3"/>
          <w:w w:val="110"/>
        </w:rPr>
        <w:t xml:space="preserve"> </w:t>
      </w:r>
      <w:r>
        <w:rPr>
          <w:w w:val="110"/>
        </w:rPr>
        <w:t>which</w:t>
      </w:r>
      <w:r>
        <w:rPr>
          <w:spacing w:val="-2"/>
          <w:w w:val="110"/>
        </w:rPr>
        <w:t xml:space="preserve"> </w:t>
      </w:r>
      <w:r>
        <w:rPr>
          <w:w w:val="110"/>
        </w:rPr>
        <w:t>would prevent Ireland in meeting an obligation under that backstop because, in theory, this would represent direct payment for weaponry.</w:t>
      </w:r>
    </w:p>
    <w:p w:rsidR="00B84CED" w:rsidRDefault="00794452" w14:paraId="71DF829D" w14:textId="77777777">
      <w:pPr>
        <w:pStyle w:val="BodyText"/>
        <w:spacing w:before="158" w:line="357" w:lineRule="auto"/>
        <w:ind w:left="219" w:right="681"/>
      </w:pPr>
      <w:r>
        <w:rPr>
          <w:w w:val="110"/>
        </w:rPr>
        <w:t>With regard to the operation of the backstop, the loans are acquired by the European Commission</w:t>
      </w:r>
      <w:r>
        <w:rPr>
          <w:spacing w:val="-7"/>
          <w:w w:val="110"/>
        </w:rPr>
        <w:t xml:space="preserve"> </w:t>
      </w:r>
      <w:r>
        <w:rPr>
          <w:w w:val="110"/>
        </w:rPr>
        <w:t>raising</w:t>
      </w:r>
      <w:r>
        <w:rPr>
          <w:spacing w:val="-3"/>
          <w:w w:val="110"/>
        </w:rPr>
        <w:t xml:space="preserve"> </w:t>
      </w:r>
      <w:r>
        <w:rPr>
          <w:w w:val="110"/>
        </w:rPr>
        <w:t>capital</w:t>
      </w:r>
      <w:r>
        <w:rPr>
          <w:spacing w:val="-4"/>
          <w:w w:val="110"/>
        </w:rPr>
        <w:t xml:space="preserve"> </w:t>
      </w:r>
      <w:r>
        <w:rPr>
          <w:w w:val="110"/>
        </w:rPr>
        <w:t>on</w:t>
      </w:r>
      <w:r>
        <w:rPr>
          <w:spacing w:val="-5"/>
          <w:w w:val="110"/>
        </w:rPr>
        <w:t xml:space="preserve"> </w:t>
      </w:r>
      <w:r>
        <w:rPr>
          <w:w w:val="110"/>
        </w:rPr>
        <w:t>the</w:t>
      </w:r>
      <w:r>
        <w:rPr>
          <w:spacing w:val="-3"/>
          <w:w w:val="110"/>
        </w:rPr>
        <w:t xml:space="preserve"> </w:t>
      </w:r>
      <w:r>
        <w:rPr>
          <w:w w:val="110"/>
        </w:rPr>
        <w:t>international</w:t>
      </w:r>
      <w:r>
        <w:rPr>
          <w:spacing w:val="-7"/>
          <w:w w:val="110"/>
        </w:rPr>
        <w:t xml:space="preserve"> </w:t>
      </w:r>
      <w:r>
        <w:rPr>
          <w:w w:val="110"/>
        </w:rPr>
        <w:t>markets.</w:t>
      </w:r>
      <w:r>
        <w:rPr>
          <w:spacing w:val="-7"/>
          <w:w w:val="110"/>
        </w:rPr>
        <w:t xml:space="preserve"> </w:t>
      </w:r>
      <w:r>
        <w:rPr>
          <w:w w:val="110"/>
        </w:rPr>
        <w:t>At</w:t>
      </w:r>
      <w:r>
        <w:rPr>
          <w:spacing w:val="-5"/>
          <w:w w:val="110"/>
        </w:rPr>
        <w:t xml:space="preserve"> </w:t>
      </w:r>
      <w:r>
        <w:rPr>
          <w:w w:val="110"/>
        </w:rPr>
        <w:t>the</w:t>
      </w:r>
      <w:r>
        <w:rPr>
          <w:spacing w:val="-6"/>
          <w:w w:val="110"/>
        </w:rPr>
        <w:t xml:space="preserve"> </w:t>
      </w:r>
      <w:r>
        <w:rPr>
          <w:w w:val="110"/>
        </w:rPr>
        <w:t>time</w:t>
      </w:r>
      <w:r>
        <w:rPr>
          <w:spacing w:val="-6"/>
          <w:w w:val="110"/>
        </w:rPr>
        <w:t xml:space="preserve"> </w:t>
      </w:r>
      <w:r>
        <w:rPr>
          <w:w w:val="110"/>
        </w:rPr>
        <w:t>of</w:t>
      </w:r>
      <w:r>
        <w:rPr>
          <w:spacing w:val="-6"/>
          <w:w w:val="110"/>
        </w:rPr>
        <w:t xml:space="preserve"> </w:t>
      </w:r>
      <w:r>
        <w:rPr>
          <w:w w:val="110"/>
        </w:rPr>
        <w:t>the</w:t>
      </w:r>
      <w:r>
        <w:rPr>
          <w:spacing w:val="-3"/>
          <w:w w:val="110"/>
        </w:rPr>
        <w:t xml:space="preserve"> </w:t>
      </w:r>
      <w:r>
        <w:rPr>
          <w:w w:val="110"/>
        </w:rPr>
        <w:t>meeting,</w:t>
      </w:r>
      <w:r>
        <w:rPr>
          <w:spacing w:val="-5"/>
          <w:w w:val="110"/>
        </w:rPr>
        <w:t xml:space="preserve"> </w:t>
      </w:r>
      <w:r>
        <w:rPr>
          <w:w w:val="110"/>
        </w:rPr>
        <w:t>19 countries had submitted requests and are preparing their national investment plans due for submission in November 2025. The Council will then consider those plans, and they will be adopted in January. The loans will be taken out by Member States but will be secured against the European Union’s general budget.</w:t>
      </w:r>
    </w:p>
    <w:p w:rsidR="00B84CED" w:rsidRDefault="00794452" w14:paraId="26A2A897" w14:textId="77777777">
      <w:pPr>
        <w:pStyle w:val="BodyText"/>
        <w:spacing w:before="103" w:line="357" w:lineRule="auto"/>
        <w:ind w:left="219" w:right="778"/>
      </w:pPr>
      <w:r>
        <w:rPr>
          <w:w w:val="110"/>
        </w:rPr>
        <w:t>Members raised points made in written submissions to the Committee, drawing attention</w:t>
      </w:r>
      <w:r>
        <w:rPr>
          <w:spacing w:val="-3"/>
          <w:w w:val="110"/>
        </w:rPr>
        <w:t xml:space="preserve"> </w:t>
      </w:r>
      <w:r>
        <w:rPr>
          <w:w w:val="110"/>
        </w:rPr>
        <w:t>to</w:t>
      </w:r>
      <w:r>
        <w:rPr>
          <w:spacing w:val="-4"/>
          <w:w w:val="110"/>
        </w:rPr>
        <w:t xml:space="preserve"> </w:t>
      </w:r>
      <w:r>
        <w:rPr>
          <w:w w:val="110"/>
        </w:rPr>
        <w:t>economic</w:t>
      </w:r>
      <w:r>
        <w:rPr>
          <w:spacing w:val="-3"/>
          <w:w w:val="110"/>
        </w:rPr>
        <w:t xml:space="preserve"> </w:t>
      </w:r>
      <w:r>
        <w:rPr>
          <w:w w:val="110"/>
        </w:rPr>
        <w:t>analysis</w:t>
      </w:r>
      <w:r>
        <w:rPr>
          <w:spacing w:val="-4"/>
          <w:w w:val="110"/>
        </w:rPr>
        <w:t xml:space="preserve"> </w:t>
      </w:r>
      <w:r>
        <w:rPr>
          <w:w w:val="110"/>
        </w:rPr>
        <w:t>which</w:t>
      </w:r>
      <w:r>
        <w:rPr>
          <w:spacing w:val="-5"/>
          <w:w w:val="110"/>
        </w:rPr>
        <w:t xml:space="preserve"> </w:t>
      </w:r>
      <w:r>
        <w:rPr>
          <w:w w:val="110"/>
        </w:rPr>
        <w:t>suggests</w:t>
      </w:r>
      <w:r>
        <w:rPr>
          <w:spacing w:val="-2"/>
          <w:w w:val="110"/>
        </w:rPr>
        <w:t xml:space="preserve"> </w:t>
      </w:r>
      <w:r>
        <w:rPr>
          <w:w w:val="110"/>
        </w:rPr>
        <w:t>that</w:t>
      </w:r>
      <w:r>
        <w:rPr>
          <w:spacing w:val="-3"/>
          <w:w w:val="110"/>
        </w:rPr>
        <w:t xml:space="preserve"> </w:t>
      </w:r>
      <w:r>
        <w:rPr>
          <w:w w:val="110"/>
        </w:rPr>
        <w:t>these</w:t>
      </w:r>
      <w:r>
        <w:rPr>
          <w:spacing w:val="-1"/>
          <w:w w:val="110"/>
        </w:rPr>
        <w:t xml:space="preserve"> </w:t>
      </w:r>
      <w:r>
        <w:rPr>
          <w:w w:val="110"/>
        </w:rPr>
        <w:t>regulations</w:t>
      </w:r>
      <w:r>
        <w:rPr>
          <w:spacing w:val="-2"/>
          <w:w w:val="110"/>
        </w:rPr>
        <w:t xml:space="preserve"> </w:t>
      </w:r>
      <w:r>
        <w:rPr>
          <w:w w:val="110"/>
        </w:rPr>
        <w:t>would</w:t>
      </w:r>
      <w:r>
        <w:rPr>
          <w:spacing w:val="-3"/>
          <w:w w:val="110"/>
        </w:rPr>
        <w:t xml:space="preserve"> </w:t>
      </w:r>
      <w:r>
        <w:rPr>
          <w:w w:val="110"/>
        </w:rPr>
        <w:t>serve</w:t>
      </w:r>
      <w:r>
        <w:rPr>
          <w:spacing w:val="-4"/>
          <w:w w:val="110"/>
        </w:rPr>
        <w:t xml:space="preserve"> </w:t>
      </w:r>
      <w:r>
        <w:rPr>
          <w:w w:val="110"/>
        </w:rPr>
        <w:t>to directly funnel money away from cohesion funding and indirectly in terms of loans, that is, debts. Concerns arise around the underwriting of the loans, alongside</w:t>
      </w:r>
    </w:p>
    <w:p w:rsidR="00B84CED" w:rsidRDefault="00794452" w14:paraId="492A5D88" w14:textId="77777777">
      <w:pPr>
        <w:pStyle w:val="BodyText"/>
        <w:spacing w:before="9"/>
        <w:rPr>
          <w:sz w:val="18"/>
        </w:rPr>
      </w:pPr>
      <w:r>
        <w:rPr>
          <w:noProof/>
          <w:sz w:val="18"/>
        </w:rPr>
        <mc:AlternateContent>
          <mc:Choice Requires="wps">
            <w:drawing>
              <wp:anchor distT="0" distB="0" distL="0" distR="0" simplePos="0" relativeHeight="487594496" behindDoc="1" locked="0" layoutInCell="1" allowOverlap="1" wp14:editId="43D8D4CD" wp14:anchorId="17877D26">
                <wp:simplePos x="0" y="0"/>
                <wp:positionH relativeFrom="page">
                  <wp:posOffset>900683</wp:posOffset>
                </wp:positionH>
                <wp:positionV relativeFrom="paragraph">
                  <wp:posOffset>160690</wp:posOffset>
                </wp:positionV>
                <wp:extent cx="1828800" cy="9525"/>
                <wp:effectExtent l="0" t="0" r="0" b="0"/>
                <wp:wrapTopAndBottom/>
                <wp:docPr id="15"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88" style="position:absolute;margin-left:70.9pt;margin-top:12.65pt;width:2in;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4r1828800,l1828800,xe" w14:anchorId="13256F4A">
                <v:path arrowok="t"/>
                <w10:wrap type="topAndBottom" anchorx="page"/>
              </v:shape>
            </w:pict>
          </mc:Fallback>
        </mc:AlternateContent>
      </w:r>
    </w:p>
    <w:p w:rsidR="00B84CED" w:rsidRDefault="00794452" w14:paraId="7952F87A" w14:textId="77777777">
      <w:pPr>
        <w:spacing w:before="123"/>
        <w:ind w:left="1"/>
        <w:rPr>
          <w:sz w:val="16"/>
        </w:rPr>
      </w:pPr>
      <w:bookmarkStart w:name="_bookmark38" w:id="64"/>
      <w:bookmarkEnd w:id="64"/>
      <w:r>
        <w:rPr>
          <w:w w:val="115"/>
          <w:position w:val="6"/>
          <w:sz w:val="10"/>
        </w:rPr>
        <w:t>21</w:t>
      </w:r>
      <w:r>
        <w:rPr>
          <w:spacing w:val="12"/>
          <w:w w:val="115"/>
          <w:position w:val="6"/>
          <w:sz w:val="10"/>
        </w:rPr>
        <w:t xml:space="preserve"> </w:t>
      </w:r>
      <w:hyperlink r:id="rId44">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 15.10.25</w:t>
        </w:r>
        <w:r>
          <w:rPr>
            <w:color w:val="0000FF"/>
            <w:spacing w:val="-2"/>
            <w:w w:val="115"/>
            <w:sz w:val="16"/>
            <w:u w:val="single" w:color="0000FF"/>
          </w:rPr>
          <w:t xml:space="preserve"> </w:t>
        </w:r>
        <w:r>
          <w:rPr>
            <w:color w:val="0000FF"/>
            <w:spacing w:val="-5"/>
            <w:w w:val="115"/>
            <w:sz w:val="16"/>
            <w:u w:val="single" w:color="0000FF"/>
          </w:rPr>
          <w:t>p.6</w:t>
        </w:r>
      </w:hyperlink>
    </w:p>
    <w:p w:rsidR="00B84CED" w:rsidRDefault="00B84CED" w14:paraId="7F136ADC" w14:textId="77777777">
      <w:pPr>
        <w:rPr>
          <w:sz w:val="16"/>
        </w:rPr>
        <w:sectPr w:rsidR="00B84CED" w:rsidSect="00196DB0">
          <w:footerReference w:type="even" r:id="R86b4186be9e945cc"/>
          <w:footerReference w:type="first" r:id="R5e588f7f4f2e490d"/>
          <w:headerReference w:type="even" r:id="R9f82500f94e14c75"/>
          <w:headerReference w:type="first" r:id="R009baf9f053c4715"/>
          <w:pgSz w:w="11907" w:h="16839"/>
          <w:pgMar w:top="1134" w:right="1134" w:bottom="1134" w:left="1134" w:header="567" w:footer="567" w:gutter="0"/>
          <w:cols w:space="720"/>
          <w:docGrid w:linePitch="299"/>
        </w:sectPr>
      </w:pPr>
    </w:p>
    <w:p w:rsidR="00B84CED" w:rsidRDefault="00794452" w14:paraId="26F77495" w14:textId="77777777">
      <w:pPr>
        <w:pStyle w:val="BodyText"/>
        <w:spacing w:before="109" w:line="357" w:lineRule="auto"/>
        <w:ind w:left="219" w:right="836"/>
      </w:pPr>
      <w:r>
        <w:rPr>
          <w:w w:val="110"/>
        </w:rPr>
        <w:lastRenderedPageBreak/>
        <w:t>considerations around the additional</w:t>
      </w:r>
      <w:r>
        <w:rPr>
          <w:spacing w:val="-2"/>
          <w:w w:val="110"/>
        </w:rPr>
        <w:t xml:space="preserve"> </w:t>
      </w:r>
      <w:r>
        <w:rPr>
          <w:w w:val="110"/>
        </w:rPr>
        <w:t>debt that</w:t>
      </w:r>
      <w:r>
        <w:rPr>
          <w:spacing w:val="-2"/>
          <w:w w:val="110"/>
        </w:rPr>
        <w:t xml:space="preserve"> </w:t>
      </w:r>
      <w:r>
        <w:rPr>
          <w:w w:val="110"/>
        </w:rPr>
        <w:t>will ultimately</w:t>
      </w:r>
      <w:r>
        <w:rPr>
          <w:spacing w:val="-2"/>
          <w:w w:val="110"/>
        </w:rPr>
        <w:t xml:space="preserve"> </w:t>
      </w:r>
      <w:r>
        <w:rPr>
          <w:w w:val="110"/>
        </w:rPr>
        <w:t>require</w:t>
      </w:r>
      <w:r>
        <w:rPr>
          <w:spacing w:val="-1"/>
          <w:w w:val="110"/>
        </w:rPr>
        <w:t xml:space="preserve"> </w:t>
      </w:r>
      <w:r>
        <w:rPr>
          <w:w w:val="110"/>
        </w:rPr>
        <w:t>repayment by the Member States which have availed of the loan facility. In this regard it appears that the benefits will be accrued, in the main, by a small number of countries. This small</w:t>
      </w:r>
      <w:r>
        <w:rPr>
          <w:spacing w:val="-8"/>
          <w:w w:val="110"/>
        </w:rPr>
        <w:t xml:space="preserve"> </w:t>
      </w:r>
      <w:r>
        <w:rPr>
          <w:w w:val="110"/>
        </w:rPr>
        <w:t>number</w:t>
      </w:r>
      <w:r>
        <w:rPr>
          <w:spacing w:val="-9"/>
          <w:w w:val="110"/>
        </w:rPr>
        <w:t xml:space="preserve"> </w:t>
      </w:r>
      <w:r>
        <w:rPr>
          <w:w w:val="110"/>
        </w:rPr>
        <w:t>of</w:t>
      </w:r>
      <w:r>
        <w:rPr>
          <w:spacing w:val="-7"/>
          <w:w w:val="110"/>
        </w:rPr>
        <w:t xml:space="preserve"> </w:t>
      </w:r>
      <w:r>
        <w:rPr>
          <w:w w:val="110"/>
        </w:rPr>
        <w:t>large</w:t>
      </w:r>
      <w:r>
        <w:rPr>
          <w:spacing w:val="-6"/>
          <w:w w:val="110"/>
        </w:rPr>
        <w:t xml:space="preserve"> </w:t>
      </w:r>
      <w:r>
        <w:rPr>
          <w:w w:val="110"/>
        </w:rPr>
        <w:t>countries</w:t>
      </w:r>
      <w:r>
        <w:rPr>
          <w:spacing w:val="-9"/>
          <w:w w:val="110"/>
        </w:rPr>
        <w:t xml:space="preserve"> </w:t>
      </w:r>
      <w:r>
        <w:rPr>
          <w:w w:val="110"/>
        </w:rPr>
        <w:t>with</w:t>
      </w:r>
      <w:r>
        <w:rPr>
          <w:spacing w:val="-8"/>
          <w:w w:val="110"/>
        </w:rPr>
        <w:t xml:space="preserve"> </w:t>
      </w:r>
      <w:r>
        <w:rPr>
          <w:w w:val="110"/>
        </w:rPr>
        <w:t>the</w:t>
      </w:r>
      <w:r>
        <w:rPr>
          <w:spacing w:val="-6"/>
          <w:w w:val="110"/>
        </w:rPr>
        <w:t xml:space="preserve"> </w:t>
      </w:r>
      <w:r>
        <w:rPr>
          <w:w w:val="110"/>
        </w:rPr>
        <w:t>manufacturing</w:t>
      </w:r>
      <w:r>
        <w:rPr>
          <w:spacing w:val="-6"/>
          <w:w w:val="110"/>
        </w:rPr>
        <w:t xml:space="preserve"> </w:t>
      </w:r>
      <w:r>
        <w:rPr>
          <w:w w:val="110"/>
        </w:rPr>
        <w:t>capacity</w:t>
      </w:r>
      <w:r>
        <w:rPr>
          <w:spacing w:val="-7"/>
          <w:w w:val="110"/>
        </w:rPr>
        <w:t xml:space="preserve"> </w:t>
      </w:r>
      <w:r>
        <w:rPr>
          <w:w w:val="110"/>
        </w:rPr>
        <w:t>to</w:t>
      </w:r>
      <w:r>
        <w:rPr>
          <w:spacing w:val="-6"/>
          <w:w w:val="110"/>
        </w:rPr>
        <w:t xml:space="preserve"> </w:t>
      </w:r>
      <w:r>
        <w:rPr>
          <w:w w:val="110"/>
        </w:rPr>
        <w:t>benefit</w:t>
      </w:r>
      <w:r>
        <w:rPr>
          <w:spacing w:val="-8"/>
          <w:w w:val="110"/>
        </w:rPr>
        <w:t xml:space="preserve"> </w:t>
      </w:r>
      <w:r>
        <w:rPr>
          <w:w w:val="110"/>
        </w:rPr>
        <w:t>from</w:t>
      </w:r>
      <w:r>
        <w:rPr>
          <w:spacing w:val="-8"/>
          <w:w w:val="110"/>
        </w:rPr>
        <w:t xml:space="preserve"> </w:t>
      </w:r>
      <w:r>
        <w:rPr>
          <w:w w:val="110"/>
        </w:rPr>
        <w:t>this spending and by extension the private arms manufacturers operating in these markets, will do so at the expense of the broader number of member states benefiting from regional development investment. Further extrapolation of this argument views this as effectively underwriting arms industry.</w:t>
      </w:r>
    </w:p>
    <w:p w:rsidR="00B84CED" w:rsidRDefault="00794452" w14:paraId="7E4038F0" w14:textId="77777777">
      <w:pPr>
        <w:pStyle w:val="BodyText"/>
        <w:spacing w:before="161" w:line="357" w:lineRule="auto"/>
        <w:ind w:left="219" w:right="836"/>
      </w:pPr>
      <w:r>
        <w:rPr>
          <w:w w:val="110"/>
        </w:rPr>
        <w:t>At</w:t>
      </w:r>
      <w:r>
        <w:rPr>
          <w:spacing w:val="-4"/>
          <w:w w:val="110"/>
        </w:rPr>
        <w:t xml:space="preserve"> </w:t>
      </w:r>
      <w:r>
        <w:rPr>
          <w:w w:val="110"/>
        </w:rPr>
        <w:t>the</w:t>
      </w:r>
      <w:r>
        <w:rPr>
          <w:spacing w:val="-2"/>
          <w:w w:val="110"/>
        </w:rPr>
        <w:t xml:space="preserve"> </w:t>
      </w:r>
      <w:r>
        <w:rPr>
          <w:w w:val="110"/>
        </w:rPr>
        <w:t>meeting</w:t>
      </w:r>
      <w:r>
        <w:rPr>
          <w:spacing w:val="-5"/>
          <w:w w:val="110"/>
        </w:rPr>
        <w:t xml:space="preserve"> </w:t>
      </w:r>
      <w:r>
        <w:rPr>
          <w:w w:val="110"/>
        </w:rPr>
        <w:t>on</w:t>
      </w:r>
      <w:r>
        <w:rPr>
          <w:spacing w:val="-4"/>
          <w:w w:val="110"/>
        </w:rPr>
        <w:t xml:space="preserve"> </w:t>
      </w:r>
      <w:r>
        <w:rPr>
          <w:w w:val="110"/>
        </w:rPr>
        <w:t>24</w:t>
      </w:r>
      <w:r>
        <w:rPr>
          <w:spacing w:val="-6"/>
          <w:w w:val="110"/>
        </w:rPr>
        <w:t xml:space="preserve"> </w:t>
      </w:r>
      <w:r>
        <w:rPr>
          <w:w w:val="110"/>
        </w:rPr>
        <w:t>September,</w:t>
      </w:r>
      <w:r>
        <w:rPr>
          <w:spacing w:val="-6"/>
          <w:w w:val="110"/>
        </w:rPr>
        <w:t xml:space="preserve"> </w:t>
      </w:r>
      <w:r>
        <w:rPr>
          <w:w w:val="110"/>
        </w:rPr>
        <w:t>Members</w:t>
      </w:r>
      <w:r>
        <w:rPr>
          <w:spacing w:val="-3"/>
          <w:w w:val="110"/>
        </w:rPr>
        <w:t xml:space="preserve"> </w:t>
      </w:r>
      <w:r>
        <w:rPr>
          <w:w w:val="110"/>
        </w:rPr>
        <w:t>acknowledged</w:t>
      </w:r>
      <w:r>
        <w:rPr>
          <w:spacing w:val="-4"/>
          <w:w w:val="110"/>
        </w:rPr>
        <w:t xml:space="preserve"> </w:t>
      </w:r>
      <w:r>
        <w:rPr>
          <w:w w:val="110"/>
        </w:rPr>
        <w:t>the</w:t>
      </w:r>
      <w:r>
        <w:rPr>
          <w:spacing w:val="-2"/>
          <w:w w:val="110"/>
        </w:rPr>
        <w:t xml:space="preserve"> </w:t>
      </w:r>
      <w:r>
        <w:rPr>
          <w:w w:val="110"/>
        </w:rPr>
        <w:t>responsibility</w:t>
      </w:r>
      <w:r>
        <w:rPr>
          <w:spacing w:val="-3"/>
          <w:w w:val="110"/>
        </w:rPr>
        <w:t xml:space="preserve"> </w:t>
      </w:r>
      <w:r>
        <w:rPr>
          <w:w w:val="110"/>
        </w:rPr>
        <w:t>of</w:t>
      </w:r>
      <w:r>
        <w:rPr>
          <w:spacing w:val="-3"/>
          <w:w w:val="110"/>
        </w:rPr>
        <w:t xml:space="preserve"> </w:t>
      </w:r>
      <w:r>
        <w:rPr>
          <w:w w:val="110"/>
        </w:rPr>
        <w:t>states to invest in their defence forces, including in Ireland where members of the Defence Forces have reported</w:t>
      </w:r>
      <w:r>
        <w:rPr>
          <w:spacing w:val="-4"/>
          <w:w w:val="110"/>
        </w:rPr>
        <w:t xml:space="preserve"> </w:t>
      </w:r>
      <w:r>
        <w:rPr>
          <w:w w:val="110"/>
        </w:rPr>
        <w:t>a</w:t>
      </w:r>
      <w:r>
        <w:rPr>
          <w:spacing w:val="-1"/>
          <w:w w:val="110"/>
        </w:rPr>
        <w:t xml:space="preserve"> </w:t>
      </w:r>
      <w:r>
        <w:rPr>
          <w:w w:val="110"/>
        </w:rPr>
        <w:t>pressing</w:t>
      </w:r>
      <w:r>
        <w:rPr>
          <w:spacing w:val="-2"/>
          <w:w w:val="110"/>
        </w:rPr>
        <w:t xml:space="preserve"> </w:t>
      </w:r>
      <w:r>
        <w:rPr>
          <w:w w:val="110"/>
        </w:rPr>
        <w:t>need</w:t>
      </w:r>
      <w:r>
        <w:rPr>
          <w:spacing w:val="-1"/>
          <w:w w:val="110"/>
        </w:rPr>
        <w:t xml:space="preserve"> </w:t>
      </w:r>
      <w:r>
        <w:rPr>
          <w:w w:val="110"/>
        </w:rPr>
        <w:t>to</w:t>
      </w:r>
      <w:r>
        <w:rPr>
          <w:spacing w:val="-2"/>
          <w:w w:val="110"/>
        </w:rPr>
        <w:t xml:space="preserve"> </w:t>
      </w:r>
      <w:r>
        <w:rPr>
          <w:w w:val="110"/>
        </w:rPr>
        <w:t>ensure</w:t>
      </w:r>
      <w:r>
        <w:rPr>
          <w:spacing w:val="-2"/>
          <w:w w:val="110"/>
        </w:rPr>
        <w:t xml:space="preserve"> </w:t>
      </w:r>
      <w:r>
        <w:rPr>
          <w:w w:val="110"/>
        </w:rPr>
        <w:t>fair and</w:t>
      </w:r>
      <w:r>
        <w:rPr>
          <w:spacing w:val="-4"/>
          <w:w w:val="110"/>
        </w:rPr>
        <w:t xml:space="preserve"> </w:t>
      </w:r>
      <w:r>
        <w:rPr>
          <w:w w:val="110"/>
        </w:rPr>
        <w:t>equitable pay</w:t>
      </w:r>
      <w:r>
        <w:rPr>
          <w:spacing w:val="-3"/>
          <w:w w:val="110"/>
        </w:rPr>
        <w:t xml:space="preserve"> </w:t>
      </w:r>
      <w:r>
        <w:rPr>
          <w:w w:val="110"/>
        </w:rPr>
        <w:t>and</w:t>
      </w:r>
      <w:r>
        <w:rPr>
          <w:spacing w:val="-1"/>
          <w:w w:val="110"/>
        </w:rPr>
        <w:t xml:space="preserve"> </w:t>
      </w:r>
      <w:r>
        <w:rPr>
          <w:w w:val="110"/>
        </w:rPr>
        <w:t>conditions and the need for increased resourcing in recruitment, retention and wellbeing of those serving in the Irish Defence Forces.</w:t>
      </w:r>
    </w:p>
    <w:p w:rsidR="00B84CED" w:rsidRDefault="00794452" w14:paraId="00D553F7" w14:textId="77777777">
      <w:pPr>
        <w:pStyle w:val="BodyText"/>
        <w:spacing w:before="161" w:line="357" w:lineRule="auto"/>
        <w:ind w:left="219" w:right="681"/>
      </w:pPr>
      <w:r>
        <w:rPr>
          <w:w w:val="110"/>
        </w:rPr>
        <w:t>The dangers that exist are recognised and it is understood that Ireland must be prepared. However, there is reservation around the direction that EU policy is travelling,</w:t>
      </w:r>
      <w:r>
        <w:rPr>
          <w:spacing w:val="-5"/>
          <w:w w:val="110"/>
        </w:rPr>
        <w:t xml:space="preserve"> </w:t>
      </w:r>
      <w:r>
        <w:rPr>
          <w:w w:val="110"/>
        </w:rPr>
        <w:t>and</w:t>
      </w:r>
      <w:r>
        <w:rPr>
          <w:spacing w:val="-5"/>
          <w:w w:val="110"/>
        </w:rPr>
        <w:t xml:space="preserve"> </w:t>
      </w:r>
      <w:r>
        <w:rPr>
          <w:w w:val="110"/>
        </w:rPr>
        <w:t>it</w:t>
      </w:r>
      <w:r>
        <w:rPr>
          <w:spacing w:val="-5"/>
          <w:w w:val="110"/>
        </w:rPr>
        <w:t xml:space="preserve"> </w:t>
      </w:r>
      <w:r>
        <w:rPr>
          <w:w w:val="110"/>
        </w:rPr>
        <w:t>may</w:t>
      </w:r>
      <w:r>
        <w:rPr>
          <w:spacing w:val="-4"/>
          <w:w w:val="110"/>
        </w:rPr>
        <w:t xml:space="preserve"> </w:t>
      </w:r>
      <w:r>
        <w:rPr>
          <w:w w:val="110"/>
        </w:rPr>
        <w:t>be</w:t>
      </w:r>
      <w:r>
        <w:rPr>
          <w:spacing w:val="-6"/>
          <w:w w:val="110"/>
        </w:rPr>
        <w:t xml:space="preserve"> </w:t>
      </w:r>
      <w:r>
        <w:rPr>
          <w:w w:val="110"/>
        </w:rPr>
        <w:t>pragmatic</w:t>
      </w:r>
      <w:r>
        <w:rPr>
          <w:spacing w:val="-5"/>
          <w:w w:val="110"/>
        </w:rPr>
        <w:t xml:space="preserve"> </w:t>
      </w:r>
      <w:r>
        <w:rPr>
          <w:w w:val="110"/>
        </w:rPr>
        <w:t>to</w:t>
      </w:r>
      <w:r>
        <w:rPr>
          <w:spacing w:val="-6"/>
          <w:w w:val="110"/>
        </w:rPr>
        <w:t xml:space="preserve"> </w:t>
      </w:r>
      <w:r>
        <w:rPr>
          <w:w w:val="110"/>
        </w:rPr>
        <w:t>seek</w:t>
      </w:r>
      <w:r>
        <w:rPr>
          <w:spacing w:val="-6"/>
          <w:w w:val="110"/>
        </w:rPr>
        <w:t xml:space="preserve"> </w:t>
      </w:r>
      <w:r>
        <w:rPr>
          <w:w w:val="110"/>
        </w:rPr>
        <w:t>alternative</w:t>
      </w:r>
      <w:r>
        <w:rPr>
          <w:spacing w:val="-3"/>
          <w:w w:val="110"/>
        </w:rPr>
        <w:t xml:space="preserve"> </w:t>
      </w:r>
      <w:r>
        <w:rPr>
          <w:w w:val="110"/>
        </w:rPr>
        <w:t>methods</w:t>
      </w:r>
      <w:r>
        <w:rPr>
          <w:spacing w:val="-6"/>
          <w:w w:val="110"/>
        </w:rPr>
        <w:t xml:space="preserve"> </w:t>
      </w:r>
      <w:r>
        <w:rPr>
          <w:w w:val="110"/>
        </w:rPr>
        <w:t>of</w:t>
      </w:r>
      <w:r>
        <w:rPr>
          <w:spacing w:val="-6"/>
          <w:w w:val="110"/>
        </w:rPr>
        <w:t xml:space="preserve"> </w:t>
      </w:r>
      <w:r>
        <w:rPr>
          <w:w w:val="110"/>
        </w:rPr>
        <w:t>working</w:t>
      </w:r>
      <w:r>
        <w:rPr>
          <w:spacing w:val="-3"/>
          <w:w w:val="110"/>
        </w:rPr>
        <w:t xml:space="preserve"> </w:t>
      </w:r>
      <w:r>
        <w:rPr>
          <w:w w:val="110"/>
        </w:rPr>
        <w:t>collectively.</w:t>
      </w:r>
    </w:p>
    <w:p w:rsidR="00B84CED" w:rsidRDefault="00794452" w14:paraId="1302D91D" w14:textId="77777777">
      <w:pPr>
        <w:pStyle w:val="Heading2"/>
        <w:spacing w:before="202"/>
      </w:pPr>
      <w:bookmarkStart w:name="Structure_of_SAFE_Loans_and_European_deb" w:id="65"/>
      <w:bookmarkStart w:name="_bookmark39" w:id="66"/>
      <w:bookmarkEnd w:id="65"/>
      <w:bookmarkEnd w:id="66"/>
      <w:r>
        <w:rPr>
          <w:color w:val="395C66"/>
          <w:w w:val="110"/>
        </w:rPr>
        <w:t>Structure</w:t>
      </w:r>
      <w:r>
        <w:rPr>
          <w:color w:val="395C66"/>
          <w:spacing w:val="-1"/>
          <w:w w:val="110"/>
        </w:rPr>
        <w:t xml:space="preserve"> </w:t>
      </w:r>
      <w:r>
        <w:rPr>
          <w:color w:val="395C66"/>
          <w:w w:val="110"/>
        </w:rPr>
        <w:t>of SAFE Loans</w:t>
      </w:r>
      <w:r>
        <w:rPr>
          <w:color w:val="395C66"/>
          <w:spacing w:val="1"/>
          <w:w w:val="110"/>
        </w:rPr>
        <w:t xml:space="preserve"> </w:t>
      </w:r>
      <w:r>
        <w:rPr>
          <w:color w:val="395C66"/>
          <w:w w:val="110"/>
        </w:rPr>
        <w:t>and</w:t>
      </w:r>
      <w:r>
        <w:rPr>
          <w:color w:val="395C66"/>
          <w:spacing w:val="1"/>
          <w:w w:val="110"/>
        </w:rPr>
        <w:t xml:space="preserve"> </w:t>
      </w:r>
      <w:r>
        <w:rPr>
          <w:color w:val="395C66"/>
          <w:w w:val="110"/>
        </w:rPr>
        <w:t>European</w:t>
      </w:r>
      <w:r>
        <w:rPr>
          <w:color w:val="395C66"/>
          <w:spacing w:val="-1"/>
          <w:w w:val="110"/>
        </w:rPr>
        <w:t xml:space="preserve"> </w:t>
      </w:r>
      <w:r>
        <w:rPr>
          <w:color w:val="395C66"/>
          <w:w w:val="110"/>
        </w:rPr>
        <w:t xml:space="preserve">debt </w:t>
      </w:r>
      <w:r>
        <w:rPr>
          <w:color w:val="395C66"/>
          <w:spacing w:val="-2"/>
          <w:w w:val="110"/>
        </w:rPr>
        <w:t>levels</w:t>
      </w:r>
    </w:p>
    <w:p w:rsidR="00B84CED" w:rsidRDefault="00794452" w14:paraId="6F4FF1B8" w14:textId="77777777">
      <w:pPr>
        <w:pStyle w:val="BodyText"/>
        <w:spacing w:before="194" w:line="357" w:lineRule="auto"/>
        <w:ind w:left="219" w:right="778"/>
      </w:pPr>
      <w:r>
        <w:rPr>
          <w:w w:val="110"/>
        </w:rPr>
        <w:t>The</w:t>
      </w:r>
      <w:r>
        <w:rPr>
          <w:spacing w:val="-3"/>
          <w:w w:val="110"/>
        </w:rPr>
        <w:t xml:space="preserve"> </w:t>
      </w:r>
      <w:r>
        <w:rPr>
          <w:w w:val="110"/>
        </w:rPr>
        <w:t>loans</w:t>
      </w:r>
      <w:r>
        <w:rPr>
          <w:spacing w:val="-1"/>
          <w:w w:val="110"/>
        </w:rPr>
        <w:t xml:space="preserve"> </w:t>
      </w:r>
      <w:r>
        <w:rPr>
          <w:w w:val="110"/>
        </w:rPr>
        <w:t>to</w:t>
      </w:r>
      <w:r>
        <w:rPr>
          <w:spacing w:val="-3"/>
          <w:w w:val="110"/>
        </w:rPr>
        <w:t xml:space="preserve"> </w:t>
      </w:r>
      <w:r>
        <w:rPr>
          <w:w w:val="110"/>
        </w:rPr>
        <w:t>be</w:t>
      </w:r>
      <w:r>
        <w:rPr>
          <w:spacing w:val="-3"/>
          <w:w w:val="110"/>
        </w:rPr>
        <w:t xml:space="preserve"> </w:t>
      </w:r>
      <w:r>
        <w:rPr>
          <w:w w:val="110"/>
        </w:rPr>
        <w:t>made</w:t>
      </w:r>
      <w:r>
        <w:rPr>
          <w:spacing w:val="-3"/>
          <w:w w:val="110"/>
        </w:rPr>
        <w:t xml:space="preserve"> </w:t>
      </w:r>
      <w:r>
        <w:rPr>
          <w:w w:val="110"/>
        </w:rPr>
        <w:t>available under</w:t>
      </w:r>
      <w:r>
        <w:rPr>
          <w:spacing w:val="-1"/>
          <w:w w:val="110"/>
        </w:rPr>
        <w:t xml:space="preserve"> </w:t>
      </w:r>
      <w:r>
        <w:rPr>
          <w:w w:val="110"/>
        </w:rPr>
        <w:t>the SAFE</w:t>
      </w:r>
      <w:r>
        <w:rPr>
          <w:spacing w:val="-3"/>
          <w:w w:val="110"/>
        </w:rPr>
        <w:t xml:space="preserve"> </w:t>
      </w:r>
      <w:r>
        <w:rPr>
          <w:w w:val="110"/>
        </w:rPr>
        <w:t>regulation</w:t>
      </w:r>
      <w:r>
        <w:rPr>
          <w:spacing w:val="-5"/>
          <w:w w:val="110"/>
        </w:rPr>
        <w:t xml:space="preserve"> </w:t>
      </w:r>
      <w:r>
        <w:rPr>
          <w:w w:val="110"/>
        </w:rPr>
        <w:t>will</w:t>
      </w:r>
      <w:r>
        <w:rPr>
          <w:spacing w:val="-1"/>
          <w:w w:val="110"/>
        </w:rPr>
        <w:t xml:space="preserve"> </w:t>
      </w:r>
      <w:r>
        <w:rPr>
          <w:w w:val="110"/>
        </w:rPr>
        <w:t>be</w:t>
      </w:r>
      <w:r>
        <w:rPr>
          <w:spacing w:val="-3"/>
          <w:w w:val="110"/>
        </w:rPr>
        <w:t xml:space="preserve"> </w:t>
      </w:r>
      <w:r>
        <w:rPr>
          <w:w w:val="110"/>
        </w:rPr>
        <w:t>structured</w:t>
      </w:r>
      <w:r>
        <w:rPr>
          <w:spacing w:val="-2"/>
          <w:w w:val="110"/>
        </w:rPr>
        <w:t xml:space="preserve"> </w:t>
      </w:r>
      <w:r>
        <w:rPr>
          <w:w w:val="110"/>
        </w:rPr>
        <w:t>by</w:t>
      </w:r>
      <w:r>
        <w:rPr>
          <w:spacing w:val="-1"/>
          <w:w w:val="110"/>
        </w:rPr>
        <w:t xml:space="preserve"> </w:t>
      </w:r>
      <w:r>
        <w:rPr>
          <w:w w:val="110"/>
        </w:rPr>
        <w:t>the</w:t>
      </w:r>
      <w:r>
        <w:rPr>
          <w:spacing w:val="-3"/>
          <w:w w:val="110"/>
        </w:rPr>
        <w:t xml:space="preserve"> </w:t>
      </w:r>
      <w:r>
        <w:rPr>
          <w:w w:val="110"/>
        </w:rPr>
        <w:t>EU borrowing</w:t>
      </w:r>
      <w:r>
        <w:rPr>
          <w:spacing w:val="-4"/>
          <w:w w:val="110"/>
        </w:rPr>
        <w:t xml:space="preserve"> </w:t>
      </w:r>
      <w:r>
        <w:rPr>
          <w:w w:val="110"/>
        </w:rPr>
        <w:t>money</w:t>
      </w:r>
      <w:r>
        <w:rPr>
          <w:spacing w:val="-8"/>
          <w:w w:val="110"/>
        </w:rPr>
        <w:t xml:space="preserve"> </w:t>
      </w:r>
      <w:r>
        <w:rPr>
          <w:w w:val="110"/>
        </w:rPr>
        <w:t>on</w:t>
      </w:r>
      <w:r>
        <w:rPr>
          <w:spacing w:val="-6"/>
          <w:w w:val="110"/>
        </w:rPr>
        <w:t xml:space="preserve"> </w:t>
      </w:r>
      <w:r>
        <w:rPr>
          <w:w w:val="110"/>
        </w:rPr>
        <w:t>capital</w:t>
      </w:r>
      <w:r>
        <w:rPr>
          <w:spacing w:val="-6"/>
          <w:w w:val="110"/>
        </w:rPr>
        <w:t xml:space="preserve"> </w:t>
      </w:r>
      <w:r>
        <w:rPr>
          <w:w w:val="110"/>
        </w:rPr>
        <w:t>markets</w:t>
      </w:r>
      <w:r>
        <w:rPr>
          <w:spacing w:val="-7"/>
          <w:w w:val="110"/>
        </w:rPr>
        <w:t xml:space="preserve"> </w:t>
      </w:r>
      <w:r>
        <w:rPr>
          <w:w w:val="110"/>
        </w:rPr>
        <w:t>and</w:t>
      </w:r>
      <w:r>
        <w:rPr>
          <w:spacing w:val="-6"/>
          <w:w w:val="110"/>
        </w:rPr>
        <w:t xml:space="preserve"> </w:t>
      </w:r>
      <w:r>
        <w:rPr>
          <w:w w:val="110"/>
        </w:rPr>
        <w:t>will</w:t>
      </w:r>
      <w:r>
        <w:rPr>
          <w:spacing w:val="-5"/>
          <w:w w:val="110"/>
        </w:rPr>
        <w:t xml:space="preserve"> </w:t>
      </w:r>
      <w:r>
        <w:rPr>
          <w:w w:val="110"/>
        </w:rPr>
        <w:t>then</w:t>
      </w:r>
      <w:r>
        <w:rPr>
          <w:spacing w:val="-6"/>
          <w:w w:val="110"/>
        </w:rPr>
        <w:t xml:space="preserve"> </w:t>
      </w:r>
      <w:r>
        <w:rPr>
          <w:w w:val="110"/>
        </w:rPr>
        <w:t>on-lend</w:t>
      </w:r>
      <w:r>
        <w:rPr>
          <w:spacing w:val="-6"/>
          <w:w w:val="110"/>
        </w:rPr>
        <w:t xml:space="preserve"> </w:t>
      </w:r>
      <w:r>
        <w:rPr>
          <w:w w:val="110"/>
        </w:rPr>
        <w:t>to</w:t>
      </w:r>
      <w:r>
        <w:rPr>
          <w:spacing w:val="-4"/>
          <w:w w:val="110"/>
        </w:rPr>
        <w:t xml:space="preserve"> </w:t>
      </w:r>
      <w:r>
        <w:rPr>
          <w:w w:val="110"/>
        </w:rPr>
        <w:t>member</w:t>
      </w:r>
      <w:r>
        <w:rPr>
          <w:spacing w:val="-5"/>
          <w:w w:val="110"/>
        </w:rPr>
        <w:t xml:space="preserve"> </w:t>
      </w:r>
      <w:r>
        <w:rPr>
          <w:w w:val="110"/>
        </w:rPr>
        <w:t>states.</w:t>
      </w:r>
      <w:r>
        <w:rPr>
          <w:spacing w:val="-6"/>
          <w:w w:val="110"/>
        </w:rPr>
        <w:t xml:space="preserve"> </w:t>
      </w:r>
      <w:r>
        <w:rPr>
          <w:w w:val="110"/>
        </w:rPr>
        <w:t>For</w:t>
      </w:r>
      <w:r>
        <w:rPr>
          <w:spacing w:val="-5"/>
          <w:w w:val="110"/>
        </w:rPr>
        <w:t xml:space="preserve"> </w:t>
      </w:r>
      <w:r>
        <w:rPr>
          <w:w w:val="110"/>
        </w:rPr>
        <w:t>high debt member states which face higher levels of borrowing costs, the EU can borrow more cheaply than they can, providing member states with a lower-cost source of funding for the purposes of spending under the regulation.</w:t>
      </w:r>
    </w:p>
    <w:p w:rsidR="00B84CED" w:rsidRDefault="00794452" w14:paraId="68F9106C" w14:textId="77777777">
      <w:pPr>
        <w:pStyle w:val="BodyText"/>
        <w:spacing w:before="161" w:line="357" w:lineRule="auto"/>
        <w:ind w:left="219" w:right="778"/>
      </w:pPr>
      <w:r>
        <w:rPr>
          <w:w w:val="110"/>
        </w:rPr>
        <w:t>Commission officials confirmed to the Committee that member states who apply for and receive loans under the SAFE regulation will be granted a ten-year grace period before they must make repayments. Members queried whether a portion of the EU budget</w:t>
      </w:r>
      <w:r>
        <w:rPr>
          <w:spacing w:val="-6"/>
          <w:w w:val="110"/>
        </w:rPr>
        <w:t xml:space="preserve"> </w:t>
      </w:r>
      <w:r>
        <w:rPr>
          <w:w w:val="110"/>
        </w:rPr>
        <w:t>will</w:t>
      </w:r>
      <w:r>
        <w:rPr>
          <w:spacing w:val="-2"/>
          <w:w w:val="110"/>
        </w:rPr>
        <w:t xml:space="preserve"> </w:t>
      </w:r>
      <w:r>
        <w:rPr>
          <w:w w:val="110"/>
        </w:rPr>
        <w:t>be</w:t>
      </w:r>
      <w:r>
        <w:rPr>
          <w:spacing w:val="-1"/>
          <w:w w:val="110"/>
        </w:rPr>
        <w:t xml:space="preserve"> </w:t>
      </w:r>
      <w:r>
        <w:rPr>
          <w:w w:val="110"/>
        </w:rPr>
        <w:t>used</w:t>
      </w:r>
      <w:r>
        <w:rPr>
          <w:spacing w:val="-3"/>
          <w:w w:val="110"/>
        </w:rPr>
        <w:t xml:space="preserve"> </w:t>
      </w:r>
      <w:r>
        <w:rPr>
          <w:w w:val="110"/>
        </w:rPr>
        <w:t>to</w:t>
      </w:r>
      <w:r>
        <w:rPr>
          <w:spacing w:val="-1"/>
          <w:w w:val="110"/>
        </w:rPr>
        <w:t xml:space="preserve"> </w:t>
      </w:r>
      <w:r>
        <w:rPr>
          <w:w w:val="110"/>
        </w:rPr>
        <w:t>service</w:t>
      </w:r>
      <w:r>
        <w:rPr>
          <w:spacing w:val="-1"/>
          <w:w w:val="110"/>
        </w:rPr>
        <w:t xml:space="preserve"> </w:t>
      </w:r>
      <w:r>
        <w:rPr>
          <w:w w:val="110"/>
        </w:rPr>
        <w:t>the</w:t>
      </w:r>
      <w:r>
        <w:rPr>
          <w:spacing w:val="-1"/>
          <w:w w:val="110"/>
        </w:rPr>
        <w:t xml:space="preserve"> </w:t>
      </w:r>
      <w:r>
        <w:rPr>
          <w:w w:val="110"/>
        </w:rPr>
        <w:t>interest</w:t>
      </w:r>
      <w:r>
        <w:rPr>
          <w:spacing w:val="-3"/>
          <w:w w:val="110"/>
        </w:rPr>
        <w:t xml:space="preserve"> </w:t>
      </w:r>
      <w:r>
        <w:rPr>
          <w:w w:val="110"/>
        </w:rPr>
        <w:t>rate</w:t>
      </w:r>
      <w:r>
        <w:rPr>
          <w:spacing w:val="-4"/>
          <w:w w:val="110"/>
        </w:rPr>
        <w:t xml:space="preserve"> </w:t>
      </w:r>
      <w:r>
        <w:rPr>
          <w:w w:val="110"/>
        </w:rPr>
        <w:t>on</w:t>
      </w:r>
      <w:r>
        <w:rPr>
          <w:spacing w:val="-5"/>
          <w:w w:val="110"/>
        </w:rPr>
        <w:t xml:space="preserve"> </w:t>
      </w:r>
      <w:r>
        <w:rPr>
          <w:w w:val="110"/>
        </w:rPr>
        <w:t>the</w:t>
      </w:r>
      <w:r>
        <w:rPr>
          <w:spacing w:val="-1"/>
          <w:w w:val="110"/>
        </w:rPr>
        <w:t xml:space="preserve"> </w:t>
      </w:r>
      <w:r>
        <w:rPr>
          <w:w w:val="110"/>
        </w:rPr>
        <w:t>loans</w:t>
      </w:r>
      <w:r>
        <w:rPr>
          <w:spacing w:val="-4"/>
          <w:w w:val="110"/>
        </w:rPr>
        <w:t xml:space="preserve"> </w:t>
      </w:r>
      <w:r>
        <w:rPr>
          <w:w w:val="110"/>
        </w:rPr>
        <w:t>of</w:t>
      </w:r>
      <w:r>
        <w:rPr>
          <w:spacing w:val="-2"/>
          <w:w w:val="110"/>
        </w:rPr>
        <w:t xml:space="preserve"> </w:t>
      </w:r>
      <w:r>
        <w:rPr>
          <w:w w:val="110"/>
        </w:rPr>
        <w:t>up</w:t>
      </w:r>
      <w:r>
        <w:rPr>
          <w:spacing w:val="-3"/>
          <w:w w:val="110"/>
        </w:rPr>
        <w:t xml:space="preserve"> </w:t>
      </w:r>
      <w:r>
        <w:rPr>
          <w:w w:val="110"/>
        </w:rPr>
        <w:t>to</w:t>
      </w:r>
      <w:r>
        <w:rPr>
          <w:spacing w:val="-4"/>
          <w:w w:val="110"/>
        </w:rPr>
        <w:t xml:space="preserve"> </w:t>
      </w:r>
      <w:r>
        <w:rPr>
          <w:w w:val="110"/>
        </w:rPr>
        <w:t>€150</w:t>
      </w:r>
      <w:r>
        <w:rPr>
          <w:spacing w:val="-5"/>
          <w:w w:val="110"/>
        </w:rPr>
        <w:t xml:space="preserve"> </w:t>
      </w:r>
      <w:r>
        <w:rPr>
          <w:w w:val="110"/>
        </w:rPr>
        <w:t>billion</w:t>
      </w:r>
      <w:r>
        <w:rPr>
          <w:spacing w:val="-3"/>
          <w:w w:val="110"/>
        </w:rPr>
        <w:t xml:space="preserve"> </w:t>
      </w:r>
      <w:r>
        <w:rPr>
          <w:w w:val="110"/>
        </w:rPr>
        <w:t>being provided to member states. Commission officials told the Committee that “Member states take these loans because they have more attractive and interesting interest rates</w:t>
      </w:r>
      <w:r>
        <w:rPr>
          <w:spacing w:val="-3"/>
          <w:w w:val="110"/>
        </w:rPr>
        <w:t xml:space="preserve"> </w:t>
      </w:r>
      <w:r>
        <w:rPr>
          <w:w w:val="110"/>
        </w:rPr>
        <w:t>than</w:t>
      </w:r>
      <w:r>
        <w:rPr>
          <w:spacing w:val="-2"/>
          <w:w w:val="110"/>
        </w:rPr>
        <w:t xml:space="preserve"> </w:t>
      </w:r>
      <w:r>
        <w:rPr>
          <w:w w:val="110"/>
        </w:rPr>
        <w:t>if</w:t>
      </w:r>
      <w:r>
        <w:rPr>
          <w:spacing w:val="-1"/>
          <w:w w:val="110"/>
        </w:rPr>
        <w:t xml:space="preserve"> </w:t>
      </w:r>
      <w:r>
        <w:rPr>
          <w:w w:val="110"/>
        </w:rPr>
        <w:t>member</w:t>
      </w:r>
      <w:r>
        <w:rPr>
          <w:spacing w:val="-3"/>
          <w:w w:val="110"/>
        </w:rPr>
        <w:t xml:space="preserve"> </w:t>
      </w:r>
      <w:r>
        <w:rPr>
          <w:w w:val="110"/>
        </w:rPr>
        <w:t>states</w:t>
      </w:r>
      <w:r>
        <w:rPr>
          <w:spacing w:val="-1"/>
          <w:w w:val="110"/>
        </w:rPr>
        <w:t xml:space="preserve"> </w:t>
      </w:r>
      <w:r>
        <w:rPr>
          <w:w w:val="110"/>
        </w:rPr>
        <w:t>took a</w:t>
      </w:r>
      <w:r>
        <w:rPr>
          <w:spacing w:val="-4"/>
          <w:w w:val="110"/>
        </w:rPr>
        <w:t xml:space="preserve"> </w:t>
      </w:r>
      <w:r>
        <w:rPr>
          <w:w w:val="110"/>
        </w:rPr>
        <w:t>loan</w:t>
      </w:r>
      <w:r>
        <w:rPr>
          <w:spacing w:val="-2"/>
          <w:w w:val="110"/>
        </w:rPr>
        <w:t xml:space="preserve"> </w:t>
      </w:r>
      <w:r>
        <w:rPr>
          <w:w w:val="110"/>
        </w:rPr>
        <w:t>nationally.</w:t>
      </w:r>
      <w:r>
        <w:rPr>
          <w:spacing w:val="-1"/>
          <w:w w:val="110"/>
        </w:rPr>
        <w:t xml:space="preserve"> </w:t>
      </w:r>
      <w:r>
        <w:rPr>
          <w:w w:val="110"/>
        </w:rPr>
        <w:t>That</w:t>
      </w:r>
      <w:r>
        <w:rPr>
          <w:spacing w:val="-2"/>
          <w:w w:val="110"/>
        </w:rPr>
        <w:t xml:space="preserve"> </w:t>
      </w:r>
      <w:r>
        <w:rPr>
          <w:w w:val="110"/>
        </w:rPr>
        <w:t>means</w:t>
      </w:r>
      <w:r>
        <w:rPr>
          <w:spacing w:val="-3"/>
          <w:w w:val="110"/>
        </w:rPr>
        <w:t xml:space="preserve"> </w:t>
      </w:r>
      <w:r>
        <w:rPr>
          <w:w w:val="110"/>
        </w:rPr>
        <w:t>the</w:t>
      </w:r>
      <w:r>
        <w:rPr>
          <w:spacing w:val="-3"/>
          <w:w w:val="110"/>
        </w:rPr>
        <w:t xml:space="preserve"> </w:t>
      </w:r>
      <w:r>
        <w:rPr>
          <w:w w:val="110"/>
        </w:rPr>
        <w:t>interest</w:t>
      </w:r>
      <w:r>
        <w:rPr>
          <w:spacing w:val="-2"/>
          <w:w w:val="110"/>
        </w:rPr>
        <w:t xml:space="preserve"> </w:t>
      </w:r>
      <w:r>
        <w:rPr>
          <w:w w:val="110"/>
        </w:rPr>
        <w:t>rate</w:t>
      </w:r>
      <w:r>
        <w:rPr>
          <w:spacing w:val="-3"/>
          <w:w w:val="110"/>
        </w:rPr>
        <w:t xml:space="preserve"> </w:t>
      </w:r>
      <w:r>
        <w:rPr>
          <w:w w:val="110"/>
        </w:rPr>
        <w:t>of</w:t>
      </w:r>
      <w:r>
        <w:rPr>
          <w:spacing w:val="-1"/>
          <w:w w:val="110"/>
        </w:rPr>
        <w:t xml:space="preserve"> </w:t>
      </w:r>
      <w:r>
        <w:rPr>
          <w:w w:val="110"/>
        </w:rPr>
        <w:t>the</w:t>
      </w:r>
    </w:p>
    <w:p w:rsidR="00B84CED" w:rsidRDefault="00B84CED" w14:paraId="35F7E91C" w14:textId="77777777">
      <w:pPr>
        <w:pStyle w:val="BodyText"/>
        <w:spacing w:line="357" w:lineRule="auto"/>
        <w:sectPr w:rsidR="00B84CED" w:rsidSect="00196DB0">
          <w:footerReference w:type="even" r:id="R7a8f2465963c4488"/>
          <w:footerReference w:type="first" r:id="R6f34ddd4c693480a"/>
          <w:headerReference w:type="even" r:id="Rf2f5d84146564659"/>
          <w:headerReference w:type="first" r:id="R7819dbda4acb4302"/>
          <w:pgSz w:w="11907" w:h="16839"/>
          <w:pgMar w:top="1134" w:right="1134" w:bottom="1134" w:left="1134" w:header="567" w:footer="567" w:gutter="0"/>
          <w:cols w:space="720"/>
          <w:docGrid w:linePitch="299"/>
        </w:sectPr>
      </w:pPr>
    </w:p>
    <w:p w:rsidR="00B84CED" w:rsidRDefault="00794452" w14:paraId="02B6A3E7" w14:textId="77777777">
      <w:pPr>
        <w:pStyle w:val="BodyText"/>
        <w:spacing w:before="109"/>
        <w:ind w:left="219"/>
        <w:rPr>
          <w:position w:val="8"/>
          <w:sz w:val="13"/>
        </w:rPr>
      </w:pPr>
      <w:r>
        <w:rPr>
          <w:w w:val="110"/>
        </w:rPr>
        <w:lastRenderedPageBreak/>
        <w:t>loan</w:t>
      </w:r>
      <w:r>
        <w:rPr>
          <w:spacing w:val="-8"/>
          <w:w w:val="110"/>
        </w:rPr>
        <w:t xml:space="preserve"> </w:t>
      </w:r>
      <w:r>
        <w:rPr>
          <w:w w:val="110"/>
        </w:rPr>
        <w:t>will</w:t>
      </w:r>
      <w:r>
        <w:rPr>
          <w:spacing w:val="-6"/>
          <w:w w:val="110"/>
        </w:rPr>
        <w:t xml:space="preserve"> </w:t>
      </w:r>
      <w:r>
        <w:rPr>
          <w:w w:val="110"/>
        </w:rPr>
        <w:t>be</w:t>
      </w:r>
      <w:r>
        <w:rPr>
          <w:spacing w:val="-5"/>
          <w:w w:val="110"/>
        </w:rPr>
        <w:t xml:space="preserve"> </w:t>
      </w:r>
      <w:r>
        <w:rPr>
          <w:w w:val="110"/>
        </w:rPr>
        <w:t>paid</w:t>
      </w:r>
      <w:r>
        <w:rPr>
          <w:spacing w:val="-6"/>
          <w:w w:val="110"/>
        </w:rPr>
        <w:t xml:space="preserve"> </w:t>
      </w:r>
      <w:r>
        <w:rPr>
          <w:w w:val="110"/>
        </w:rPr>
        <w:t>by</w:t>
      </w:r>
      <w:r>
        <w:rPr>
          <w:spacing w:val="-8"/>
          <w:w w:val="110"/>
        </w:rPr>
        <w:t xml:space="preserve"> </w:t>
      </w:r>
      <w:r>
        <w:rPr>
          <w:w w:val="110"/>
        </w:rPr>
        <w:t>the</w:t>
      </w:r>
      <w:r>
        <w:rPr>
          <w:spacing w:val="-9"/>
          <w:w w:val="110"/>
        </w:rPr>
        <w:t xml:space="preserve"> </w:t>
      </w:r>
      <w:r>
        <w:rPr>
          <w:w w:val="110"/>
        </w:rPr>
        <w:t>member</w:t>
      </w:r>
      <w:r>
        <w:rPr>
          <w:spacing w:val="-7"/>
          <w:w w:val="110"/>
        </w:rPr>
        <w:t xml:space="preserve"> </w:t>
      </w:r>
      <w:r>
        <w:rPr>
          <w:w w:val="110"/>
        </w:rPr>
        <w:t>state</w:t>
      </w:r>
      <w:r>
        <w:rPr>
          <w:spacing w:val="-4"/>
          <w:w w:val="110"/>
        </w:rPr>
        <w:t xml:space="preserve"> </w:t>
      </w:r>
      <w:r>
        <w:rPr>
          <w:w w:val="110"/>
        </w:rPr>
        <w:t>taking</w:t>
      </w:r>
      <w:r>
        <w:rPr>
          <w:spacing w:val="-4"/>
          <w:w w:val="110"/>
        </w:rPr>
        <w:t xml:space="preserve"> </w:t>
      </w:r>
      <w:r>
        <w:rPr>
          <w:w w:val="110"/>
        </w:rPr>
        <w:t>the</w:t>
      </w:r>
      <w:r>
        <w:rPr>
          <w:spacing w:val="-7"/>
          <w:w w:val="110"/>
        </w:rPr>
        <w:t xml:space="preserve"> </w:t>
      </w:r>
      <w:r>
        <w:rPr>
          <w:spacing w:val="-2"/>
          <w:w w:val="110"/>
        </w:rPr>
        <w:t>loan.”</w:t>
      </w:r>
      <w:hyperlink w:history="1" w:anchor="_bookmark40">
        <w:r>
          <w:rPr>
            <w:spacing w:val="-2"/>
            <w:w w:val="110"/>
            <w:position w:val="8"/>
            <w:sz w:val="13"/>
          </w:rPr>
          <w:t>22</w:t>
        </w:r>
      </w:hyperlink>
    </w:p>
    <w:p w:rsidR="00B84CED" w:rsidRDefault="00B84CED" w14:paraId="33BA8865" w14:textId="77777777">
      <w:pPr>
        <w:pStyle w:val="BodyText"/>
        <w:spacing w:before="24"/>
      </w:pPr>
    </w:p>
    <w:p w:rsidR="00B84CED" w:rsidRDefault="00794452" w14:paraId="160F5C5E" w14:textId="77777777">
      <w:pPr>
        <w:pStyle w:val="BodyText"/>
        <w:spacing w:line="357" w:lineRule="auto"/>
        <w:ind w:left="219" w:right="459"/>
      </w:pPr>
      <w:r>
        <w:rPr>
          <w:w w:val="110"/>
        </w:rPr>
        <w:t>Department officials told</w:t>
      </w:r>
      <w:r>
        <w:rPr>
          <w:spacing w:val="-1"/>
          <w:w w:val="110"/>
        </w:rPr>
        <w:t xml:space="preserve"> </w:t>
      </w:r>
      <w:r>
        <w:rPr>
          <w:w w:val="110"/>
        </w:rPr>
        <w:t>the Committee that Recital 28 of the Regulation refers to the grace</w:t>
      </w:r>
      <w:r>
        <w:rPr>
          <w:spacing w:val="-3"/>
          <w:w w:val="110"/>
        </w:rPr>
        <w:t xml:space="preserve"> </w:t>
      </w:r>
      <w:r>
        <w:rPr>
          <w:w w:val="110"/>
        </w:rPr>
        <w:t>period</w:t>
      </w:r>
      <w:r>
        <w:rPr>
          <w:spacing w:val="-5"/>
          <w:w w:val="110"/>
        </w:rPr>
        <w:t xml:space="preserve"> </w:t>
      </w:r>
      <w:r>
        <w:rPr>
          <w:w w:val="110"/>
        </w:rPr>
        <w:t>on</w:t>
      </w:r>
      <w:r>
        <w:rPr>
          <w:spacing w:val="-7"/>
          <w:w w:val="110"/>
        </w:rPr>
        <w:t xml:space="preserve"> </w:t>
      </w:r>
      <w:r>
        <w:rPr>
          <w:w w:val="110"/>
        </w:rPr>
        <w:t>the</w:t>
      </w:r>
      <w:r>
        <w:rPr>
          <w:spacing w:val="-3"/>
          <w:w w:val="110"/>
        </w:rPr>
        <w:t xml:space="preserve"> </w:t>
      </w:r>
      <w:r>
        <w:rPr>
          <w:w w:val="110"/>
        </w:rPr>
        <w:t>principal</w:t>
      </w:r>
      <w:r>
        <w:rPr>
          <w:spacing w:val="-4"/>
          <w:w w:val="110"/>
        </w:rPr>
        <w:t xml:space="preserve"> </w:t>
      </w:r>
      <w:r>
        <w:rPr>
          <w:w w:val="110"/>
        </w:rPr>
        <w:t>for</w:t>
      </w:r>
      <w:r>
        <w:rPr>
          <w:spacing w:val="-4"/>
          <w:w w:val="110"/>
        </w:rPr>
        <w:t xml:space="preserve"> </w:t>
      </w:r>
      <w:r>
        <w:rPr>
          <w:w w:val="110"/>
        </w:rPr>
        <w:t>up</w:t>
      </w:r>
      <w:r>
        <w:rPr>
          <w:spacing w:val="-5"/>
          <w:w w:val="110"/>
        </w:rPr>
        <w:t xml:space="preserve"> </w:t>
      </w:r>
      <w:r>
        <w:rPr>
          <w:w w:val="110"/>
        </w:rPr>
        <w:t>to</w:t>
      </w:r>
      <w:r>
        <w:rPr>
          <w:spacing w:val="-3"/>
          <w:w w:val="110"/>
        </w:rPr>
        <w:t xml:space="preserve"> </w:t>
      </w:r>
      <w:r>
        <w:rPr>
          <w:w w:val="110"/>
        </w:rPr>
        <w:t>ten</w:t>
      </w:r>
      <w:r>
        <w:rPr>
          <w:spacing w:val="-7"/>
          <w:w w:val="110"/>
        </w:rPr>
        <w:t xml:space="preserve"> </w:t>
      </w:r>
      <w:r>
        <w:rPr>
          <w:w w:val="110"/>
        </w:rPr>
        <w:t>years,</w:t>
      </w:r>
      <w:r>
        <w:rPr>
          <w:spacing w:val="-9"/>
          <w:w w:val="110"/>
        </w:rPr>
        <w:t xml:space="preserve"> </w:t>
      </w:r>
      <w:r>
        <w:rPr>
          <w:w w:val="110"/>
        </w:rPr>
        <w:t>so</w:t>
      </w:r>
      <w:r>
        <w:rPr>
          <w:spacing w:val="-3"/>
          <w:w w:val="110"/>
        </w:rPr>
        <w:t xml:space="preserve"> </w:t>
      </w:r>
      <w:r>
        <w:rPr>
          <w:w w:val="110"/>
        </w:rPr>
        <w:t>this</w:t>
      </w:r>
      <w:r>
        <w:rPr>
          <w:spacing w:val="-6"/>
          <w:w w:val="110"/>
        </w:rPr>
        <w:t xml:space="preserve"> </w:t>
      </w:r>
      <w:r>
        <w:rPr>
          <w:w w:val="110"/>
        </w:rPr>
        <w:t>would</w:t>
      </w:r>
      <w:r>
        <w:rPr>
          <w:spacing w:val="-5"/>
          <w:w w:val="110"/>
        </w:rPr>
        <w:t xml:space="preserve"> </w:t>
      </w:r>
      <w:r>
        <w:rPr>
          <w:w w:val="110"/>
        </w:rPr>
        <w:t>mean</w:t>
      </w:r>
      <w:r>
        <w:rPr>
          <w:spacing w:val="-5"/>
          <w:w w:val="110"/>
        </w:rPr>
        <w:t xml:space="preserve"> </w:t>
      </w:r>
      <w:r>
        <w:rPr>
          <w:w w:val="110"/>
        </w:rPr>
        <w:t>that</w:t>
      </w:r>
      <w:r>
        <w:rPr>
          <w:spacing w:val="-8"/>
          <w:w w:val="110"/>
        </w:rPr>
        <w:t xml:space="preserve"> </w:t>
      </w:r>
      <w:r>
        <w:rPr>
          <w:w w:val="110"/>
        </w:rPr>
        <w:t>the</w:t>
      </w:r>
      <w:r>
        <w:rPr>
          <w:spacing w:val="-3"/>
          <w:w w:val="110"/>
        </w:rPr>
        <w:t xml:space="preserve"> </w:t>
      </w:r>
      <w:r>
        <w:rPr>
          <w:w w:val="110"/>
        </w:rPr>
        <w:t>interest</w:t>
      </w:r>
      <w:r>
        <w:rPr>
          <w:spacing w:val="-5"/>
          <w:w w:val="110"/>
        </w:rPr>
        <w:t xml:space="preserve"> </w:t>
      </w:r>
      <w:r>
        <w:rPr>
          <w:w w:val="110"/>
        </w:rPr>
        <w:t>is not</w:t>
      </w:r>
      <w:r>
        <w:rPr>
          <w:spacing w:val="-6"/>
          <w:w w:val="110"/>
        </w:rPr>
        <w:t xml:space="preserve"> </w:t>
      </w:r>
      <w:r>
        <w:rPr>
          <w:w w:val="110"/>
        </w:rPr>
        <w:t>subject</w:t>
      </w:r>
      <w:r>
        <w:rPr>
          <w:spacing w:val="-6"/>
          <w:w w:val="110"/>
        </w:rPr>
        <w:t xml:space="preserve"> </w:t>
      </w:r>
      <w:r>
        <w:rPr>
          <w:w w:val="110"/>
        </w:rPr>
        <w:t>to</w:t>
      </w:r>
      <w:r>
        <w:rPr>
          <w:spacing w:val="-7"/>
          <w:w w:val="110"/>
        </w:rPr>
        <w:t xml:space="preserve"> </w:t>
      </w:r>
      <w:r>
        <w:rPr>
          <w:w w:val="110"/>
        </w:rPr>
        <w:t>the</w:t>
      </w:r>
      <w:r>
        <w:rPr>
          <w:spacing w:val="-7"/>
          <w:w w:val="110"/>
        </w:rPr>
        <w:t xml:space="preserve"> </w:t>
      </w:r>
      <w:r>
        <w:rPr>
          <w:w w:val="110"/>
        </w:rPr>
        <w:t>same</w:t>
      </w:r>
      <w:r>
        <w:rPr>
          <w:spacing w:val="-9"/>
          <w:w w:val="110"/>
        </w:rPr>
        <w:t xml:space="preserve"> </w:t>
      </w:r>
      <w:r>
        <w:rPr>
          <w:w w:val="110"/>
        </w:rPr>
        <w:t>grace</w:t>
      </w:r>
      <w:r>
        <w:rPr>
          <w:spacing w:val="-4"/>
          <w:w w:val="110"/>
        </w:rPr>
        <w:t xml:space="preserve"> </w:t>
      </w:r>
      <w:r>
        <w:rPr>
          <w:w w:val="110"/>
        </w:rPr>
        <w:t>period.</w:t>
      </w:r>
      <w:r>
        <w:rPr>
          <w:spacing w:val="-5"/>
          <w:w w:val="110"/>
        </w:rPr>
        <w:t xml:space="preserve"> </w:t>
      </w:r>
      <w:r>
        <w:rPr>
          <w:w w:val="110"/>
        </w:rPr>
        <w:t>This</w:t>
      </w:r>
      <w:r>
        <w:rPr>
          <w:spacing w:val="-7"/>
          <w:w w:val="110"/>
        </w:rPr>
        <w:t xml:space="preserve"> </w:t>
      </w:r>
      <w:r>
        <w:rPr>
          <w:w w:val="110"/>
        </w:rPr>
        <w:t>was</w:t>
      </w:r>
      <w:r>
        <w:rPr>
          <w:spacing w:val="-5"/>
          <w:w w:val="110"/>
        </w:rPr>
        <w:t xml:space="preserve"> </w:t>
      </w:r>
      <w:r>
        <w:rPr>
          <w:w w:val="110"/>
        </w:rPr>
        <w:t>confirmed</w:t>
      </w:r>
      <w:r>
        <w:rPr>
          <w:spacing w:val="-6"/>
          <w:w w:val="110"/>
        </w:rPr>
        <w:t xml:space="preserve"> </w:t>
      </w:r>
      <w:r>
        <w:rPr>
          <w:w w:val="110"/>
        </w:rPr>
        <w:t>to</w:t>
      </w:r>
      <w:r>
        <w:rPr>
          <w:spacing w:val="-4"/>
          <w:w w:val="110"/>
        </w:rPr>
        <w:t xml:space="preserve"> </w:t>
      </w:r>
      <w:r>
        <w:rPr>
          <w:w w:val="110"/>
        </w:rPr>
        <w:t>the</w:t>
      </w:r>
      <w:r>
        <w:rPr>
          <w:spacing w:val="-7"/>
          <w:w w:val="110"/>
        </w:rPr>
        <w:t xml:space="preserve"> </w:t>
      </w:r>
      <w:r>
        <w:rPr>
          <w:w w:val="110"/>
        </w:rPr>
        <w:t>Committee</w:t>
      </w:r>
      <w:r>
        <w:rPr>
          <w:spacing w:val="-7"/>
          <w:w w:val="110"/>
        </w:rPr>
        <w:t xml:space="preserve"> </w:t>
      </w:r>
      <w:r>
        <w:rPr>
          <w:w w:val="110"/>
        </w:rPr>
        <w:t>in</w:t>
      </w:r>
      <w:r>
        <w:rPr>
          <w:spacing w:val="-6"/>
          <w:w w:val="110"/>
        </w:rPr>
        <w:t xml:space="preserve"> </w:t>
      </w:r>
      <w:r>
        <w:rPr>
          <w:w w:val="110"/>
        </w:rPr>
        <w:t>a</w:t>
      </w:r>
      <w:r>
        <w:rPr>
          <w:spacing w:val="-8"/>
          <w:w w:val="110"/>
        </w:rPr>
        <w:t xml:space="preserve"> </w:t>
      </w:r>
      <w:r>
        <w:rPr>
          <w:w w:val="110"/>
        </w:rPr>
        <w:t>written response from the Commission received on 24 November 2025.</w:t>
      </w:r>
    </w:p>
    <w:p w:rsidR="00B84CED" w:rsidRDefault="00794452" w14:paraId="66574C2D" w14:textId="77777777">
      <w:pPr>
        <w:pStyle w:val="BodyText"/>
        <w:spacing w:before="159" w:line="357" w:lineRule="auto"/>
        <w:ind w:left="219" w:right="836"/>
      </w:pPr>
      <w:r>
        <w:rPr>
          <w:w w:val="110"/>
        </w:rPr>
        <w:t>Members referred to the written submission received from the Centre of Full Employment and</w:t>
      </w:r>
      <w:r>
        <w:rPr>
          <w:spacing w:val="-1"/>
          <w:w w:val="110"/>
        </w:rPr>
        <w:t xml:space="preserve"> </w:t>
      </w:r>
      <w:r>
        <w:rPr>
          <w:w w:val="110"/>
        </w:rPr>
        <w:t>Equity (CofFEE), which took the view that the debt financing model posed by this regulation is unfit for purpose as it would force Member States into fiscal</w:t>
      </w:r>
      <w:r>
        <w:rPr>
          <w:spacing w:val="-1"/>
          <w:w w:val="110"/>
        </w:rPr>
        <w:t xml:space="preserve"> </w:t>
      </w:r>
      <w:r>
        <w:rPr>
          <w:w w:val="110"/>
        </w:rPr>
        <w:t>austerity</w:t>
      </w:r>
      <w:r>
        <w:rPr>
          <w:spacing w:val="-4"/>
          <w:w w:val="110"/>
        </w:rPr>
        <w:t xml:space="preserve"> </w:t>
      </w:r>
      <w:r>
        <w:rPr>
          <w:w w:val="110"/>
        </w:rPr>
        <w:t>should</w:t>
      </w:r>
      <w:r>
        <w:rPr>
          <w:spacing w:val="-2"/>
          <w:w w:val="110"/>
        </w:rPr>
        <w:t xml:space="preserve"> </w:t>
      </w:r>
      <w:r>
        <w:rPr>
          <w:w w:val="110"/>
        </w:rPr>
        <w:t>the debt</w:t>
      </w:r>
      <w:r>
        <w:rPr>
          <w:spacing w:val="-2"/>
          <w:w w:val="110"/>
        </w:rPr>
        <w:t xml:space="preserve"> </w:t>
      </w:r>
      <w:r>
        <w:rPr>
          <w:w w:val="110"/>
        </w:rPr>
        <w:t>obligations</w:t>
      </w:r>
      <w:r>
        <w:rPr>
          <w:spacing w:val="-1"/>
          <w:w w:val="110"/>
        </w:rPr>
        <w:t xml:space="preserve"> </w:t>
      </w:r>
      <w:r>
        <w:rPr>
          <w:w w:val="110"/>
        </w:rPr>
        <w:t>incurred</w:t>
      </w:r>
      <w:r>
        <w:rPr>
          <w:spacing w:val="-2"/>
          <w:w w:val="110"/>
        </w:rPr>
        <w:t xml:space="preserve"> </w:t>
      </w:r>
      <w:r>
        <w:rPr>
          <w:w w:val="110"/>
        </w:rPr>
        <w:t>under</w:t>
      </w:r>
      <w:r>
        <w:rPr>
          <w:spacing w:val="-1"/>
          <w:w w:val="110"/>
        </w:rPr>
        <w:t xml:space="preserve"> </w:t>
      </w:r>
      <w:r>
        <w:rPr>
          <w:w w:val="110"/>
        </w:rPr>
        <w:t>the</w:t>
      </w:r>
      <w:r>
        <w:rPr>
          <w:spacing w:val="-3"/>
          <w:w w:val="110"/>
        </w:rPr>
        <w:t xml:space="preserve"> </w:t>
      </w:r>
      <w:r>
        <w:rPr>
          <w:w w:val="110"/>
        </w:rPr>
        <w:t>SAFE</w:t>
      </w:r>
      <w:r>
        <w:rPr>
          <w:spacing w:val="-1"/>
          <w:w w:val="110"/>
        </w:rPr>
        <w:t xml:space="preserve"> </w:t>
      </w:r>
      <w:r>
        <w:rPr>
          <w:w w:val="110"/>
        </w:rPr>
        <w:t>programme push the balance into the excessive deficit procedure.</w:t>
      </w:r>
    </w:p>
    <w:p w:rsidR="00B84CED" w:rsidRDefault="00794452" w14:paraId="3E1245DF" w14:textId="77777777">
      <w:pPr>
        <w:pStyle w:val="BodyText"/>
        <w:spacing w:before="161" w:line="357" w:lineRule="auto"/>
        <w:ind w:left="219" w:right="778"/>
      </w:pPr>
      <w:r>
        <w:rPr>
          <w:w w:val="110"/>
        </w:rPr>
        <w:t>Members observed that in previous discussions within the Committee regarding investment, the fundamental consideration is that of financial risk. Decisions are arrived</w:t>
      </w:r>
      <w:r>
        <w:rPr>
          <w:spacing w:val="-8"/>
          <w:w w:val="110"/>
        </w:rPr>
        <w:t xml:space="preserve"> </w:t>
      </w:r>
      <w:r>
        <w:rPr>
          <w:w w:val="110"/>
        </w:rPr>
        <w:t>at</w:t>
      </w:r>
      <w:r>
        <w:rPr>
          <w:spacing w:val="-5"/>
          <w:w w:val="110"/>
        </w:rPr>
        <w:t xml:space="preserve"> </w:t>
      </w:r>
      <w:r>
        <w:rPr>
          <w:w w:val="110"/>
        </w:rPr>
        <w:t>based</w:t>
      </w:r>
      <w:r>
        <w:rPr>
          <w:spacing w:val="-8"/>
          <w:w w:val="110"/>
        </w:rPr>
        <w:t xml:space="preserve"> </w:t>
      </w:r>
      <w:r>
        <w:rPr>
          <w:w w:val="110"/>
        </w:rPr>
        <w:t>on</w:t>
      </w:r>
      <w:r>
        <w:rPr>
          <w:spacing w:val="-7"/>
          <w:w w:val="110"/>
        </w:rPr>
        <w:t xml:space="preserve"> </w:t>
      </w:r>
      <w:r>
        <w:rPr>
          <w:w w:val="110"/>
        </w:rPr>
        <w:t>whether</w:t>
      </w:r>
      <w:r>
        <w:rPr>
          <w:spacing w:val="-4"/>
          <w:w w:val="110"/>
        </w:rPr>
        <w:t xml:space="preserve"> </w:t>
      </w:r>
      <w:r>
        <w:rPr>
          <w:w w:val="110"/>
        </w:rPr>
        <w:t>a</w:t>
      </w:r>
      <w:r>
        <w:rPr>
          <w:spacing w:val="-7"/>
          <w:w w:val="110"/>
        </w:rPr>
        <w:t xml:space="preserve"> </w:t>
      </w:r>
      <w:r>
        <w:rPr>
          <w:w w:val="110"/>
        </w:rPr>
        <w:t>debt</w:t>
      </w:r>
      <w:r>
        <w:rPr>
          <w:spacing w:val="-7"/>
          <w:w w:val="110"/>
        </w:rPr>
        <w:t xml:space="preserve"> </w:t>
      </w:r>
      <w:r>
        <w:rPr>
          <w:w w:val="110"/>
        </w:rPr>
        <w:t>will</w:t>
      </w:r>
      <w:r>
        <w:rPr>
          <w:spacing w:val="-4"/>
          <w:w w:val="110"/>
        </w:rPr>
        <w:t xml:space="preserve"> </w:t>
      </w:r>
      <w:r>
        <w:rPr>
          <w:w w:val="110"/>
        </w:rPr>
        <w:t>be</w:t>
      </w:r>
      <w:r>
        <w:rPr>
          <w:spacing w:val="-6"/>
          <w:w w:val="110"/>
        </w:rPr>
        <w:t xml:space="preserve"> </w:t>
      </w:r>
      <w:r>
        <w:rPr>
          <w:w w:val="110"/>
        </w:rPr>
        <w:t>repaid</w:t>
      </w:r>
      <w:r>
        <w:rPr>
          <w:spacing w:val="-8"/>
          <w:w w:val="110"/>
        </w:rPr>
        <w:t xml:space="preserve"> </w:t>
      </w:r>
      <w:r>
        <w:rPr>
          <w:w w:val="110"/>
        </w:rPr>
        <w:t>as</w:t>
      </w:r>
      <w:r>
        <w:rPr>
          <w:spacing w:val="-4"/>
          <w:w w:val="110"/>
        </w:rPr>
        <w:t xml:space="preserve"> </w:t>
      </w:r>
      <w:r>
        <w:rPr>
          <w:w w:val="110"/>
        </w:rPr>
        <w:t>that</w:t>
      </w:r>
      <w:r>
        <w:rPr>
          <w:spacing w:val="-5"/>
          <w:w w:val="110"/>
        </w:rPr>
        <w:t xml:space="preserve"> </w:t>
      </w:r>
      <w:r>
        <w:rPr>
          <w:w w:val="110"/>
        </w:rPr>
        <w:t>is</w:t>
      </w:r>
      <w:r>
        <w:rPr>
          <w:spacing w:val="-6"/>
          <w:w w:val="110"/>
        </w:rPr>
        <w:t xml:space="preserve"> </w:t>
      </w:r>
      <w:r>
        <w:rPr>
          <w:w w:val="110"/>
        </w:rPr>
        <w:t>how</w:t>
      </w:r>
      <w:r>
        <w:rPr>
          <w:spacing w:val="-4"/>
          <w:w w:val="110"/>
        </w:rPr>
        <w:t xml:space="preserve"> </w:t>
      </w:r>
      <w:r>
        <w:rPr>
          <w:w w:val="110"/>
        </w:rPr>
        <w:t>the</w:t>
      </w:r>
      <w:r>
        <w:rPr>
          <w:spacing w:val="-3"/>
          <w:w w:val="110"/>
        </w:rPr>
        <w:t xml:space="preserve"> </w:t>
      </w:r>
      <w:r>
        <w:rPr>
          <w:w w:val="110"/>
        </w:rPr>
        <w:t>market</w:t>
      </w:r>
      <w:r>
        <w:rPr>
          <w:spacing w:val="-5"/>
          <w:w w:val="110"/>
        </w:rPr>
        <w:t xml:space="preserve"> </w:t>
      </w:r>
      <w:r>
        <w:rPr>
          <w:w w:val="110"/>
        </w:rPr>
        <w:t>functions, focused on financial risk. However, in the case under discussion, it appears that this regulation may well represent a financial risk for Ireland.</w:t>
      </w:r>
    </w:p>
    <w:p w:rsidR="00B84CED" w:rsidRDefault="00794452" w14:paraId="5E0F4896" w14:textId="77777777">
      <w:pPr>
        <w:pStyle w:val="BodyText"/>
        <w:spacing w:before="161" w:line="357" w:lineRule="auto"/>
        <w:ind w:left="219" w:right="778"/>
      </w:pPr>
      <w:r>
        <w:rPr>
          <w:w w:val="110"/>
        </w:rPr>
        <w:t>Attention</w:t>
      </w:r>
      <w:r>
        <w:rPr>
          <w:spacing w:val="-5"/>
          <w:w w:val="110"/>
        </w:rPr>
        <w:t xml:space="preserve"> </w:t>
      </w:r>
      <w:r>
        <w:rPr>
          <w:w w:val="110"/>
        </w:rPr>
        <w:t>was</w:t>
      </w:r>
      <w:r>
        <w:rPr>
          <w:spacing w:val="-4"/>
          <w:w w:val="110"/>
        </w:rPr>
        <w:t xml:space="preserve"> </w:t>
      </w:r>
      <w:r>
        <w:rPr>
          <w:w w:val="110"/>
        </w:rPr>
        <w:t>drawn</w:t>
      </w:r>
      <w:r>
        <w:rPr>
          <w:spacing w:val="-3"/>
          <w:w w:val="110"/>
        </w:rPr>
        <w:t xml:space="preserve"> </w:t>
      </w:r>
      <w:r>
        <w:rPr>
          <w:w w:val="110"/>
        </w:rPr>
        <w:t>to</w:t>
      </w:r>
      <w:r>
        <w:rPr>
          <w:spacing w:val="-4"/>
          <w:w w:val="110"/>
        </w:rPr>
        <w:t xml:space="preserve"> </w:t>
      </w:r>
      <w:r>
        <w:rPr>
          <w:w w:val="110"/>
        </w:rPr>
        <w:t>the</w:t>
      </w:r>
      <w:r>
        <w:rPr>
          <w:spacing w:val="-1"/>
          <w:w w:val="110"/>
        </w:rPr>
        <w:t xml:space="preserve"> </w:t>
      </w:r>
      <w:r>
        <w:rPr>
          <w:w w:val="110"/>
        </w:rPr>
        <w:t>debt</w:t>
      </w:r>
      <w:r>
        <w:rPr>
          <w:spacing w:val="-6"/>
          <w:w w:val="110"/>
        </w:rPr>
        <w:t xml:space="preserve"> </w:t>
      </w:r>
      <w:r>
        <w:rPr>
          <w:w w:val="110"/>
        </w:rPr>
        <w:t>level</w:t>
      </w:r>
      <w:r>
        <w:rPr>
          <w:spacing w:val="-5"/>
          <w:w w:val="110"/>
        </w:rPr>
        <w:t xml:space="preserve"> </w:t>
      </w:r>
      <w:r>
        <w:rPr>
          <w:w w:val="110"/>
        </w:rPr>
        <w:t>of</w:t>
      </w:r>
      <w:r>
        <w:rPr>
          <w:spacing w:val="-4"/>
          <w:w w:val="110"/>
        </w:rPr>
        <w:t xml:space="preserve"> </w:t>
      </w:r>
      <w:r>
        <w:rPr>
          <w:w w:val="110"/>
        </w:rPr>
        <w:t>member</w:t>
      </w:r>
      <w:r>
        <w:rPr>
          <w:spacing w:val="-4"/>
          <w:w w:val="110"/>
        </w:rPr>
        <w:t xml:space="preserve"> </w:t>
      </w:r>
      <w:r>
        <w:rPr>
          <w:w w:val="110"/>
        </w:rPr>
        <w:t>states</w:t>
      </w:r>
      <w:r>
        <w:rPr>
          <w:spacing w:val="-4"/>
          <w:w w:val="110"/>
        </w:rPr>
        <w:t xml:space="preserve"> </w:t>
      </w:r>
      <w:r>
        <w:rPr>
          <w:w w:val="110"/>
        </w:rPr>
        <w:t>applying</w:t>
      </w:r>
      <w:r>
        <w:rPr>
          <w:spacing w:val="-4"/>
          <w:w w:val="110"/>
        </w:rPr>
        <w:t xml:space="preserve"> </w:t>
      </w:r>
      <w:r>
        <w:rPr>
          <w:w w:val="110"/>
        </w:rPr>
        <w:t>for</w:t>
      </w:r>
      <w:r>
        <w:rPr>
          <w:spacing w:val="-4"/>
          <w:w w:val="110"/>
        </w:rPr>
        <w:t xml:space="preserve"> </w:t>
      </w:r>
      <w:r>
        <w:rPr>
          <w:w w:val="110"/>
        </w:rPr>
        <w:t>loans</w:t>
      </w:r>
      <w:r>
        <w:rPr>
          <w:spacing w:val="-2"/>
          <w:w w:val="110"/>
        </w:rPr>
        <w:t xml:space="preserve"> </w:t>
      </w:r>
      <w:r>
        <w:rPr>
          <w:w w:val="110"/>
        </w:rPr>
        <w:t>under</w:t>
      </w:r>
      <w:r>
        <w:rPr>
          <w:spacing w:val="-4"/>
          <w:w w:val="110"/>
        </w:rPr>
        <w:t xml:space="preserve"> </w:t>
      </w:r>
      <w:r>
        <w:rPr>
          <w:w w:val="110"/>
        </w:rPr>
        <w:t>the SAFE facility, with Members asking what incentives are being applied to ensure repayment.</w:t>
      </w:r>
      <w:r>
        <w:rPr>
          <w:spacing w:val="-6"/>
          <w:w w:val="110"/>
        </w:rPr>
        <w:t xml:space="preserve"> </w:t>
      </w:r>
      <w:r>
        <w:rPr>
          <w:w w:val="110"/>
        </w:rPr>
        <w:t>The</w:t>
      </w:r>
      <w:r>
        <w:rPr>
          <w:spacing w:val="-5"/>
          <w:w w:val="110"/>
        </w:rPr>
        <w:t xml:space="preserve"> </w:t>
      </w:r>
      <w:r>
        <w:rPr>
          <w:w w:val="110"/>
        </w:rPr>
        <w:t>Committee</w:t>
      </w:r>
      <w:r>
        <w:rPr>
          <w:spacing w:val="-5"/>
          <w:w w:val="110"/>
        </w:rPr>
        <w:t xml:space="preserve"> </w:t>
      </w:r>
      <w:r>
        <w:rPr>
          <w:w w:val="110"/>
        </w:rPr>
        <w:t>heard</w:t>
      </w:r>
      <w:r>
        <w:rPr>
          <w:spacing w:val="-4"/>
          <w:w w:val="110"/>
        </w:rPr>
        <w:t xml:space="preserve"> </w:t>
      </w:r>
      <w:r>
        <w:rPr>
          <w:w w:val="110"/>
        </w:rPr>
        <w:t>that</w:t>
      </w:r>
      <w:r>
        <w:rPr>
          <w:spacing w:val="-4"/>
          <w:w w:val="110"/>
        </w:rPr>
        <w:t xml:space="preserve"> </w:t>
      </w:r>
      <w:r>
        <w:rPr>
          <w:w w:val="110"/>
        </w:rPr>
        <w:t>member</w:t>
      </w:r>
      <w:r>
        <w:rPr>
          <w:spacing w:val="-5"/>
          <w:w w:val="110"/>
        </w:rPr>
        <w:t xml:space="preserve"> </w:t>
      </w:r>
      <w:r>
        <w:rPr>
          <w:w w:val="110"/>
        </w:rPr>
        <w:t>states</w:t>
      </w:r>
      <w:r>
        <w:rPr>
          <w:spacing w:val="-5"/>
          <w:w w:val="110"/>
        </w:rPr>
        <w:t xml:space="preserve"> </w:t>
      </w:r>
      <w:r>
        <w:rPr>
          <w:w w:val="110"/>
        </w:rPr>
        <w:t>“will</w:t>
      </w:r>
      <w:r>
        <w:rPr>
          <w:spacing w:val="-6"/>
          <w:w w:val="110"/>
        </w:rPr>
        <w:t xml:space="preserve"> </w:t>
      </w:r>
      <w:r>
        <w:rPr>
          <w:w w:val="110"/>
        </w:rPr>
        <w:t>have</w:t>
      </w:r>
      <w:r>
        <w:rPr>
          <w:spacing w:val="-5"/>
          <w:w w:val="110"/>
        </w:rPr>
        <w:t xml:space="preserve"> </w:t>
      </w:r>
      <w:r>
        <w:rPr>
          <w:w w:val="110"/>
        </w:rPr>
        <w:t>an</w:t>
      </w:r>
      <w:r>
        <w:rPr>
          <w:spacing w:val="-6"/>
          <w:w w:val="110"/>
        </w:rPr>
        <w:t xml:space="preserve"> </w:t>
      </w:r>
      <w:r>
        <w:rPr>
          <w:w w:val="110"/>
        </w:rPr>
        <w:t>obligation”</w:t>
      </w:r>
      <w:hyperlink w:history="1" w:anchor="_bookmark41">
        <w:r>
          <w:rPr>
            <w:w w:val="110"/>
            <w:position w:val="8"/>
            <w:sz w:val="13"/>
          </w:rPr>
          <w:t>23</w:t>
        </w:r>
      </w:hyperlink>
      <w:r>
        <w:rPr>
          <w:spacing w:val="-4"/>
          <w:w w:val="110"/>
          <w:position w:val="8"/>
          <w:sz w:val="13"/>
        </w:rPr>
        <w:t xml:space="preserve"> </w:t>
      </w:r>
      <w:r>
        <w:rPr>
          <w:w w:val="110"/>
        </w:rPr>
        <w:t>and advised that they will provide further detail in written response with regard to the measures available to the Commission to ensure repayment.</w:t>
      </w:r>
    </w:p>
    <w:p w:rsidR="00B84CED" w:rsidRDefault="00794452" w14:paraId="0B6094C3" w14:textId="77777777">
      <w:pPr>
        <w:spacing w:before="163" w:line="357" w:lineRule="auto"/>
        <w:ind w:left="219" w:right="681"/>
      </w:pPr>
      <w:r>
        <w:rPr>
          <w:w w:val="110"/>
        </w:rPr>
        <w:t xml:space="preserve">The Response received from the Commission, dated 24 November 2025, outlines that the measures ensuring repayment will be provided in a Loan Agreement to be signed with the Member State. The Loan Agreement must contain elements provided for in </w:t>
      </w:r>
      <w:r>
        <w:rPr>
          <w:i/>
          <w:w w:val="110"/>
        </w:rPr>
        <w:t>Regulation (EU, Euratom) 2024/2509 of the European Parliament and of the Council of 23 September 2024 on the financial</w:t>
      </w:r>
      <w:r>
        <w:rPr>
          <w:i/>
          <w:spacing w:val="-1"/>
          <w:w w:val="110"/>
        </w:rPr>
        <w:t xml:space="preserve"> </w:t>
      </w:r>
      <w:r>
        <w:rPr>
          <w:i/>
          <w:w w:val="110"/>
        </w:rPr>
        <w:t>rules</w:t>
      </w:r>
      <w:r>
        <w:rPr>
          <w:i/>
          <w:spacing w:val="-1"/>
          <w:w w:val="110"/>
        </w:rPr>
        <w:t xml:space="preserve"> </w:t>
      </w:r>
      <w:r>
        <w:rPr>
          <w:i/>
          <w:w w:val="110"/>
        </w:rPr>
        <w:t>applicable to the general budget of the Union (recast)</w:t>
      </w:r>
      <w:r>
        <w:rPr>
          <w:i/>
          <w:spacing w:val="29"/>
          <w:w w:val="110"/>
        </w:rPr>
        <w:t xml:space="preserve"> </w:t>
      </w:r>
      <w:r>
        <w:rPr>
          <w:w w:val="110"/>
        </w:rPr>
        <w:t>(the</w:t>
      </w:r>
      <w:r>
        <w:rPr>
          <w:spacing w:val="33"/>
          <w:w w:val="110"/>
        </w:rPr>
        <w:t xml:space="preserve"> </w:t>
      </w:r>
      <w:r>
        <w:rPr>
          <w:w w:val="110"/>
        </w:rPr>
        <w:t>‘Financial</w:t>
      </w:r>
      <w:r>
        <w:rPr>
          <w:spacing w:val="26"/>
          <w:w w:val="110"/>
        </w:rPr>
        <w:t xml:space="preserve"> </w:t>
      </w:r>
      <w:r>
        <w:rPr>
          <w:w w:val="110"/>
        </w:rPr>
        <w:t>Regulation’).</w:t>
      </w:r>
      <w:hyperlink w:history="1" w:anchor="_bookmark42">
        <w:r>
          <w:rPr>
            <w:w w:val="110"/>
            <w:position w:val="8"/>
            <w:sz w:val="13"/>
          </w:rPr>
          <w:t>24</w:t>
        </w:r>
      </w:hyperlink>
      <w:r>
        <w:rPr>
          <w:spacing w:val="15"/>
          <w:w w:val="110"/>
          <w:position w:val="8"/>
          <w:sz w:val="13"/>
        </w:rPr>
        <w:t xml:space="preserve"> </w:t>
      </w:r>
      <w:r>
        <w:rPr>
          <w:w w:val="110"/>
        </w:rPr>
        <w:t>In</w:t>
      </w:r>
      <w:r>
        <w:rPr>
          <w:spacing w:val="29"/>
          <w:w w:val="110"/>
        </w:rPr>
        <w:t xml:space="preserve"> </w:t>
      </w:r>
      <w:r>
        <w:rPr>
          <w:w w:val="110"/>
        </w:rPr>
        <w:t>particular,</w:t>
      </w:r>
      <w:r>
        <w:rPr>
          <w:spacing w:val="26"/>
          <w:w w:val="110"/>
        </w:rPr>
        <w:t xml:space="preserve"> </w:t>
      </w:r>
      <w:r>
        <w:rPr>
          <w:w w:val="110"/>
        </w:rPr>
        <w:t>Article</w:t>
      </w:r>
      <w:r>
        <w:rPr>
          <w:spacing w:val="28"/>
          <w:w w:val="110"/>
        </w:rPr>
        <w:t xml:space="preserve"> </w:t>
      </w:r>
      <w:r>
        <w:rPr>
          <w:w w:val="110"/>
        </w:rPr>
        <w:t>223(4)(d)</w:t>
      </w:r>
      <w:r>
        <w:rPr>
          <w:spacing w:val="31"/>
          <w:w w:val="110"/>
        </w:rPr>
        <w:t xml:space="preserve"> </w:t>
      </w:r>
      <w:r>
        <w:rPr>
          <w:w w:val="110"/>
        </w:rPr>
        <w:t>and</w:t>
      </w:r>
      <w:r>
        <w:rPr>
          <w:spacing w:val="29"/>
          <w:w w:val="110"/>
        </w:rPr>
        <w:t xml:space="preserve"> </w:t>
      </w:r>
      <w:r>
        <w:rPr>
          <w:w w:val="110"/>
        </w:rPr>
        <w:t xml:space="preserve">223(5) provide for such measures as </w:t>
      </w:r>
      <w:r>
        <w:rPr>
          <w:i/>
          <w:w w:val="110"/>
        </w:rPr>
        <w:t xml:space="preserve">acceleration, suspension, cancellation </w:t>
      </w:r>
      <w:r>
        <w:rPr>
          <w:w w:val="110"/>
        </w:rPr>
        <w:t>in</w:t>
      </w:r>
      <w:r>
        <w:rPr>
          <w:spacing w:val="-1"/>
          <w:w w:val="110"/>
        </w:rPr>
        <w:t xml:space="preserve"> </w:t>
      </w:r>
      <w:r>
        <w:rPr>
          <w:w w:val="110"/>
        </w:rPr>
        <w:t>case of a default of a beneficiary. The specific rules related to recovery of amounts receivable are set</w:t>
      </w:r>
    </w:p>
    <w:p w:rsidR="00B84CED" w:rsidRDefault="00794452" w14:paraId="1337B065" w14:textId="77777777">
      <w:pPr>
        <w:pStyle w:val="BodyText"/>
        <w:spacing w:before="11"/>
        <w:rPr>
          <w:sz w:val="11"/>
        </w:rPr>
      </w:pPr>
      <w:r>
        <w:rPr>
          <w:noProof/>
          <w:sz w:val="11"/>
        </w:rPr>
        <mc:AlternateContent>
          <mc:Choice Requires="wps">
            <w:drawing>
              <wp:anchor distT="0" distB="0" distL="0" distR="0" simplePos="0" relativeHeight="487595008" behindDoc="1" locked="0" layoutInCell="1" allowOverlap="1" wp14:editId="74FFA7E4" wp14:anchorId="70688693">
                <wp:simplePos x="0" y="0"/>
                <wp:positionH relativeFrom="page">
                  <wp:posOffset>900683</wp:posOffset>
                </wp:positionH>
                <wp:positionV relativeFrom="paragraph">
                  <wp:posOffset>107489</wp:posOffset>
                </wp:positionV>
                <wp:extent cx="1828800" cy="9525"/>
                <wp:effectExtent l="0" t="0" r="0" b="0"/>
                <wp:wrapTopAndBottom/>
                <wp:docPr id="16"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95" style="position:absolute;margin-left:70.9pt;margin-top:8.45pt;width:2in;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3r1828800,l1828800,xe" w14:anchorId="6896FBC1">
                <v:path arrowok="t"/>
                <w10:wrap type="topAndBottom" anchorx="page"/>
              </v:shape>
            </w:pict>
          </mc:Fallback>
        </mc:AlternateContent>
      </w:r>
    </w:p>
    <w:p w:rsidR="00B84CED" w:rsidRDefault="00794452" w14:paraId="5A76C4F8" w14:textId="77777777">
      <w:pPr>
        <w:spacing w:before="123"/>
        <w:ind w:left="1"/>
        <w:rPr>
          <w:sz w:val="16"/>
        </w:rPr>
      </w:pPr>
      <w:bookmarkStart w:name="_bookmark40" w:id="67"/>
      <w:bookmarkEnd w:id="67"/>
      <w:r>
        <w:rPr>
          <w:w w:val="115"/>
          <w:position w:val="6"/>
          <w:sz w:val="10"/>
        </w:rPr>
        <w:t>22</w:t>
      </w:r>
      <w:r>
        <w:rPr>
          <w:spacing w:val="12"/>
          <w:w w:val="115"/>
          <w:position w:val="6"/>
          <w:sz w:val="10"/>
        </w:rPr>
        <w:t xml:space="preserve"> </w:t>
      </w:r>
      <w:hyperlink r:id="rId45">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 15.10.25</w:t>
        </w:r>
        <w:r>
          <w:rPr>
            <w:color w:val="0000FF"/>
            <w:spacing w:val="-2"/>
            <w:w w:val="115"/>
            <w:sz w:val="16"/>
            <w:u w:val="single" w:color="0000FF"/>
          </w:rPr>
          <w:t xml:space="preserve"> </w:t>
        </w:r>
        <w:r>
          <w:rPr>
            <w:color w:val="0000FF"/>
            <w:spacing w:val="-4"/>
            <w:w w:val="115"/>
            <w:sz w:val="16"/>
            <w:u w:val="single" w:color="0000FF"/>
          </w:rPr>
          <w:t>p.22</w:t>
        </w:r>
      </w:hyperlink>
    </w:p>
    <w:p w:rsidR="00B84CED" w:rsidRDefault="00794452" w14:paraId="196F335D" w14:textId="77777777">
      <w:pPr>
        <w:spacing w:before="8"/>
        <w:ind w:left="1"/>
        <w:rPr>
          <w:sz w:val="16"/>
        </w:rPr>
      </w:pPr>
      <w:bookmarkStart w:name="_bookmark41" w:id="68"/>
      <w:bookmarkEnd w:id="68"/>
      <w:r>
        <w:rPr>
          <w:w w:val="115"/>
          <w:position w:val="6"/>
          <w:sz w:val="10"/>
        </w:rPr>
        <w:t>23</w:t>
      </w:r>
      <w:r>
        <w:rPr>
          <w:spacing w:val="12"/>
          <w:w w:val="115"/>
          <w:position w:val="6"/>
          <w:sz w:val="10"/>
        </w:rPr>
        <w:t xml:space="preserve"> </w:t>
      </w:r>
      <w:hyperlink r:id="rId46">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 15.10.25</w:t>
        </w:r>
        <w:r>
          <w:rPr>
            <w:color w:val="0000FF"/>
            <w:spacing w:val="-2"/>
            <w:w w:val="115"/>
            <w:sz w:val="16"/>
            <w:u w:val="single" w:color="0000FF"/>
          </w:rPr>
          <w:t xml:space="preserve"> </w:t>
        </w:r>
        <w:r>
          <w:rPr>
            <w:color w:val="0000FF"/>
            <w:spacing w:val="-4"/>
            <w:w w:val="115"/>
            <w:sz w:val="16"/>
            <w:u w:val="single" w:color="0000FF"/>
          </w:rPr>
          <w:t>p.23</w:t>
        </w:r>
      </w:hyperlink>
    </w:p>
    <w:p w:rsidR="00B84CED" w:rsidRDefault="00794452" w14:paraId="5A124562" w14:textId="77777777">
      <w:pPr>
        <w:spacing w:before="11"/>
        <w:ind w:left="1"/>
        <w:rPr>
          <w:sz w:val="16"/>
        </w:rPr>
      </w:pPr>
      <w:bookmarkStart w:name="_bookmark42" w:id="69"/>
      <w:bookmarkEnd w:id="69"/>
      <w:r>
        <w:rPr>
          <w:w w:val="115"/>
          <w:position w:val="6"/>
          <w:sz w:val="10"/>
        </w:rPr>
        <w:t xml:space="preserve">24 </w:t>
      </w:r>
      <w:hyperlink r:id="rId47">
        <w:r>
          <w:rPr>
            <w:color w:val="0000FF"/>
            <w:w w:val="115"/>
            <w:sz w:val="16"/>
            <w:u w:val="single" w:color="0000FF"/>
          </w:rPr>
          <w:t>Regulation</w:t>
        </w:r>
        <w:r>
          <w:rPr>
            <w:color w:val="0000FF"/>
            <w:spacing w:val="-10"/>
            <w:w w:val="115"/>
            <w:sz w:val="16"/>
            <w:u w:val="single" w:color="0000FF"/>
          </w:rPr>
          <w:t xml:space="preserve"> </w:t>
        </w:r>
        <w:r>
          <w:rPr>
            <w:color w:val="0000FF"/>
            <w:w w:val="115"/>
            <w:sz w:val="16"/>
            <w:u w:val="single" w:color="0000FF"/>
          </w:rPr>
          <w:t>-</w:t>
        </w:r>
        <w:r>
          <w:rPr>
            <w:color w:val="0000FF"/>
            <w:spacing w:val="-10"/>
            <w:w w:val="115"/>
            <w:sz w:val="16"/>
            <w:u w:val="single" w:color="0000FF"/>
          </w:rPr>
          <w:t xml:space="preserve"> </w:t>
        </w:r>
        <w:r>
          <w:rPr>
            <w:color w:val="0000FF"/>
            <w:w w:val="115"/>
            <w:sz w:val="16"/>
            <w:u w:val="single" w:color="0000FF"/>
          </w:rPr>
          <w:t>EU,</w:t>
        </w:r>
        <w:r>
          <w:rPr>
            <w:color w:val="0000FF"/>
            <w:spacing w:val="-10"/>
            <w:w w:val="115"/>
            <w:sz w:val="16"/>
            <w:u w:val="single" w:color="0000FF"/>
          </w:rPr>
          <w:t xml:space="preserve"> </w:t>
        </w:r>
        <w:r>
          <w:rPr>
            <w:color w:val="0000FF"/>
            <w:w w:val="115"/>
            <w:sz w:val="16"/>
            <w:u w:val="single" w:color="0000FF"/>
          </w:rPr>
          <w:t>Euratom</w:t>
        </w:r>
        <w:r>
          <w:rPr>
            <w:color w:val="0000FF"/>
            <w:spacing w:val="-10"/>
            <w:w w:val="115"/>
            <w:sz w:val="16"/>
            <w:u w:val="single" w:color="0000FF"/>
          </w:rPr>
          <w:t xml:space="preserve"> </w:t>
        </w:r>
        <w:r>
          <w:rPr>
            <w:color w:val="0000FF"/>
            <w:w w:val="115"/>
            <w:sz w:val="16"/>
            <w:u w:val="single" w:color="0000FF"/>
          </w:rPr>
          <w:t>-</w:t>
        </w:r>
        <w:r>
          <w:rPr>
            <w:color w:val="0000FF"/>
            <w:spacing w:val="-10"/>
            <w:w w:val="115"/>
            <w:sz w:val="16"/>
            <w:u w:val="single" w:color="0000FF"/>
          </w:rPr>
          <w:t xml:space="preserve"> </w:t>
        </w:r>
        <w:r>
          <w:rPr>
            <w:color w:val="0000FF"/>
            <w:w w:val="115"/>
            <w:sz w:val="16"/>
            <w:u w:val="single" w:color="0000FF"/>
          </w:rPr>
          <w:t>2024/2509</w:t>
        </w:r>
        <w:r>
          <w:rPr>
            <w:color w:val="0000FF"/>
            <w:spacing w:val="-10"/>
            <w:w w:val="115"/>
            <w:sz w:val="16"/>
            <w:u w:val="single" w:color="0000FF"/>
          </w:rPr>
          <w:t xml:space="preserve"> </w:t>
        </w:r>
        <w:r>
          <w:rPr>
            <w:color w:val="0000FF"/>
            <w:w w:val="115"/>
            <w:sz w:val="16"/>
            <w:u w:val="single" w:color="0000FF"/>
          </w:rPr>
          <w:t>-</w:t>
        </w:r>
        <w:r>
          <w:rPr>
            <w:color w:val="0000FF"/>
            <w:spacing w:val="-10"/>
            <w:w w:val="115"/>
            <w:sz w:val="16"/>
            <w:u w:val="single" w:color="0000FF"/>
          </w:rPr>
          <w:t xml:space="preserve"> </w:t>
        </w:r>
        <w:r>
          <w:rPr>
            <w:color w:val="0000FF"/>
            <w:w w:val="115"/>
            <w:sz w:val="16"/>
            <w:u w:val="single" w:color="0000FF"/>
          </w:rPr>
          <w:t>EN</w:t>
        </w:r>
        <w:r>
          <w:rPr>
            <w:color w:val="0000FF"/>
            <w:spacing w:val="-10"/>
            <w:w w:val="115"/>
            <w:sz w:val="16"/>
            <w:u w:val="single" w:color="0000FF"/>
          </w:rPr>
          <w:t xml:space="preserve"> </w:t>
        </w:r>
        <w:r>
          <w:rPr>
            <w:color w:val="0000FF"/>
            <w:w w:val="115"/>
            <w:sz w:val="16"/>
            <w:u w:val="single" w:color="0000FF"/>
          </w:rPr>
          <w:t>-</w:t>
        </w:r>
        <w:r>
          <w:rPr>
            <w:color w:val="0000FF"/>
            <w:spacing w:val="-10"/>
            <w:w w:val="115"/>
            <w:sz w:val="16"/>
            <w:u w:val="single" w:color="0000FF"/>
          </w:rPr>
          <w:t xml:space="preserve"> </w:t>
        </w:r>
        <w:r>
          <w:rPr>
            <w:color w:val="0000FF"/>
            <w:w w:val="115"/>
            <w:sz w:val="16"/>
            <w:u w:val="single" w:color="0000FF"/>
          </w:rPr>
          <w:t>EUR-</w:t>
        </w:r>
        <w:r>
          <w:rPr>
            <w:color w:val="0000FF"/>
            <w:spacing w:val="-5"/>
            <w:w w:val="115"/>
            <w:sz w:val="16"/>
            <w:u w:val="single" w:color="0000FF"/>
          </w:rPr>
          <w:t>Lex</w:t>
        </w:r>
      </w:hyperlink>
    </w:p>
    <w:p w:rsidR="00B84CED" w:rsidRDefault="00B84CED" w14:paraId="09FCAF33" w14:textId="77777777">
      <w:pPr>
        <w:rPr>
          <w:sz w:val="16"/>
        </w:rPr>
        <w:sectPr w:rsidR="00B84CED" w:rsidSect="00196DB0">
          <w:footerReference w:type="even" r:id="R74f2932dcf5f446b"/>
          <w:footerReference w:type="first" r:id="R38e1c691bdab4654"/>
          <w:headerReference w:type="even" r:id="R8087452a9f3e4c73"/>
          <w:headerReference w:type="first" r:id="Re7fc373ecc5648d5"/>
          <w:pgSz w:w="11907" w:h="16839"/>
          <w:pgMar w:top="1134" w:right="1134" w:bottom="1134" w:left="1134" w:header="567" w:footer="567" w:gutter="0"/>
          <w:cols w:space="720"/>
          <w:docGrid w:linePitch="299"/>
        </w:sectPr>
      </w:pPr>
    </w:p>
    <w:p w:rsidR="00B84CED" w:rsidRDefault="00794452" w14:paraId="3DD9EEE6" w14:textId="77777777">
      <w:pPr>
        <w:pStyle w:val="BodyText"/>
        <w:spacing w:before="109" w:line="357" w:lineRule="auto"/>
        <w:ind w:left="219" w:right="778"/>
        <w:rPr>
          <w:position w:val="8"/>
          <w:sz w:val="13"/>
        </w:rPr>
      </w:pPr>
      <w:r>
        <w:rPr>
          <w:w w:val="110"/>
        </w:rPr>
        <w:lastRenderedPageBreak/>
        <w:t>out</w:t>
      </w:r>
      <w:r>
        <w:rPr>
          <w:spacing w:val="-2"/>
          <w:w w:val="110"/>
        </w:rPr>
        <w:t xml:space="preserve"> </w:t>
      </w:r>
      <w:r>
        <w:rPr>
          <w:w w:val="110"/>
        </w:rPr>
        <w:t>accordingly</w:t>
      </w:r>
      <w:r>
        <w:rPr>
          <w:spacing w:val="-4"/>
          <w:w w:val="110"/>
        </w:rPr>
        <w:t xml:space="preserve"> </w:t>
      </w:r>
      <w:r>
        <w:rPr>
          <w:w w:val="110"/>
        </w:rPr>
        <w:t>in</w:t>
      </w:r>
      <w:r>
        <w:rPr>
          <w:spacing w:val="-2"/>
          <w:w w:val="110"/>
        </w:rPr>
        <w:t xml:space="preserve"> </w:t>
      </w:r>
      <w:r>
        <w:rPr>
          <w:w w:val="110"/>
        </w:rPr>
        <w:t>Section</w:t>
      </w:r>
      <w:r>
        <w:rPr>
          <w:spacing w:val="-2"/>
          <w:w w:val="110"/>
        </w:rPr>
        <w:t xml:space="preserve"> </w:t>
      </w:r>
      <w:r>
        <w:rPr>
          <w:w w:val="110"/>
        </w:rPr>
        <w:t>5</w:t>
      </w:r>
      <w:r>
        <w:rPr>
          <w:spacing w:val="-2"/>
          <w:w w:val="110"/>
        </w:rPr>
        <w:t xml:space="preserve"> </w:t>
      </w:r>
      <w:r>
        <w:rPr>
          <w:w w:val="110"/>
        </w:rPr>
        <w:t>of</w:t>
      </w:r>
      <w:r>
        <w:rPr>
          <w:spacing w:val="-1"/>
          <w:w w:val="110"/>
        </w:rPr>
        <w:t xml:space="preserve"> </w:t>
      </w:r>
      <w:r>
        <w:rPr>
          <w:w w:val="110"/>
        </w:rPr>
        <w:t>Chapter</w:t>
      </w:r>
      <w:r>
        <w:rPr>
          <w:spacing w:val="-1"/>
          <w:w w:val="110"/>
        </w:rPr>
        <w:t xml:space="preserve"> </w:t>
      </w:r>
      <w:r>
        <w:rPr>
          <w:w w:val="110"/>
        </w:rPr>
        <w:t>6</w:t>
      </w:r>
      <w:r>
        <w:rPr>
          <w:spacing w:val="-4"/>
          <w:w w:val="110"/>
        </w:rPr>
        <w:t xml:space="preserve"> </w:t>
      </w:r>
      <w:r>
        <w:rPr>
          <w:w w:val="110"/>
        </w:rPr>
        <w:t>of</w:t>
      </w:r>
      <w:r>
        <w:rPr>
          <w:spacing w:val="-3"/>
          <w:w w:val="110"/>
        </w:rPr>
        <w:t xml:space="preserve"> </w:t>
      </w:r>
      <w:r>
        <w:rPr>
          <w:w w:val="110"/>
        </w:rPr>
        <w:t>the</w:t>
      </w:r>
      <w:r>
        <w:rPr>
          <w:spacing w:val="-3"/>
          <w:w w:val="110"/>
        </w:rPr>
        <w:t xml:space="preserve"> </w:t>
      </w:r>
      <w:r>
        <w:rPr>
          <w:w w:val="110"/>
        </w:rPr>
        <w:t>Financial</w:t>
      </w:r>
      <w:r>
        <w:rPr>
          <w:spacing w:val="-1"/>
          <w:w w:val="110"/>
        </w:rPr>
        <w:t xml:space="preserve"> </w:t>
      </w:r>
      <w:r>
        <w:rPr>
          <w:w w:val="110"/>
        </w:rPr>
        <w:t>Regulation,</w:t>
      </w:r>
      <w:r>
        <w:rPr>
          <w:spacing w:val="-1"/>
          <w:w w:val="110"/>
        </w:rPr>
        <w:t xml:space="preserve"> </w:t>
      </w:r>
      <w:r>
        <w:rPr>
          <w:w w:val="110"/>
        </w:rPr>
        <w:t>including in particular Article 102 which provides for recovery by offsetting.</w:t>
      </w:r>
      <w:hyperlink w:history="1" w:anchor="_bookmark44">
        <w:r>
          <w:rPr>
            <w:w w:val="110"/>
            <w:position w:val="8"/>
            <w:sz w:val="13"/>
          </w:rPr>
          <w:t>25</w:t>
        </w:r>
      </w:hyperlink>
    </w:p>
    <w:p w:rsidR="00B84CED" w:rsidRDefault="00794452" w14:paraId="6CAED04F" w14:textId="77777777">
      <w:pPr>
        <w:pStyle w:val="BodyText"/>
        <w:spacing w:before="159" w:line="357" w:lineRule="auto"/>
        <w:ind w:left="219" w:right="778"/>
      </w:pPr>
      <w:r>
        <w:rPr>
          <w:w w:val="110"/>
        </w:rPr>
        <w:t>The Committee understands that the reasoning underlying the increase in military spending</w:t>
      </w:r>
      <w:r>
        <w:rPr>
          <w:spacing w:val="-3"/>
          <w:w w:val="110"/>
        </w:rPr>
        <w:t xml:space="preserve"> </w:t>
      </w:r>
      <w:r>
        <w:rPr>
          <w:w w:val="110"/>
        </w:rPr>
        <w:t>is</w:t>
      </w:r>
      <w:r>
        <w:rPr>
          <w:spacing w:val="-3"/>
          <w:w w:val="110"/>
        </w:rPr>
        <w:t xml:space="preserve"> </w:t>
      </w:r>
      <w:r>
        <w:rPr>
          <w:w w:val="110"/>
        </w:rPr>
        <w:t>related</w:t>
      </w:r>
      <w:r>
        <w:rPr>
          <w:spacing w:val="-2"/>
          <w:w w:val="110"/>
        </w:rPr>
        <w:t xml:space="preserve"> </w:t>
      </w:r>
      <w:r>
        <w:rPr>
          <w:w w:val="110"/>
        </w:rPr>
        <w:t>to concerns</w:t>
      </w:r>
      <w:r>
        <w:rPr>
          <w:spacing w:val="-3"/>
          <w:w w:val="110"/>
        </w:rPr>
        <w:t xml:space="preserve"> </w:t>
      </w:r>
      <w:r>
        <w:rPr>
          <w:w w:val="110"/>
        </w:rPr>
        <w:t>around</w:t>
      </w:r>
      <w:r>
        <w:rPr>
          <w:spacing w:val="-2"/>
          <w:w w:val="110"/>
        </w:rPr>
        <w:t xml:space="preserve"> </w:t>
      </w:r>
      <w:r>
        <w:rPr>
          <w:w w:val="110"/>
        </w:rPr>
        <w:t>the potential</w:t>
      </w:r>
      <w:r>
        <w:rPr>
          <w:spacing w:val="-2"/>
          <w:w w:val="110"/>
        </w:rPr>
        <w:t xml:space="preserve"> </w:t>
      </w:r>
      <w:r>
        <w:rPr>
          <w:w w:val="110"/>
        </w:rPr>
        <w:t>for</w:t>
      </w:r>
      <w:r>
        <w:rPr>
          <w:spacing w:val="-3"/>
          <w:w w:val="110"/>
        </w:rPr>
        <w:t xml:space="preserve"> </w:t>
      </w:r>
      <w:r>
        <w:rPr>
          <w:w w:val="110"/>
        </w:rPr>
        <w:t>war</w:t>
      </w:r>
      <w:r>
        <w:rPr>
          <w:spacing w:val="-3"/>
          <w:w w:val="110"/>
        </w:rPr>
        <w:t xml:space="preserve"> </w:t>
      </w:r>
      <w:r>
        <w:rPr>
          <w:w w:val="110"/>
        </w:rPr>
        <w:t>or</w:t>
      </w:r>
      <w:r>
        <w:rPr>
          <w:spacing w:val="-3"/>
          <w:w w:val="110"/>
        </w:rPr>
        <w:t xml:space="preserve"> </w:t>
      </w:r>
      <w:r>
        <w:rPr>
          <w:w w:val="110"/>
        </w:rPr>
        <w:t>invasion</w:t>
      </w:r>
      <w:r>
        <w:rPr>
          <w:spacing w:val="-2"/>
          <w:w w:val="110"/>
        </w:rPr>
        <w:t xml:space="preserve"> </w:t>
      </w:r>
      <w:r>
        <w:rPr>
          <w:w w:val="110"/>
        </w:rPr>
        <w:t>in</w:t>
      </w:r>
      <w:r>
        <w:rPr>
          <w:spacing w:val="-4"/>
          <w:w w:val="110"/>
        </w:rPr>
        <w:t xml:space="preserve"> </w:t>
      </w:r>
      <w:r>
        <w:rPr>
          <w:w w:val="110"/>
        </w:rPr>
        <w:t>some</w:t>
      </w:r>
      <w:r>
        <w:rPr>
          <w:spacing w:val="-3"/>
          <w:w w:val="110"/>
        </w:rPr>
        <w:t xml:space="preserve"> </w:t>
      </w:r>
      <w:r>
        <w:rPr>
          <w:w w:val="110"/>
        </w:rPr>
        <w:t>EU member states. If this were the case, there would undoubtedly be impacts on the economy. With this in mind, members asked whether a portion of the EU budget is being set aside on a yearly basis to provide for the unlikely scenario that member states are unable</w:t>
      </w:r>
      <w:r>
        <w:rPr>
          <w:spacing w:val="-2"/>
          <w:w w:val="110"/>
        </w:rPr>
        <w:t xml:space="preserve"> </w:t>
      </w:r>
      <w:r>
        <w:rPr>
          <w:w w:val="110"/>
        </w:rPr>
        <w:t>to</w:t>
      </w:r>
      <w:r>
        <w:rPr>
          <w:spacing w:val="-2"/>
          <w:w w:val="110"/>
        </w:rPr>
        <w:t xml:space="preserve"> </w:t>
      </w:r>
      <w:r>
        <w:rPr>
          <w:w w:val="110"/>
        </w:rPr>
        <w:t>repay these</w:t>
      </w:r>
      <w:r>
        <w:rPr>
          <w:spacing w:val="-2"/>
          <w:w w:val="110"/>
        </w:rPr>
        <w:t xml:space="preserve"> </w:t>
      </w:r>
      <w:r>
        <w:rPr>
          <w:w w:val="110"/>
        </w:rPr>
        <w:t>loans. Commission</w:t>
      </w:r>
      <w:r>
        <w:rPr>
          <w:spacing w:val="-1"/>
          <w:w w:val="110"/>
        </w:rPr>
        <w:t xml:space="preserve"> </w:t>
      </w:r>
      <w:r>
        <w:rPr>
          <w:w w:val="110"/>
        </w:rPr>
        <w:t>representatives</w:t>
      </w:r>
      <w:r>
        <w:rPr>
          <w:spacing w:val="-2"/>
          <w:w w:val="110"/>
        </w:rPr>
        <w:t xml:space="preserve"> </w:t>
      </w:r>
      <w:r>
        <w:rPr>
          <w:w w:val="110"/>
        </w:rPr>
        <w:t>were</w:t>
      </w:r>
      <w:r>
        <w:rPr>
          <w:spacing w:val="-2"/>
          <w:w w:val="110"/>
        </w:rPr>
        <w:t xml:space="preserve"> </w:t>
      </w:r>
      <w:r>
        <w:rPr>
          <w:w w:val="110"/>
        </w:rPr>
        <w:t>unable to answer</w:t>
      </w:r>
      <w:r>
        <w:rPr>
          <w:spacing w:val="-14"/>
          <w:w w:val="110"/>
        </w:rPr>
        <w:t xml:space="preserve"> </w:t>
      </w:r>
      <w:r>
        <w:rPr>
          <w:w w:val="110"/>
        </w:rPr>
        <w:t>this</w:t>
      </w:r>
      <w:r>
        <w:rPr>
          <w:spacing w:val="-14"/>
          <w:w w:val="110"/>
        </w:rPr>
        <w:t xml:space="preserve"> </w:t>
      </w:r>
      <w:r>
        <w:rPr>
          <w:w w:val="110"/>
        </w:rPr>
        <w:t>query</w:t>
      </w:r>
      <w:r>
        <w:rPr>
          <w:spacing w:val="-13"/>
          <w:w w:val="110"/>
        </w:rPr>
        <w:t xml:space="preserve"> </w:t>
      </w:r>
      <w:r>
        <w:rPr>
          <w:w w:val="110"/>
        </w:rPr>
        <w:t>during</w:t>
      </w:r>
      <w:r>
        <w:rPr>
          <w:spacing w:val="-14"/>
          <w:w w:val="110"/>
        </w:rPr>
        <w:t xml:space="preserve"> </w:t>
      </w:r>
      <w:r>
        <w:rPr>
          <w:w w:val="110"/>
        </w:rPr>
        <w:t>the</w:t>
      </w:r>
      <w:r>
        <w:rPr>
          <w:spacing w:val="-11"/>
          <w:w w:val="110"/>
        </w:rPr>
        <w:t xml:space="preserve"> </w:t>
      </w:r>
      <w:r>
        <w:rPr>
          <w:w w:val="110"/>
        </w:rPr>
        <w:t>meeting</w:t>
      </w:r>
      <w:r>
        <w:rPr>
          <w:spacing w:val="-12"/>
          <w:w w:val="110"/>
        </w:rPr>
        <w:t xml:space="preserve"> </w:t>
      </w:r>
      <w:r>
        <w:rPr>
          <w:w w:val="110"/>
        </w:rPr>
        <w:t>and</w:t>
      </w:r>
      <w:r>
        <w:rPr>
          <w:spacing w:val="-13"/>
          <w:w w:val="110"/>
        </w:rPr>
        <w:t xml:space="preserve"> </w:t>
      </w:r>
      <w:r>
        <w:rPr>
          <w:w w:val="110"/>
        </w:rPr>
        <w:t>committed</w:t>
      </w:r>
      <w:r>
        <w:rPr>
          <w:spacing w:val="-13"/>
          <w:w w:val="110"/>
        </w:rPr>
        <w:t xml:space="preserve"> </w:t>
      </w:r>
      <w:r>
        <w:rPr>
          <w:w w:val="110"/>
        </w:rPr>
        <w:t>to</w:t>
      </w:r>
      <w:r>
        <w:rPr>
          <w:spacing w:val="-12"/>
          <w:w w:val="110"/>
        </w:rPr>
        <w:t xml:space="preserve"> </w:t>
      </w:r>
      <w:r>
        <w:rPr>
          <w:w w:val="110"/>
        </w:rPr>
        <w:t>providing</w:t>
      </w:r>
      <w:r>
        <w:rPr>
          <w:spacing w:val="-13"/>
          <w:w w:val="110"/>
        </w:rPr>
        <w:t xml:space="preserve"> </w:t>
      </w:r>
      <w:r>
        <w:rPr>
          <w:w w:val="110"/>
        </w:rPr>
        <w:t>written</w:t>
      </w:r>
      <w:r>
        <w:rPr>
          <w:spacing w:val="-14"/>
          <w:w w:val="110"/>
        </w:rPr>
        <w:t xml:space="preserve"> </w:t>
      </w:r>
      <w:r>
        <w:rPr>
          <w:spacing w:val="-2"/>
          <w:w w:val="110"/>
        </w:rPr>
        <w:t>response.</w:t>
      </w:r>
    </w:p>
    <w:p w:rsidR="00B84CED" w:rsidRDefault="00794452" w14:paraId="097A4FFA" w14:textId="77777777">
      <w:pPr>
        <w:pStyle w:val="BodyText"/>
        <w:spacing w:before="161" w:line="357" w:lineRule="auto"/>
        <w:ind w:left="220" w:right="796"/>
        <w:rPr>
          <w:position w:val="8"/>
          <w:sz w:val="13"/>
        </w:rPr>
      </w:pPr>
      <w:r>
        <w:rPr>
          <w:w w:val="110"/>
        </w:rPr>
        <w:t>In response</w:t>
      </w:r>
      <w:r>
        <w:rPr>
          <w:spacing w:val="-2"/>
          <w:w w:val="110"/>
        </w:rPr>
        <w:t xml:space="preserve"> </w:t>
      </w:r>
      <w:r>
        <w:rPr>
          <w:w w:val="110"/>
        </w:rPr>
        <w:t>to</w:t>
      </w:r>
      <w:r>
        <w:rPr>
          <w:spacing w:val="-2"/>
          <w:w w:val="110"/>
        </w:rPr>
        <w:t xml:space="preserve"> </w:t>
      </w:r>
      <w:r>
        <w:rPr>
          <w:w w:val="110"/>
        </w:rPr>
        <w:t>this query also</w:t>
      </w:r>
      <w:r>
        <w:rPr>
          <w:spacing w:val="-2"/>
          <w:w w:val="110"/>
        </w:rPr>
        <w:t xml:space="preserve"> </w:t>
      </w:r>
      <w:r>
        <w:rPr>
          <w:w w:val="110"/>
        </w:rPr>
        <w:t>enclosed</w:t>
      </w:r>
      <w:r>
        <w:rPr>
          <w:spacing w:val="-4"/>
          <w:w w:val="110"/>
        </w:rPr>
        <w:t xml:space="preserve"> </w:t>
      </w:r>
      <w:r>
        <w:rPr>
          <w:w w:val="110"/>
        </w:rPr>
        <w:t>in the</w:t>
      </w:r>
      <w:r>
        <w:rPr>
          <w:spacing w:val="-2"/>
          <w:w w:val="110"/>
        </w:rPr>
        <w:t xml:space="preserve"> </w:t>
      </w:r>
      <w:r>
        <w:rPr>
          <w:w w:val="110"/>
        </w:rPr>
        <w:t>response</w:t>
      </w:r>
      <w:r>
        <w:rPr>
          <w:spacing w:val="-2"/>
          <w:w w:val="110"/>
        </w:rPr>
        <w:t xml:space="preserve"> </w:t>
      </w:r>
      <w:r>
        <w:rPr>
          <w:w w:val="110"/>
        </w:rPr>
        <w:t>received</w:t>
      </w:r>
      <w:r>
        <w:rPr>
          <w:spacing w:val="-4"/>
          <w:w w:val="110"/>
        </w:rPr>
        <w:t xml:space="preserve"> </w:t>
      </w:r>
      <w:r>
        <w:rPr>
          <w:w w:val="110"/>
        </w:rPr>
        <w:t>by the</w:t>
      </w:r>
      <w:r>
        <w:rPr>
          <w:spacing w:val="-4"/>
          <w:w w:val="110"/>
        </w:rPr>
        <w:t xml:space="preserve"> </w:t>
      </w:r>
      <w:r>
        <w:rPr>
          <w:w w:val="110"/>
        </w:rPr>
        <w:t>Committee</w:t>
      </w:r>
      <w:r>
        <w:rPr>
          <w:spacing w:val="-2"/>
          <w:w w:val="110"/>
        </w:rPr>
        <w:t xml:space="preserve"> </w:t>
      </w:r>
      <w:r>
        <w:rPr>
          <w:w w:val="110"/>
        </w:rPr>
        <w:t>on 24 November 2025, the Commission directed the Committee to information on budgetary safeguards which can be found in the factsheets available online on “The EU as a borrower - investor relations”.</w:t>
      </w:r>
      <w:hyperlink w:history="1" w:anchor="_bookmark45">
        <w:r>
          <w:rPr>
            <w:w w:val="110"/>
            <w:position w:val="8"/>
            <w:sz w:val="13"/>
          </w:rPr>
          <w:t>26</w:t>
        </w:r>
      </w:hyperlink>
    </w:p>
    <w:p w:rsidR="00B84CED" w:rsidRDefault="00B84CED" w14:paraId="345AE53D" w14:textId="77777777">
      <w:pPr>
        <w:pStyle w:val="BodyText"/>
        <w:spacing w:before="181"/>
      </w:pPr>
    </w:p>
    <w:p w:rsidR="00B84CED" w:rsidRDefault="00794452" w14:paraId="1E193093" w14:textId="77777777">
      <w:pPr>
        <w:pStyle w:val="Heading2"/>
      </w:pPr>
      <w:bookmarkStart w:name="Rule_of_Law_concerns" w:id="70"/>
      <w:bookmarkStart w:name="_bookmark43" w:id="71"/>
      <w:bookmarkEnd w:id="70"/>
      <w:bookmarkEnd w:id="71"/>
      <w:r>
        <w:rPr>
          <w:color w:val="395C66"/>
          <w:w w:val="110"/>
        </w:rPr>
        <w:t>Rule</w:t>
      </w:r>
      <w:r>
        <w:rPr>
          <w:color w:val="395C66"/>
          <w:spacing w:val="-4"/>
          <w:w w:val="110"/>
        </w:rPr>
        <w:t xml:space="preserve"> </w:t>
      </w:r>
      <w:r>
        <w:rPr>
          <w:color w:val="395C66"/>
          <w:w w:val="110"/>
        </w:rPr>
        <w:t>of</w:t>
      </w:r>
      <w:r>
        <w:rPr>
          <w:color w:val="395C66"/>
          <w:spacing w:val="-2"/>
          <w:w w:val="110"/>
        </w:rPr>
        <w:t xml:space="preserve"> </w:t>
      </w:r>
      <w:r>
        <w:rPr>
          <w:color w:val="395C66"/>
          <w:w w:val="110"/>
        </w:rPr>
        <w:t>Law</w:t>
      </w:r>
      <w:r>
        <w:rPr>
          <w:color w:val="395C66"/>
          <w:spacing w:val="-3"/>
          <w:w w:val="110"/>
        </w:rPr>
        <w:t xml:space="preserve"> </w:t>
      </w:r>
      <w:r>
        <w:rPr>
          <w:color w:val="395C66"/>
          <w:spacing w:val="-2"/>
          <w:w w:val="110"/>
        </w:rPr>
        <w:t>concerns</w:t>
      </w:r>
    </w:p>
    <w:p w:rsidR="00B84CED" w:rsidRDefault="00794452" w14:paraId="476941F5" w14:textId="77777777">
      <w:pPr>
        <w:pStyle w:val="BodyText"/>
        <w:spacing w:before="196" w:line="357" w:lineRule="auto"/>
        <w:ind w:left="219" w:right="778"/>
      </w:pPr>
      <w:r>
        <w:rPr>
          <w:w w:val="110"/>
        </w:rPr>
        <w:t>The Committee heard from Department officials that the main objective of the regulation</w:t>
      </w:r>
      <w:r>
        <w:rPr>
          <w:spacing w:val="-8"/>
          <w:w w:val="110"/>
        </w:rPr>
        <w:t xml:space="preserve"> </w:t>
      </w:r>
      <w:r>
        <w:rPr>
          <w:w w:val="110"/>
        </w:rPr>
        <w:t>introduced</w:t>
      </w:r>
      <w:r>
        <w:rPr>
          <w:spacing w:val="-6"/>
          <w:w w:val="110"/>
        </w:rPr>
        <w:t xml:space="preserve"> </w:t>
      </w:r>
      <w:r>
        <w:rPr>
          <w:w w:val="110"/>
        </w:rPr>
        <w:t>by</w:t>
      </w:r>
      <w:r>
        <w:rPr>
          <w:spacing w:val="-8"/>
          <w:w w:val="110"/>
        </w:rPr>
        <w:t xml:space="preserve"> </w:t>
      </w:r>
      <w:r>
        <w:rPr>
          <w:w w:val="110"/>
        </w:rPr>
        <w:t>COM(2025)123</w:t>
      </w:r>
      <w:r>
        <w:rPr>
          <w:spacing w:val="-6"/>
          <w:w w:val="110"/>
        </w:rPr>
        <w:t xml:space="preserve"> </w:t>
      </w:r>
      <w:r>
        <w:rPr>
          <w:w w:val="110"/>
        </w:rPr>
        <w:t>is</w:t>
      </w:r>
      <w:r>
        <w:rPr>
          <w:spacing w:val="-7"/>
          <w:w w:val="110"/>
        </w:rPr>
        <w:t xml:space="preserve"> </w:t>
      </w:r>
      <w:r>
        <w:rPr>
          <w:w w:val="110"/>
        </w:rPr>
        <w:t>to</w:t>
      </w:r>
      <w:r>
        <w:rPr>
          <w:spacing w:val="-7"/>
          <w:w w:val="110"/>
        </w:rPr>
        <w:t xml:space="preserve"> </w:t>
      </w:r>
      <w:r>
        <w:rPr>
          <w:w w:val="110"/>
        </w:rPr>
        <w:t>provide</w:t>
      </w:r>
      <w:r>
        <w:rPr>
          <w:spacing w:val="-4"/>
          <w:w w:val="110"/>
        </w:rPr>
        <w:t xml:space="preserve"> </w:t>
      </w:r>
      <w:r>
        <w:rPr>
          <w:w w:val="110"/>
        </w:rPr>
        <w:t>an</w:t>
      </w:r>
      <w:r>
        <w:rPr>
          <w:spacing w:val="-8"/>
          <w:w w:val="110"/>
        </w:rPr>
        <w:t xml:space="preserve"> </w:t>
      </w:r>
      <w:r>
        <w:rPr>
          <w:w w:val="110"/>
        </w:rPr>
        <w:t>opportunity</w:t>
      </w:r>
      <w:r>
        <w:rPr>
          <w:spacing w:val="-5"/>
          <w:w w:val="110"/>
        </w:rPr>
        <w:t xml:space="preserve"> </w:t>
      </w:r>
      <w:r>
        <w:rPr>
          <w:w w:val="110"/>
        </w:rPr>
        <w:t>to</w:t>
      </w:r>
      <w:r>
        <w:rPr>
          <w:spacing w:val="-7"/>
          <w:w w:val="110"/>
        </w:rPr>
        <w:t xml:space="preserve"> </w:t>
      </w:r>
      <w:r>
        <w:rPr>
          <w:w w:val="110"/>
        </w:rPr>
        <w:t>align</w:t>
      </w:r>
      <w:r>
        <w:rPr>
          <w:spacing w:val="-6"/>
          <w:w w:val="110"/>
        </w:rPr>
        <w:t xml:space="preserve"> </w:t>
      </w:r>
      <w:r>
        <w:rPr>
          <w:w w:val="110"/>
        </w:rPr>
        <w:t>cohesion policy investments to new priorities, notably, competitiveness and decarbonisation; access to water; sustainable water management and water resilience; defence and security; affordable housing; energy transition; and the challenges facing the eastern border regions.</w:t>
      </w:r>
    </w:p>
    <w:p w:rsidR="00B84CED" w:rsidRDefault="00794452" w14:paraId="2C142394" w14:textId="77777777">
      <w:pPr>
        <w:pStyle w:val="BodyText"/>
        <w:spacing w:before="157" w:line="357" w:lineRule="auto"/>
        <w:ind w:left="219" w:right="778"/>
      </w:pPr>
      <w:r>
        <w:rPr>
          <w:w w:val="110"/>
        </w:rPr>
        <w:t>The</w:t>
      </w:r>
      <w:r>
        <w:rPr>
          <w:spacing w:val="-11"/>
          <w:w w:val="110"/>
        </w:rPr>
        <w:t xml:space="preserve"> </w:t>
      </w:r>
      <w:r>
        <w:rPr>
          <w:w w:val="110"/>
        </w:rPr>
        <w:t>Opening</w:t>
      </w:r>
      <w:r>
        <w:rPr>
          <w:spacing w:val="-8"/>
          <w:w w:val="110"/>
        </w:rPr>
        <w:t xml:space="preserve"> </w:t>
      </w:r>
      <w:r>
        <w:rPr>
          <w:w w:val="110"/>
        </w:rPr>
        <w:t>Statement</w:t>
      </w:r>
      <w:r>
        <w:rPr>
          <w:spacing w:val="-12"/>
          <w:w w:val="110"/>
        </w:rPr>
        <w:t xml:space="preserve"> </w:t>
      </w:r>
      <w:r>
        <w:rPr>
          <w:w w:val="110"/>
        </w:rPr>
        <w:t>made</w:t>
      </w:r>
      <w:r>
        <w:rPr>
          <w:spacing w:val="-8"/>
          <w:w w:val="110"/>
        </w:rPr>
        <w:t xml:space="preserve"> </w:t>
      </w:r>
      <w:r>
        <w:rPr>
          <w:w w:val="110"/>
        </w:rPr>
        <w:t>by</w:t>
      </w:r>
      <w:r>
        <w:rPr>
          <w:spacing w:val="-12"/>
          <w:w w:val="110"/>
        </w:rPr>
        <w:t xml:space="preserve"> </w:t>
      </w:r>
      <w:r>
        <w:rPr>
          <w:w w:val="110"/>
        </w:rPr>
        <w:t>Department</w:t>
      </w:r>
      <w:r>
        <w:rPr>
          <w:spacing w:val="-12"/>
          <w:w w:val="110"/>
        </w:rPr>
        <w:t xml:space="preserve"> </w:t>
      </w:r>
      <w:r>
        <w:rPr>
          <w:w w:val="110"/>
        </w:rPr>
        <w:t>officials</w:t>
      </w:r>
      <w:r>
        <w:rPr>
          <w:spacing w:val="-11"/>
          <w:w w:val="110"/>
        </w:rPr>
        <w:t xml:space="preserve"> </w:t>
      </w:r>
      <w:r>
        <w:rPr>
          <w:w w:val="110"/>
        </w:rPr>
        <w:t>outlined</w:t>
      </w:r>
      <w:r>
        <w:rPr>
          <w:spacing w:val="-10"/>
          <w:w w:val="110"/>
        </w:rPr>
        <w:t xml:space="preserve"> </w:t>
      </w:r>
      <w:r>
        <w:rPr>
          <w:w w:val="110"/>
        </w:rPr>
        <w:t>to</w:t>
      </w:r>
      <w:r>
        <w:rPr>
          <w:spacing w:val="-11"/>
          <w:w w:val="110"/>
        </w:rPr>
        <w:t xml:space="preserve"> </w:t>
      </w:r>
      <w:r>
        <w:rPr>
          <w:w w:val="110"/>
        </w:rPr>
        <w:t>Members</w:t>
      </w:r>
      <w:r>
        <w:rPr>
          <w:spacing w:val="-9"/>
          <w:w w:val="110"/>
        </w:rPr>
        <w:t xml:space="preserve"> </w:t>
      </w:r>
      <w:r>
        <w:rPr>
          <w:w w:val="110"/>
        </w:rPr>
        <w:t>that</w:t>
      </w:r>
      <w:r>
        <w:rPr>
          <w:spacing w:val="-10"/>
          <w:w w:val="110"/>
        </w:rPr>
        <w:t xml:space="preserve"> </w:t>
      </w:r>
      <w:r>
        <w:rPr>
          <w:w w:val="110"/>
        </w:rPr>
        <w:t>the regulation, as finally agreed, included a provision which potentially allows for an element</w:t>
      </w:r>
      <w:r>
        <w:rPr>
          <w:spacing w:val="-9"/>
          <w:w w:val="110"/>
        </w:rPr>
        <w:t xml:space="preserve"> </w:t>
      </w:r>
      <w:r>
        <w:rPr>
          <w:w w:val="110"/>
        </w:rPr>
        <w:t>of</w:t>
      </w:r>
      <w:r>
        <w:rPr>
          <w:spacing w:val="-7"/>
          <w:w w:val="110"/>
        </w:rPr>
        <w:t xml:space="preserve"> </w:t>
      </w:r>
      <w:r>
        <w:rPr>
          <w:w w:val="110"/>
        </w:rPr>
        <w:t>the</w:t>
      </w:r>
      <w:r>
        <w:rPr>
          <w:spacing w:val="-7"/>
          <w:w w:val="110"/>
        </w:rPr>
        <w:t xml:space="preserve"> </w:t>
      </w:r>
      <w:r>
        <w:rPr>
          <w:w w:val="110"/>
        </w:rPr>
        <w:t>funds,</w:t>
      </w:r>
      <w:r>
        <w:rPr>
          <w:spacing w:val="-6"/>
          <w:w w:val="110"/>
        </w:rPr>
        <w:t xml:space="preserve"> </w:t>
      </w:r>
      <w:r>
        <w:rPr>
          <w:w w:val="110"/>
        </w:rPr>
        <w:t>the</w:t>
      </w:r>
      <w:r>
        <w:rPr>
          <w:spacing w:val="-4"/>
          <w:w w:val="110"/>
        </w:rPr>
        <w:t xml:space="preserve"> </w:t>
      </w:r>
      <w:r>
        <w:rPr>
          <w:w w:val="110"/>
        </w:rPr>
        <w:t>flexibility</w:t>
      </w:r>
      <w:r>
        <w:rPr>
          <w:spacing w:val="-5"/>
          <w:w w:val="110"/>
        </w:rPr>
        <w:t xml:space="preserve"> </w:t>
      </w:r>
      <w:r>
        <w:rPr>
          <w:w w:val="110"/>
        </w:rPr>
        <w:t>amount,</w:t>
      </w:r>
      <w:r>
        <w:rPr>
          <w:spacing w:val="-5"/>
          <w:w w:val="110"/>
        </w:rPr>
        <w:t xml:space="preserve"> </w:t>
      </w:r>
      <w:r>
        <w:rPr>
          <w:w w:val="110"/>
        </w:rPr>
        <w:t>to</w:t>
      </w:r>
      <w:r>
        <w:rPr>
          <w:spacing w:val="-7"/>
          <w:w w:val="110"/>
        </w:rPr>
        <w:t xml:space="preserve"> </w:t>
      </w:r>
      <w:r>
        <w:rPr>
          <w:w w:val="110"/>
        </w:rPr>
        <w:t>be</w:t>
      </w:r>
      <w:r>
        <w:rPr>
          <w:spacing w:val="-4"/>
          <w:w w:val="110"/>
        </w:rPr>
        <w:t xml:space="preserve"> </w:t>
      </w:r>
      <w:r>
        <w:rPr>
          <w:w w:val="110"/>
        </w:rPr>
        <w:t>transferred</w:t>
      </w:r>
      <w:r>
        <w:rPr>
          <w:spacing w:val="-6"/>
          <w:w w:val="110"/>
        </w:rPr>
        <w:t xml:space="preserve"> </w:t>
      </w:r>
      <w:r>
        <w:rPr>
          <w:w w:val="110"/>
        </w:rPr>
        <w:t>to</w:t>
      </w:r>
      <w:r>
        <w:rPr>
          <w:spacing w:val="-4"/>
          <w:w w:val="110"/>
        </w:rPr>
        <w:t xml:space="preserve"> </w:t>
      </w:r>
      <w:r>
        <w:rPr>
          <w:w w:val="110"/>
        </w:rPr>
        <w:t>the</w:t>
      </w:r>
      <w:r>
        <w:rPr>
          <w:spacing w:val="-7"/>
          <w:w w:val="110"/>
        </w:rPr>
        <w:t xml:space="preserve"> </w:t>
      </w:r>
      <w:r>
        <w:rPr>
          <w:w w:val="110"/>
        </w:rPr>
        <w:t>new</w:t>
      </w:r>
      <w:r>
        <w:rPr>
          <w:spacing w:val="-7"/>
          <w:w w:val="110"/>
        </w:rPr>
        <w:t xml:space="preserve"> </w:t>
      </w:r>
      <w:r>
        <w:rPr>
          <w:w w:val="110"/>
        </w:rPr>
        <w:t>objectives under the mid-term review despite funds having been suspended for breaches of conditionality on rule of law.</w:t>
      </w:r>
    </w:p>
    <w:p w:rsidR="00B84CED" w:rsidRDefault="00794452" w14:paraId="1BA5BADC" w14:textId="77777777">
      <w:pPr>
        <w:pStyle w:val="BodyText"/>
        <w:spacing w:before="161" w:line="357" w:lineRule="auto"/>
        <w:ind w:left="219" w:right="778"/>
      </w:pPr>
      <w:r>
        <w:rPr>
          <w:w w:val="110"/>
        </w:rPr>
        <w:t>Officials told the Committee that Ireland, in the spirit of compromise, agreed to the final text. However, the Committee heard that Ireland, along with a number of other member</w:t>
      </w:r>
      <w:r>
        <w:rPr>
          <w:spacing w:val="-4"/>
          <w:w w:val="110"/>
        </w:rPr>
        <w:t xml:space="preserve"> </w:t>
      </w:r>
      <w:r>
        <w:rPr>
          <w:w w:val="110"/>
        </w:rPr>
        <w:t>states,</w:t>
      </w:r>
      <w:r>
        <w:rPr>
          <w:spacing w:val="-2"/>
          <w:w w:val="110"/>
        </w:rPr>
        <w:t xml:space="preserve"> </w:t>
      </w:r>
      <w:r>
        <w:rPr>
          <w:w w:val="110"/>
        </w:rPr>
        <w:t>believe</w:t>
      </w:r>
      <w:r>
        <w:rPr>
          <w:spacing w:val="-4"/>
          <w:w w:val="110"/>
        </w:rPr>
        <w:t xml:space="preserve"> </w:t>
      </w:r>
      <w:r>
        <w:rPr>
          <w:w w:val="110"/>
        </w:rPr>
        <w:t>it</w:t>
      </w:r>
      <w:r>
        <w:rPr>
          <w:spacing w:val="-3"/>
          <w:w w:val="110"/>
        </w:rPr>
        <w:t xml:space="preserve"> </w:t>
      </w:r>
      <w:r>
        <w:rPr>
          <w:w w:val="110"/>
        </w:rPr>
        <w:t>is</w:t>
      </w:r>
      <w:r>
        <w:rPr>
          <w:spacing w:val="-2"/>
          <w:w w:val="110"/>
        </w:rPr>
        <w:t xml:space="preserve"> </w:t>
      </w:r>
      <w:r>
        <w:rPr>
          <w:w w:val="110"/>
        </w:rPr>
        <w:t>inappropriate</w:t>
      </w:r>
      <w:r>
        <w:rPr>
          <w:spacing w:val="-1"/>
          <w:w w:val="110"/>
        </w:rPr>
        <w:t xml:space="preserve"> </w:t>
      </w:r>
      <w:r>
        <w:rPr>
          <w:w w:val="110"/>
        </w:rPr>
        <w:t>that</w:t>
      </w:r>
      <w:r>
        <w:rPr>
          <w:spacing w:val="-3"/>
          <w:w w:val="110"/>
        </w:rPr>
        <w:t xml:space="preserve"> </w:t>
      </w:r>
      <w:r>
        <w:rPr>
          <w:w w:val="110"/>
        </w:rPr>
        <w:t>funds</w:t>
      </w:r>
      <w:r>
        <w:rPr>
          <w:spacing w:val="-2"/>
          <w:w w:val="110"/>
        </w:rPr>
        <w:t xml:space="preserve"> </w:t>
      </w:r>
      <w:r>
        <w:rPr>
          <w:w w:val="110"/>
        </w:rPr>
        <w:t>which</w:t>
      </w:r>
      <w:r>
        <w:rPr>
          <w:spacing w:val="-3"/>
          <w:w w:val="110"/>
        </w:rPr>
        <w:t xml:space="preserve"> </w:t>
      </w:r>
      <w:r>
        <w:rPr>
          <w:w w:val="110"/>
        </w:rPr>
        <w:t>have</w:t>
      </w:r>
      <w:r>
        <w:rPr>
          <w:spacing w:val="-1"/>
          <w:w w:val="110"/>
        </w:rPr>
        <w:t xml:space="preserve"> </w:t>
      </w:r>
      <w:r>
        <w:rPr>
          <w:w w:val="110"/>
        </w:rPr>
        <w:t>been</w:t>
      </w:r>
      <w:r>
        <w:rPr>
          <w:spacing w:val="-5"/>
          <w:w w:val="110"/>
        </w:rPr>
        <w:t xml:space="preserve"> </w:t>
      </w:r>
      <w:r>
        <w:rPr>
          <w:w w:val="110"/>
        </w:rPr>
        <w:t>suspended</w:t>
      </w:r>
      <w:r>
        <w:rPr>
          <w:spacing w:val="-3"/>
          <w:w w:val="110"/>
        </w:rPr>
        <w:t xml:space="preserve"> </w:t>
      </w:r>
      <w:r>
        <w:rPr>
          <w:w w:val="110"/>
        </w:rPr>
        <w:t>can</w:t>
      </w:r>
    </w:p>
    <w:p w:rsidR="00B84CED" w:rsidRDefault="00794452" w14:paraId="3FFE5872" w14:textId="77777777">
      <w:pPr>
        <w:pStyle w:val="BodyText"/>
        <w:spacing w:before="5"/>
        <w:rPr>
          <w:sz w:val="13"/>
        </w:rPr>
      </w:pPr>
      <w:r>
        <w:rPr>
          <w:noProof/>
          <w:sz w:val="13"/>
        </w:rPr>
        <mc:AlternateContent>
          <mc:Choice Requires="wps">
            <w:drawing>
              <wp:anchor distT="0" distB="0" distL="0" distR="0" simplePos="0" relativeHeight="487595520" behindDoc="1" locked="0" layoutInCell="1" allowOverlap="1" wp14:editId="2CFCE0A8" wp14:anchorId="0ED8C4A7">
                <wp:simplePos x="0" y="0"/>
                <wp:positionH relativeFrom="page">
                  <wp:posOffset>900683</wp:posOffset>
                </wp:positionH>
                <wp:positionV relativeFrom="paragraph">
                  <wp:posOffset>119791</wp:posOffset>
                </wp:positionV>
                <wp:extent cx="1828800" cy="9525"/>
                <wp:effectExtent l="0" t="0" r="0" b="0"/>
                <wp:wrapTopAndBottom/>
                <wp:docPr id="17"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99" style="position:absolute;margin-left:70.9pt;margin-top:9.45pt;width:2in;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4r1828800,l1828800,xe" w14:anchorId="089B03CF">
                <v:path arrowok="t"/>
                <w10:wrap type="topAndBottom" anchorx="page"/>
              </v:shape>
            </w:pict>
          </mc:Fallback>
        </mc:AlternateContent>
      </w:r>
    </w:p>
    <w:p w:rsidRPr="00794452" w:rsidR="00B84CED" w:rsidRDefault="00794452" w14:paraId="1B93F50B" w14:textId="77777777">
      <w:pPr>
        <w:spacing w:before="123"/>
        <w:ind w:left="1"/>
        <w:rPr>
          <w:sz w:val="16"/>
          <w:lang w:val="fr-BE"/>
        </w:rPr>
      </w:pPr>
      <w:bookmarkStart w:name="_bookmark44" w:id="72"/>
      <w:bookmarkEnd w:id="72"/>
      <w:r w:rsidRPr="00794452">
        <w:rPr>
          <w:w w:val="110"/>
          <w:position w:val="6"/>
          <w:sz w:val="10"/>
          <w:lang w:val="fr-BE"/>
        </w:rPr>
        <w:t>25</w:t>
      </w:r>
      <w:r w:rsidRPr="00794452">
        <w:rPr>
          <w:spacing w:val="16"/>
          <w:w w:val="110"/>
          <w:position w:val="6"/>
          <w:sz w:val="10"/>
          <w:lang w:val="fr-BE"/>
        </w:rPr>
        <w:t xml:space="preserve"> </w:t>
      </w:r>
      <w:bookmarkStart w:name="_bookmark45" w:id="73"/>
      <w:bookmarkEnd w:id="73"/>
      <w:r>
        <w:fldChar w:fldCharType="begin"/>
      </w:r>
      <w:r w:rsidRPr="00794452">
        <w:rPr>
          <w:lang w:val="fr-BE"/>
        </w:rPr>
        <w:instrText>HYPERLINK "https://data.oireachtas.ie/ie/oireachtas/committee/dail/34/joint_committee_on_finance_public_expenditure_public_service_reform_and_digitalisation_and_taoiseach/submissions/2025/2025-12-17_submission-european-commission_en.pdf" \h</w:instrText>
      </w:r>
      <w:r>
        <w:fldChar w:fldCharType="separate"/>
      </w:r>
      <w:r w:rsidRPr="00794452">
        <w:rPr>
          <w:color w:val="0000FF"/>
          <w:w w:val="110"/>
          <w:sz w:val="16"/>
          <w:u w:val="single" w:color="0000FF"/>
          <w:lang w:val="fr-BE"/>
        </w:rPr>
        <w:t>EU</w:t>
      </w:r>
      <w:r w:rsidRPr="00794452">
        <w:rPr>
          <w:color w:val="0000FF"/>
          <w:spacing w:val="2"/>
          <w:w w:val="110"/>
          <w:sz w:val="16"/>
          <w:u w:val="single" w:color="0000FF"/>
          <w:lang w:val="fr-BE"/>
        </w:rPr>
        <w:t xml:space="preserve"> </w:t>
      </w:r>
      <w:r w:rsidRPr="00794452">
        <w:rPr>
          <w:color w:val="0000FF"/>
          <w:w w:val="110"/>
          <w:sz w:val="16"/>
          <w:u w:val="single" w:color="0000FF"/>
          <w:lang w:val="fr-BE"/>
        </w:rPr>
        <w:t>Commission response</w:t>
      </w:r>
      <w:r w:rsidRPr="00794452">
        <w:rPr>
          <w:color w:val="0000FF"/>
          <w:spacing w:val="3"/>
          <w:w w:val="110"/>
          <w:sz w:val="16"/>
          <w:u w:val="single" w:color="0000FF"/>
          <w:lang w:val="fr-BE"/>
        </w:rPr>
        <w:t xml:space="preserve"> </w:t>
      </w:r>
      <w:r w:rsidRPr="00794452">
        <w:rPr>
          <w:color w:val="0000FF"/>
          <w:spacing w:val="-2"/>
          <w:w w:val="110"/>
          <w:sz w:val="16"/>
          <w:u w:val="single" w:color="0000FF"/>
          <w:lang w:val="fr-BE"/>
        </w:rPr>
        <w:t>24.11.25</w:t>
      </w:r>
      <w:r>
        <w:fldChar w:fldCharType="end"/>
      </w:r>
    </w:p>
    <w:p w:rsidRPr="00794452" w:rsidR="00B84CED" w:rsidRDefault="00794452" w14:paraId="162C627E" w14:textId="77777777">
      <w:pPr>
        <w:spacing w:before="11"/>
        <w:ind w:left="1"/>
        <w:rPr>
          <w:sz w:val="16"/>
          <w:lang w:val="fr-BE"/>
        </w:rPr>
      </w:pPr>
      <w:r w:rsidRPr="00794452">
        <w:rPr>
          <w:spacing w:val="-2"/>
          <w:w w:val="110"/>
          <w:position w:val="6"/>
          <w:sz w:val="10"/>
          <w:lang w:val="fr-BE"/>
        </w:rPr>
        <w:t>26</w:t>
      </w:r>
      <w:r w:rsidRPr="00794452">
        <w:rPr>
          <w:spacing w:val="52"/>
          <w:w w:val="110"/>
          <w:position w:val="6"/>
          <w:sz w:val="10"/>
          <w:lang w:val="fr-BE"/>
        </w:rPr>
        <w:t xml:space="preserve">  </w:t>
      </w:r>
      <w:hyperlink r:id="rId48">
        <w:r w:rsidRPr="00794452">
          <w:rPr>
            <w:color w:val="0000FF"/>
            <w:spacing w:val="-2"/>
            <w:w w:val="110"/>
            <w:sz w:val="16"/>
            <w:u w:val="single" w:color="0000FF"/>
            <w:lang w:val="fr-BE"/>
          </w:rPr>
          <w:t>https://commission.europa.eu/strategy-and-policy/eu-budget/eu-borrower-investor-relations/factsheets_en</w:t>
        </w:r>
      </w:hyperlink>
    </w:p>
    <w:p w:rsidRPr="00794452" w:rsidR="00B84CED" w:rsidRDefault="00B84CED" w14:paraId="3FCB37CB" w14:textId="77777777">
      <w:pPr>
        <w:rPr>
          <w:sz w:val="16"/>
          <w:lang w:val="fr-BE"/>
        </w:rPr>
        <w:sectPr w:rsidRPr="00794452" w:rsidR="00B84CED" w:rsidSect="00196DB0">
          <w:footerReference w:type="even" r:id="Rb7988ff6fe464063"/>
          <w:footerReference w:type="first" r:id="Rabd5e29f997e4c89"/>
          <w:headerReference w:type="even" r:id="R5a595ce0680f4682"/>
          <w:headerReference w:type="first" r:id="Rda24a03f856143c8"/>
          <w:pgSz w:w="11907" w:h="16839"/>
          <w:pgMar w:top="1134" w:right="1134" w:bottom="1134" w:left="1134" w:header="567" w:footer="567" w:gutter="0"/>
          <w:cols w:space="720"/>
          <w:docGrid w:linePitch="299"/>
        </w:sectPr>
      </w:pPr>
    </w:p>
    <w:p w:rsidR="00B84CED" w:rsidRDefault="00794452" w14:paraId="72282D2D" w14:textId="77777777">
      <w:pPr>
        <w:pStyle w:val="BodyText"/>
        <w:spacing w:before="109" w:line="357" w:lineRule="auto"/>
        <w:ind w:left="219" w:right="459"/>
        <w:rPr>
          <w:position w:val="8"/>
          <w:sz w:val="13"/>
        </w:rPr>
      </w:pPr>
      <w:r>
        <w:rPr>
          <w:w w:val="110"/>
        </w:rPr>
        <w:lastRenderedPageBreak/>
        <w:t>simply</w:t>
      </w:r>
      <w:r>
        <w:rPr>
          <w:spacing w:val="-5"/>
          <w:w w:val="110"/>
        </w:rPr>
        <w:t xml:space="preserve"> </w:t>
      </w:r>
      <w:r>
        <w:rPr>
          <w:w w:val="110"/>
        </w:rPr>
        <w:t>be</w:t>
      </w:r>
      <w:r>
        <w:rPr>
          <w:spacing w:val="-6"/>
          <w:w w:val="110"/>
        </w:rPr>
        <w:t xml:space="preserve"> </w:t>
      </w:r>
      <w:r>
        <w:rPr>
          <w:w w:val="110"/>
        </w:rPr>
        <w:t>transferred</w:t>
      </w:r>
      <w:r>
        <w:rPr>
          <w:spacing w:val="-6"/>
          <w:w w:val="110"/>
        </w:rPr>
        <w:t xml:space="preserve"> </w:t>
      </w:r>
      <w:r>
        <w:rPr>
          <w:w w:val="110"/>
        </w:rPr>
        <w:t>without</w:t>
      </w:r>
      <w:r>
        <w:rPr>
          <w:spacing w:val="-6"/>
          <w:w w:val="110"/>
        </w:rPr>
        <w:t xml:space="preserve"> </w:t>
      </w:r>
      <w:r>
        <w:rPr>
          <w:w w:val="110"/>
        </w:rPr>
        <w:t>the</w:t>
      </w:r>
      <w:r>
        <w:rPr>
          <w:spacing w:val="-4"/>
          <w:w w:val="110"/>
        </w:rPr>
        <w:t xml:space="preserve"> </w:t>
      </w:r>
      <w:r>
        <w:rPr>
          <w:w w:val="110"/>
        </w:rPr>
        <w:t>underlying</w:t>
      </w:r>
      <w:r>
        <w:rPr>
          <w:spacing w:val="-6"/>
          <w:w w:val="110"/>
        </w:rPr>
        <w:t xml:space="preserve"> </w:t>
      </w:r>
      <w:r>
        <w:rPr>
          <w:w w:val="110"/>
        </w:rPr>
        <w:t>reasons</w:t>
      </w:r>
      <w:r>
        <w:rPr>
          <w:spacing w:val="-7"/>
          <w:w w:val="110"/>
        </w:rPr>
        <w:t xml:space="preserve"> </w:t>
      </w:r>
      <w:r>
        <w:rPr>
          <w:w w:val="110"/>
        </w:rPr>
        <w:t>for</w:t>
      </w:r>
      <w:r>
        <w:rPr>
          <w:spacing w:val="-5"/>
          <w:w w:val="110"/>
        </w:rPr>
        <w:t xml:space="preserve"> </w:t>
      </w:r>
      <w:r>
        <w:rPr>
          <w:w w:val="110"/>
        </w:rPr>
        <w:t>the</w:t>
      </w:r>
      <w:r>
        <w:rPr>
          <w:spacing w:val="-6"/>
          <w:w w:val="110"/>
        </w:rPr>
        <w:t xml:space="preserve"> </w:t>
      </w:r>
      <w:r>
        <w:rPr>
          <w:w w:val="110"/>
        </w:rPr>
        <w:t>suspension</w:t>
      </w:r>
      <w:r>
        <w:rPr>
          <w:spacing w:val="-10"/>
          <w:w w:val="110"/>
        </w:rPr>
        <w:t xml:space="preserve"> </w:t>
      </w:r>
      <w:r>
        <w:rPr>
          <w:w w:val="110"/>
        </w:rPr>
        <w:t>having</w:t>
      </w:r>
      <w:r>
        <w:rPr>
          <w:spacing w:val="-4"/>
          <w:w w:val="110"/>
        </w:rPr>
        <w:t xml:space="preserve"> </w:t>
      </w:r>
      <w:r>
        <w:rPr>
          <w:w w:val="110"/>
        </w:rPr>
        <w:t>been addressed and that the final text should have gone further to expressly block such potential transfers.</w:t>
      </w:r>
      <w:hyperlink w:history="1" w:anchor="_bookmark47">
        <w:r>
          <w:rPr>
            <w:w w:val="110"/>
            <w:position w:val="8"/>
            <w:sz w:val="13"/>
          </w:rPr>
          <w:t>27</w:t>
        </w:r>
      </w:hyperlink>
    </w:p>
    <w:p w:rsidR="00B84CED" w:rsidRDefault="00794452" w14:paraId="0A5A0DAA" w14:textId="77777777">
      <w:pPr>
        <w:spacing w:before="100" w:line="357" w:lineRule="auto"/>
        <w:ind w:left="219" w:right="681"/>
        <w:rPr>
          <w:i/>
          <w:position w:val="8"/>
          <w:sz w:val="13"/>
        </w:rPr>
      </w:pPr>
      <w:r>
        <w:rPr>
          <w:w w:val="110"/>
        </w:rPr>
        <w:t>Members noted the concerns raised by</w:t>
      </w:r>
      <w:r>
        <w:rPr>
          <w:spacing w:val="-2"/>
          <w:w w:val="110"/>
        </w:rPr>
        <w:t xml:space="preserve"> </w:t>
      </w:r>
      <w:r>
        <w:rPr>
          <w:w w:val="110"/>
        </w:rPr>
        <w:t>Department officials regarding Hungary</w:t>
      </w:r>
      <w:r>
        <w:rPr>
          <w:spacing w:val="-2"/>
          <w:w w:val="110"/>
        </w:rPr>
        <w:t xml:space="preserve"> </w:t>
      </w:r>
      <w:r>
        <w:rPr>
          <w:w w:val="110"/>
        </w:rPr>
        <w:t>and its ability to abide by rule of law, further noting that Hungary has applied for some €16 billion from the SAFE loan facility. Within this context Members expressed concerns that the situation is such that potentially €16 billion in military expenditure will be underwritten by the general budget, for a country where significant concerns about authoritarianism and the rule of law have been raised. Members asked if there is any concern</w:t>
      </w:r>
      <w:r>
        <w:rPr>
          <w:spacing w:val="-1"/>
          <w:w w:val="110"/>
        </w:rPr>
        <w:t xml:space="preserve"> </w:t>
      </w:r>
      <w:r>
        <w:rPr>
          <w:w w:val="110"/>
        </w:rPr>
        <w:t>around one of the largest drawdowns being made by a country</w:t>
      </w:r>
      <w:r>
        <w:rPr>
          <w:spacing w:val="-1"/>
          <w:w w:val="110"/>
        </w:rPr>
        <w:t xml:space="preserve"> </w:t>
      </w:r>
      <w:r>
        <w:rPr>
          <w:w w:val="110"/>
        </w:rPr>
        <w:t>in which there are</w:t>
      </w:r>
      <w:r>
        <w:rPr>
          <w:spacing w:val="-4"/>
          <w:w w:val="110"/>
        </w:rPr>
        <w:t xml:space="preserve"> </w:t>
      </w:r>
      <w:r>
        <w:rPr>
          <w:w w:val="110"/>
        </w:rPr>
        <w:t>concerns</w:t>
      </w:r>
      <w:r>
        <w:rPr>
          <w:spacing w:val="-7"/>
          <w:w w:val="110"/>
        </w:rPr>
        <w:t xml:space="preserve"> </w:t>
      </w:r>
      <w:r>
        <w:rPr>
          <w:w w:val="110"/>
        </w:rPr>
        <w:t>about</w:t>
      </w:r>
      <w:r>
        <w:rPr>
          <w:spacing w:val="-6"/>
          <w:w w:val="110"/>
        </w:rPr>
        <w:t xml:space="preserve"> </w:t>
      </w:r>
      <w:r>
        <w:rPr>
          <w:w w:val="110"/>
        </w:rPr>
        <w:t>the</w:t>
      </w:r>
      <w:r>
        <w:rPr>
          <w:spacing w:val="-4"/>
          <w:w w:val="110"/>
        </w:rPr>
        <w:t xml:space="preserve"> </w:t>
      </w:r>
      <w:r>
        <w:rPr>
          <w:w w:val="110"/>
        </w:rPr>
        <w:t>rule</w:t>
      </w:r>
      <w:r>
        <w:rPr>
          <w:spacing w:val="-7"/>
          <w:w w:val="110"/>
        </w:rPr>
        <w:t xml:space="preserve"> </w:t>
      </w:r>
      <w:r>
        <w:rPr>
          <w:w w:val="110"/>
        </w:rPr>
        <w:t>of</w:t>
      </w:r>
      <w:r>
        <w:rPr>
          <w:spacing w:val="-5"/>
          <w:w w:val="110"/>
        </w:rPr>
        <w:t xml:space="preserve"> </w:t>
      </w:r>
      <w:r>
        <w:rPr>
          <w:w w:val="110"/>
        </w:rPr>
        <w:t>law.</w:t>
      </w:r>
      <w:r>
        <w:rPr>
          <w:spacing w:val="-8"/>
          <w:w w:val="110"/>
        </w:rPr>
        <w:t xml:space="preserve"> </w:t>
      </w:r>
      <w:r>
        <w:rPr>
          <w:w w:val="110"/>
        </w:rPr>
        <w:t>In</w:t>
      </w:r>
      <w:r>
        <w:rPr>
          <w:spacing w:val="-6"/>
          <w:w w:val="110"/>
        </w:rPr>
        <w:t xml:space="preserve"> </w:t>
      </w:r>
      <w:r>
        <w:rPr>
          <w:w w:val="110"/>
        </w:rPr>
        <w:t>response,</w:t>
      </w:r>
      <w:r>
        <w:rPr>
          <w:spacing w:val="-6"/>
          <w:w w:val="110"/>
        </w:rPr>
        <w:t xml:space="preserve"> </w:t>
      </w:r>
      <w:r>
        <w:rPr>
          <w:w w:val="110"/>
        </w:rPr>
        <w:t>the</w:t>
      </w:r>
      <w:r>
        <w:rPr>
          <w:spacing w:val="-4"/>
          <w:w w:val="110"/>
        </w:rPr>
        <w:t xml:space="preserve"> </w:t>
      </w:r>
      <w:r>
        <w:rPr>
          <w:w w:val="110"/>
        </w:rPr>
        <w:t>Committee</w:t>
      </w:r>
      <w:r>
        <w:rPr>
          <w:spacing w:val="-4"/>
          <w:w w:val="110"/>
        </w:rPr>
        <w:t xml:space="preserve"> </w:t>
      </w:r>
      <w:r>
        <w:rPr>
          <w:w w:val="110"/>
        </w:rPr>
        <w:t>heard</w:t>
      </w:r>
      <w:r>
        <w:rPr>
          <w:spacing w:val="-6"/>
          <w:w w:val="110"/>
        </w:rPr>
        <w:t xml:space="preserve"> </w:t>
      </w:r>
      <w:r>
        <w:rPr>
          <w:w w:val="110"/>
        </w:rPr>
        <w:t>that</w:t>
      </w:r>
      <w:r>
        <w:rPr>
          <w:spacing w:val="-6"/>
          <w:w w:val="110"/>
        </w:rPr>
        <w:t xml:space="preserve"> </w:t>
      </w:r>
      <w:r>
        <w:rPr>
          <w:i/>
          <w:w w:val="110"/>
        </w:rPr>
        <w:t>“exports</w:t>
      </w:r>
      <w:r>
        <w:rPr>
          <w:i/>
          <w:spacing w:val="-6"/>
          <w:w w:val="110"/>
        </w:rPr>
        <w:t xml:space="preserve"> </w:t>
      </w:r>
      <w:r>
        <w:rPr>
          <w:i/>
          <w:w w:val="110"/>
        </w:rPr>
        <w:t>are a national competence. The EU does not intervene in defence export questions of member states</w:t>
      </w:r>
      <w:r>
        <w:rPr>
          <w:i/>
          <w:spacing w:val="-1"/>
          <w:w w:val="110"/>
        </w:rPr>
        <w:t xml:space="preserve"> </w:t>
      </w:r>
      <w:r>
        <w:rPr>
          <w:i/>
          <w:w w:val="110"/>
        </w:rPr>
        <w:t>and therefore the SAFE regulation</w:t>
      </w:r>
      <w:r>
        <w:rPr>
          <w:i/>
          <w:spacing w:val="-2"/>
          <w:w w:val="110"/>
        </w:rPr>
        <w:t xml:space="preserve"> </w:t>
      </w:r>
      <w:r>
        <w:rPr>
          <w:i/>
          <w:w w:val="110"/>
        </w:rPr>
        <w:t>does</w:t>
      </w:r>
      <w:r>
        <w:rPr>
          <w:i/>
          <w:spacing w:val="-1"/>
          <w:w w:val="110"/>
        </w:rPr>
        <w:t xml:space="preserve"> </w:t>
      </w:r>
      <w:r>
        <w:rPr>
          <w:i/>
          <w:w w:val="110"/>
        </w:rPr>
        <w:t>not enter into this.”</w:t>
      </w:r>
      <w:hyperlink w:history="1" w:anchor="_bookmark48">
        <w:r>
          <w:rPr>
            <w:i/>
            <w:w w:val="110"/>
            <w:position w:val="8"/>
            <w:sz w:val="13"/>
          </w:rPr>
          <w:t>28</w:t>
        </w:r>
      </w:hyperlink>
    </w:p>
    <w:p w:rsidR="00B84CED" w:rsidRDefault="00794452" w14:paraId="3BCADF0B" w14:textId="77777777">
      <w:pPr>
        <w:pStyle w:val="Heading2"/>
        <w:spacing w:before="206"/>
      </w:pPr>
      <w:bookmarkStart w:name="Ensuring_transparency_of_expenditure" w:id="74"/>
      <w:bookmarkStart w:name="_bookmark46" w:id="75"/>
      <w:bookmarkEnd w:id="74"/>
      <w:bookmarkEnd w:id="75"/>
      <w:r>
        <w:rPr>
          <w:color w:val="395C66"/>
          <w:w w:val="110"/>
        </w:rPr>
        <w:t>Ensuring</w:t>
      </w:r>
      <w:r>
        <w:rPr>
          <w:color w:val="395C66"/>
          <w:spacing w:val="-5"/>
          <w:w w:val="110"/>
        </w:rPr>
        <w:t xml:space="preserve"> </w:t>
      </w:r>
      <w:r>
        <w:rPr>
          <w:color w:val="395C66"/>
          <w:w w:val="110"/>
        </w:rPr>
        <w:t>transparency</w:t>
      </w:r>
      <w:r>
        <w:rPr>
          <w:color w:val="395C66"/>
          <w:spacing w:val="-5"/>
          <w:w w:val="110"/>
        </w:rPr>
        <w:t xml:space="preserve"> </w:t>
      </w:r>
      <w:r>
        <w:rPr>
          <w:color w:val="395C66"/>
          <w:w w:val="110"/>
        </w:rPr>
        <w:t>of</w:t>
      </w:r>
      <w:r>
        <w:rPr>
          <w:color w:val="395C66"/>
          <w:spacing w:val="-4"/>
          <w:w w:val="110"/>
        </w:rPr>
        <w:t xml:space="preserve"> </w:t>
      </w:r>
      <w:r>
        <w:rPr>
          <w:color w:val="395C66"/>
          <w:spacing w:val="-2"/>
          <w:w w:val="110"/>
        </w:rPr>
        <w:t>expenditure</w:t>
      </w:r>
    </w:p>
    <w:p w:rsidR="00B84CED" w:rsidRDefault="00794452" w14:paraId="70DB69E2" w14:textId="77777777">
      <w:pPr>
        <w:pStyle w:val="BodyText"/>
        <w:spacing w:before="194" w:line="357" w:lineRule="auto"/>
        <w:ind w:left="219" w:right="754"/>
        <w:rPr>
          <w:position w:val="8"/>
          <w:sz w:val="13"/>
        </w:rPr>
      </w:pPr>
      <w:r>
        <w:rPr>
          <w:w w:val="110"/>
        </w:rPr>
        <w:t>Members</w:t>
      </w:r>
      <w:r>
        <w:rPr>
          <w:spacing w:val="-9"/>
          <w:w w:val="110"/>
        </w:rPr>
        <w:t xml:space="preserve"> </w:t>
      </w:r>
      <w:r>
        <w:rPr>
          <w:w w:val="110"/>
        </w:rPr>
        <w:t>queried</w:t>
      </w:r>
      <w:r>
        <w:rPr>
          <w:spacing w:val="-10"/>
          <w:w w:val="110"/>
        </w:rPr>
        <w:t xml:space="preserve"> </w:t>
      </w:r>
      <w:r>
        <w:rPr>
          <w:w w:val="110"/>
        </w:rPr>
        <w:t>what</w:t>
      </w:r>
      <w:r>
        <w:rPr>
          <w:spacing w:val="-8"/>
          <w:w w:val="110"/>
        </w:rPr>
        <w:t xml:space="preserve"> </w:t>
      </w:r>
      <w:r>
        <w:rPr>
          <w:w w:val="110"/>
        </w:rPr>
        <w:t>if</w:t>
      </w:r>
      <w:r>
        <w:rPr>
          <w:spacing w:val="-9"/>
          <w:w w:val="110"/>
        </w:rPr>
        <w:t xml:space="preserve"> </w:t>
      </w:r>
      <w:r>
        <w:rPr>
          <w:w w:val="110"/>
        </w:rPr>
        <w:t>any,</w:t>
      </w:r>
      <w:r>
        <w:rPr>
          <w:spacing w:val="-8"/>
          <w:w w:val="110"/>
        </w:rPr>
        <w:t xml:space="preserve"> </w:t>
      </w:r>
      <w:r>
        <w:rPr>
          <w:w w:val="110"/>
        </w:rPr>
        <w:t>measures</w:t>
      </w:r>
      <w:r>
        <w:rPr>
          <w:spacing w:val="-9"/>
          <w:w w:val="110"/>
        </w:rPr>
        <w:t xml:space="preserve"> </w:t>
      </w:r>
      <w:r>
        <w:rPr>
          <w:w w:val="110"/>
        </w:rPr>
        <w:t>are</w:t>
      </w:r>
      <w:r>
        <w:rPr>
          <w:spacing w:val="-9"/>
          <w:w w:val="110"/>
        </w:rPr>
        <w:t xml:space="preserve"> </w:t>
      </w:r>
      <w:r>
        <w:rPr>
          <w:w w:val="110"/>
        </w:rPr>
        <w:t>employed</w:t>
      </w:r>
      <w:r>
        <w:rPr>
          <w:spacing w:val="-8"/>
          <w:w w:val="110"/>
        </w:rPr>
        <w:t xml:space="preserve"> </w:t>
      </w:r>
      <w:r>
        <w:rPr>
          <w:w w:val="110"/>
        </w:rPr>
        <w:t>towards</w:t>
      </w:r>
      <w:r>
        <w:rPr>
          <w:spacing w:val="-9"/>
          <w:w w:val="110"/>
        </w:rPr>
        <w:t xml:space="preserve"> </w:t>
      </w:r>
      <w:r>
        <w:rPr>
          <w:w w:val="110"/>
        </w:rPr>
        <w:t>tracking</w:t>
      </w:r>
      <w:r>
        <w:rPr>
          <w:spacing w:val="-9"/>
          <w:w w:val="110"/>
        </w:rPr>
        <w:t xml:space="preserve"> </w:t>
      </w:r>
      <w:r>
        <w:rPr>
          <w:w w:val="110"/>
        </w:rPr>
        <w:t>expenditure</w:t>
      </w:r>
      <w:r>
        <w:rPr>
          <w:spacing w:val="-9"/>
          <w:w w:val="110"/>
        </w:rPr>
        <w:t xml:space="preserve"> </w:t>
      </w:r>
      <w:r>
        <w:rPr>
          <w:w w:val="110"/>
        </w:rPr>
        <w:t>of the loans. Commission officials outlined that member states will have to submit National Investment Plans, by the end of November 2025. The Commission will then assess and submit a draft Council implementing decision. The Council must then</w:t>
      </w:r>
      <w:r>
        <w:rPr>
          <w:spacing w:val="80"/>
          <w:w w:val="110"/>
        </w:rPr>
        <w:t xml:space="preserve"> </w:t>
      </w:r>
      <w:r>
        <w:rPr>
          <w:w w:val="110"/>
        </w:rPr>
        <w:t xml:space="preserve">assess to arrive at a decision, and subsequently a loan agreement and operational arrangements will follow. The Committee heard that there will be a mechanism that will allow the Commission to perform </w:t>
      </w:r>
      <w:r>
        <w:rPr>
          <w:i/>
          <w:w w:val="110"/>
        </w:rPr>
        <w:t xml:space="preserve">ad hoc </w:t>
      </w:r>
      <w:r>
        <w:rPr>
          <w:w w:val="110"/>
        </w:rPr>
        <w:t xml:space="preserve">checks on where and how the money is </w:t>
      </w:r>
      <w:r>
        <w:rPr>
          <w:spacing w:val="-2"/>
          <w:w w:val="110"/>
        </w:rPr>
        <w:t>spent.</w:t>
      </w:r>
      <w:hyperlink w:history="1" w:anchor="_bookmark49">
        <w:r>
          <w:rPr>
            <w:spacing w:val="-2"/>
            <w:w w:val="110"/>
            <w:position w:val="8"/>
            <w:sz w:val="13"/>
          </w:rPr>
          <w:t>29</w:t>
        </w:r>
      </w:hyperlink>
    </w:p>
    <w:p w:rsidR="00B84CED" w:rsidRDefault="00794452" w14:paraId="2C79E87B" w14:textId="77777777">
      <w:pPr>
        <w:pStyle w:val="BodyText"/>
        <w:spacing w:before="161" w:line="357" w:lineRule="auto"/>
        <w:ind w:left="219" w:right="778"/>
      </w:pPr>
      <w:r>
        <w:rPr>
          <w:w w:val="110"/>
        </w:rPr>
        <w:t>Members queried what safeguards are in place to ensure that the situation does not arise</w:t>
      </w:r>
      <w:r>
        <w:rPr>
          <w:spacing w:val="-3"/>
          <w:w w:val="110"/>
        </w:rPr>
        <w:t xml:space="preserve"> </w:t>
      </w:r>
      <w:r>
        <w:rPr>
          <w:w w:val="110"/>
        </w:rPr>
        <w:t>where</w:t>
      </w:r>
      <w:r>
        <w:rPr>
          <w:spacing w:val="-5"/>
          <w:w w:val="110"/>
        </w:rPr>
        <w:t xml:space="preserve"> </w:t>
      </w:r>
      <w:r>
        <w:rPr>
          <w:w w:val="110"/>
        </w:rPr>
        <w:t>Ireland,</w:t>
      </w:r>
      <w:r>
        <w:rPr>
          <w:spacing w:val="-4"/>
          <w:w w:val="110"/>
        </w:rPr>
        <w:t xml:space="preserve"> </w:t>
      </w:r>
      <w:r>
        <w:rPr>
          <w:w w:val="110"/>
        </w:rPr>
        <w:t>along</w:t>
      </w:r>
      <w:r>
        <w:rPr>
          <w:spacing w:val="-3"/>
          <w:w w:val="110"/>
        </w:rPr>
        <w:t xml:space="preserve"> </w:t>
      </w:r>
      <w:r>
        <w:rPr>
          <w:w w:val="110"/>
        </w:rPr>
        <w:t>with</w:t>
      </w:r>
      <w:r>
        <w:rPr>
          <w:spacing w:val="-4"/>
          <w:w w:val="110"/>
        </w:rPr>
        <w:t xml:space="preserve"> </w:t>
      </w:r>
      <w:r>
        <w:rPr>
          <w:w w:val="110"/>
        </w:rPr>
        <w:t>other</w:t>
      </w:r>
      <w:r>
        <w:rPr>
          <w:spacing w:val="-5"/>
          <w:w w:val="110"/>
        </w:rPr>
        <w:t xml:space="preserve"> </w:t>
      </w:r>
      <w:r>
        <w:rPr>
          <w:w w:val="110"/>
        </w:rPr>
        <w:t>member</w:t>
      </w:r>
      <w:r>
        <w:rPr>
          <w:spacing w:val="-5"/>
          <w:w w:val="110"/>
        </w:rPr>
        <w:t xml:space="preserve"> </w:t>
      </w:r>
      <w:r>
        <w:rPr>
          <w:w w:val="110"/>
        </w:rPr>
        <w:t>states,</w:t>
      </w:r>
      <w:r>
        <w:rPr>
          <w:spacing w:val="-4"/>
          <w:w w:val="110"/>
        </w:rPr>
        <w:t xml:space="preserve"> </w:t>
      </w:r>
      <w:r>
        <w:rPr>
          <w:w w:val="110"/>
        </w:rPr>
        <w:t>is</w:t>
      </w:r>
      <w:r>
        <w:rPr>
          <w:spacing w:val="-4"/>
          <w:w w:val="110"/>
        </w:rPr>
        <w:t xml:space="preserve"> </w:t>
      </w:r>
      <w:r>
        <w:rPr>
          <w:w w:val="110"/>
        </w:rPr>
        <w:t>in</w:t>
      </w:r>
      <w:r>
        <w:rPr>
          <w:spacing w:val="-6"/>
          <w:w w:val="110"/>
        </w:rPr>
        <w:t xml:space="preserve"> </w:t>
      </w:r>
      <w:r>
        <w:rPr>
          <w:w w:val="110"/>
        </w:rPr>
        <w:t>the</w:t>
      </w:r>
      <w:r>
        <w:rPr>
          <w:spacing w:val="-3"/>
          <w:w w:val="110"/>
        </w:rPr>
        <w:t xml:space="preserve"> </w:t>
      </w:r>
      <w:r>
        <w:rPr>
          <w:w w:val="110"/>
        </w:rPr>
        <w:t>position</w:t>
      </w:r>
      <w:r>
        <w:rPr>
          <w:spacing w:val="-6"/>
          <w:w w:val="110"/>
        </w:rPr>
        <w:t xml:space="preserve"> </w:t>
      </w:r>
      <w:r>
        <w:rPr>
          <w:w w:val="110"/>
        </w:rPr>
        <w:t>of</w:t>
      </w:r>
      <w:r>
        <w:rPr>
          <w:spacing w:val="-5"/>
          <w:w w:val="110"/>
        </w:rPr>
        <w:t xml:space="preserve"> </w:t>
      </w:r>
      <w:r>
        <w:rPr>
          <w:w w:val="110"/>
        </w:rPr>
        <w:t>underwriting loans that may be defaulted on to countries where there are significant rule of law issues. Further, Members queried what, if any, tracking measures are in place with regard</w:t>
      </w:r>
      <w:r>
        <w:rPr>
          <w:spacing w:val="-12"/>
          <w:w w:val="110"/>
        </w:rPr>
        <w:t xml:space="preserve"> </w:t>
      </w:r>
      <w:r>
        <w:rPr>
          <w:w w:val="110"/>
        </w:rPr>
        <w:t>to</w:t>
      </w:r>
      <w:r>
        <w:rPr>
          <w:spacing w:val="-9"/>
          <w:w w:val="110"/>
        </w:rPr>
        <w:t xml:space="preserve"> </w:t>
      </w:r>
      <w:r>
        <w:rPr>
          <w:w w:val="110"/>
        </w:rPr>
        <w:t>the</w:t>
      </w:r>
      <w:r>
        <w:rPr>
          <w:spacing w:val="-9"/>
          <w:w w:val="110"/>
        </w:rPr>
        <w:t xml:space="preserve"> </w:t>
      </w:r>
      <w:r>
        <w:rPr>
          <w:w w:val="110"/>
        </w:rPr>
        <w:t>flow</w:t>
      </w:r>
      <w:r>
        <w:rPr>
          <w:spacing w:val="-13"/>
          <w:w w:val="110"/>
        </w:rPr>
        <w:t xml:space="preserve"> </w:t>
      </w:r>
      <w:r>
        <w:rPr>
          <w:w w:val="110"/>
        </w:rPr>
        <w:t>of</w:t>
      </w:r>
      <w:r>
        <w:rPr>
          <w:spacing w:val="-12"/>
          <w:w w:val="110"/>
        </w:rPr>
        <w:t xml:space="preserve"> </w:t>
      </w:r>
      <w:r>
        <w:rPr>
          <w:w w:val="110"/>
        </w:rPr>
        <w:t>weapons</w:t>
      </w:r>
      <w:r>
        <w:rPr>
          <w:spacing w:val="-10"/>
          <w:w w:val="110"/>
        </w:rPr>
        <w:t xml:space="preserve"> </w:t>
      </w:r>
      <w:r>
        <w:rPr>
          <w:w w:val="110"/>
        </w:rPr>
        <w:t>around</w:t>
      </w:r>
      <w:r>
        <w:rPr>
          <w:spacing w:val="-11"/>
          <w:w w:val="110"/>
        </w:rPr>
        <w:t xml:space="preserve"> </w:t>
      </w:r>
      <w:r>
        <w:rPr>
          <w:w w:val="110"/>
        </w:rPr>
        <w:t>third</w:t>
      </w:r>
      <w:r>
        <w:rPr>
          <w:spacing w:val="-13"/>
          <w:w w:val="110"/>
        </w:rPr>
        <w:t xml:space="preserve"> </w:t>
      </w:r>
      <w:r>
        <w:rPr>
          <w:w w:val="110"/>
        </w:rPr>
        <w:t>world</w:t>
      </w:r>
      <w:r>
        <w:rPr>
          <w:spacing w:val="-14"/>
          <w:w w:val="110"/>
        </w:rPr>
        <w:t xml:space="preserve"> </w:t>
      </w:r>
      <w:r>
        <w:rPr>
          <w:w w:val="110"/>
        </w:rPr>
        <w:t>countries</w:t>
      </w:r>
      <w:r>
        <w:rPr>
          <w:spacing w:val="-10"/>
          <w:w w:val="110"/>
        </w:rPr>
        <w:t xml:space="preserve"> </w:t>
      </w:r>
      <w:r>
        <w:rPr>
          <w:w w:val="110"/>
        </w:rPr>
        <w:t>and</w:t>
      </w:r>
      <w:r>
        <w:rPr>
          <w:spacing w:val="-13"/>
          <w:w w:val="110"/>
        </w:rPr>
        <w:t xml:space="preserve"> </w:t>
      </w:r>
      <w:r>
        <w:rPr>
          <w:w w:val="110"/>
        </w:rPr>
        <w:t>whether</w:t>
      </w:r>
      <w:r>
        <w:rPr>
          <w:spacing w:val="-12"/>
          <w:w w:val="110"/>
        </w:rPr>
        <w:t xml:space="preserve"> </w:t>
      </w:r>
      <w:r>
        <w:rPr>
          <w:w w:val="110"/>
        </w:rPr>
        <w:t>consideration had</w:t>
      </w:r>
      <w:r>
        <w:rPr>
          <w:spacing w:val="-2"/>
          <w:w w:val="110"/>
        </w:rPr>
        <w:t xml:space="preserve"> </w:t>
      </w:r>
      <w:r>
        <w:rPr>
          <w:w w:val="110"/>
        </w:rPr>
        <w:t>been</w:t>
      </w:r>
      <w:r>
        <w:rPr>
          <w:spacing w:val="-4"/>
          <w:w w:val="110"/>
        </w:rPr>
        <w:t xml:space="preserve"> </w:t>
      </w:r>
      <w:r>
        <w:rPr>
          <w:w w:val="110"/>
        </w:rPr>
        <w:t>given</w:t>
      </w:r>
      <w:r>
        <w:rPr>
          <w:spacing w:val="-2"/>
          <w:w w:val="110"/>
        </w:rPr>
        <w:t xml:space="preserve"> </w:t>
      </w:r>
      <w:r>
        <w:rPr>
          <w:w w:val="110"/>
        </w:rPr>
        <w:t>to the</w:t>
      </w:r>
      <w:r>
        <w:rPr>
          <w:spacing w:val="-3"/>
          <w:w w:val="110"/>
        </w:rPr>
        <w:t xml:space="preserve"> </w:t>
      </w:r>
      <w:r>
        <w:rPr>
          <w:w w:val="110"/>
        </w:rPr>
        <w:t>potential</w:t>
      </w:r>
      <w:r>
        <w:rPr>
          <w:spacing w:val="-2"/>
          <w:w w:val="110"/>
        </w:rPr>
        <w:t xml:space="preserve"> </w:t>
      </w:r>
      <w:r>
        <w:rPr>
          <w:w w:val="110"/>
        </w:rPr>
        <w:t>risk</w:t>
      </w:r>
      <w:r>
        <w:rPr>
          <w:spacing w:val="-3"/>
          <w:w w:val="110"/>
        </w:rPr>
        <w:t xml:space="preserve"> </w:t>
      </w:r>
      <w:r>
        <w:rPr>
          <w:w w:val="110"/>
        </w:rPr>
        <w:t>regarding the</w:t>
      </w:r>
      <w:r>
        <w:rPr>
          <w:spacing w:val="-3"/>
          <w:w w:val="110"/>
        </w:rPr>
        <w:t xml:space="preserve"> </w:t>
      </w:r>
      <w:r>
        <w:rPr>
          <w:w w:val="110"/>
        </w:rPr>
        <w:t>fact</w:t>
      </w:r>
      <w:r>
        <w:rPr>
          <w:spacing w:val="-2"/>
          <w:w w:val="110"/>
        </w:rPr>
        <w:t xml:space="preserve"> </w:t>
      </w:r>
      <w:r>
        <w:rPr>
          <w:w w:val="110"/>
        </w:rPr>
        <w:t>of</w:t>
      </w:r>
      <w:r>
        <w:rPr>
          <w:spacing w:val="-1"/>
          <w:w w:val="110"/>
        </w:rPr>
        <w:t xml:space="preserve"> </w:t>
      </w:r>
      <w:r>
        <w:rPr>
          <w:w w:val="110"/>
        </w:rPr>
        <w:t>a</w:t>
      </w:r>
      <w:r>
        <w:rPr>
          <w:spacing w:val="-4"/>
          <w:w w:val="110"/>
        </w:rPr>
        <w:t xml:space="preserve"> </w:t>
      </w:r>
      <w:r>
        <w:rPr>
          <w:w w:val="110"/>
        </w:rPr>
        <w:t>larger</w:t>
      </w:r>
      <w:r>
        <w:rPr>
          <w:spacing w:val="-1"/>
          <w:w w:val="110"/>
        </w:rPr>
        <w:t xml:space="preserve"> </w:t>
      </w:r>
      <w:r>
        <w:rPr>
          <w:w w:val="110"/>
        </w:rPr>
        <w:t>amount</w:t>
      </w:r>
      <w:r>
        <w:rPr>
          <w:spacing w:val="-4"/>
          <w:w w:val="110"/>
        </w:rPr>
        <w:t xml:space="preserve"> </w:t>
      </w:r>
      <w:r>
        <w:rPr>
          <w:w w:val="110"/>
        </w:rPr>
        <w:t>of</w:t>
      </w:r>
      <w:r>
        <w:rPr>
          <w:spacing w:val="-3"/>
          <w:w w:val="110"/>
        </w:rPr>
        <w:t xml:space="preserve"> </w:t>
      </w:r>
      <w:r>
        <w:rPr>
          <w:w w:val="110"/>
        </w:rPr>
        <w:t>weaponry</w:t>
      </w:r>
    </w:p>
    <w:p w:rsidR="00B84CED" w:rsidRDefault="00794452" w14:paraId="5BD88761" w14:textId="77777777">
      <w:pPr>
        <w:pStyle w:val="BodyText"/>
        <w:spacing w:before="127"/>
        <w:rPr>
          <w:sz w:val="20"/>
        </w:rPr>
      </w:pPr>
      <w:r>
        <w:rPr>
          <w:noProof/>
          <w:sz w:val="20"/>
        </w:rPr>
        <mc:AlternateContent>
          <mc:Choice Requires="wps">
            <w:drawing>
              <wp:anchor distT="0" distB="0" distL="0" distR="0" simplePos="0" relativeHeight="487596032" behindDoc="1" locked="0" layoutInCell="1" allowOverlap="1" wp14:editId="4155649B" wp14:anchorId="7C436A63">
                <wp:simplePos x="0" y="0"/>
                <wp:positionH relativeFrom="page">
                  <wp:posOffset>900683</wp:posOffset>
                </wp:positionH>
                <wp:positionV relativeFrom="paragraph">
                  <wp:posOffset>251461</wp:posOffset>
                </wp:positionV>
                <wp:extent cx="1828800" cy="9525"/>
                <wp:effectExtent l="0" t="0" r="0" b="0"/>
                <wp:wrapTopAndBottom/>
                <wp:docPr id="18"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03" style="position:absolute;margin-left:70.9pt;margin-top:19.8pt;width:2in;height:.75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3r1828800,l1828800,xe" w14:anchorId="57217F9D">
                <v:path arrowok="t"/>
                <w10:wrap type="topAndBottom" anchorx="page"/>
              </v:shape>
            </w:pict>
          </mc:Fallback>
        </mc:AlternateContent>
      </w:r>
    </w:p>
    <w:p w:rsidR="00B84CED" w:rsidRDefault="00794452" w14:paraId="1CCE8622" w14:textId="77777777">
      <w:pPr>
        <w:spacing w:before="123"/>
        <w:ind w:left="1"/>
        <w:rPr>
          <w:sz w:val="16"/>
        </w:rPr>
      </w:pPr>
      <w:bookmarkStart w:name="_bookmark47" w:id="76"/>
      <w:bookmarkEnd w:id="76"/>
      <w:r>
        <w:rPr>
          <w:w w:val="115"/>
          <w:position w:val="6"/>
          <w:sz w:val="10"/>
        </w:rPr>
        <w:t>27</w:t>
      </w:r>
      <w:r>
        <w:rPr>
          <w:spacing w:val="12"/>
          <w:w w:val="115"/>
          <w:position w:val="6"/>
          <w:sz w:val="10"/>
        </w:rPr>
        <w:t xml:space="preserve"> </w:t>
      </w:r>
      <w:hyperlink r:id="rId49">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 15.10.25</w:t>
        </w:r>
        <w:r>
          <w:rPr>
            <w:color w:val="0000FF"/>
            <w:spacing w:val="-2"/>
            <w:w w:val="115"/>
            <w:sz w:val="16"/>
            <w:u w:val="single" w:color="0000FF"/>
          </w:rPr>
          <w:t xml:space="preserve"> </w:t>
        </w:r>
        <w:r>
          <w:rPr>
            <w:color w:val="0000FF"/>
            <w:spacing w:val="-5"/>
            <w:w w:val="115"/>
            <w:sz w:val="16"/>
            <w:u w:val="single" w:color="0000FF"/>
          </w:rPr>
          <w:t>p.4</w:t>
        </w:r>
      </w:hyperlink>
    </w:p>
    <w:p w:rsidR="00B84CED" w:rsidRDefault="00794452" w14:paraId="39FC7D6D" w14:textId="77777777">
      <w:pPr>
        <w:spacing w:before="8"/>
        <w:ind w:left="1"/>
        <w:rPr>
          <w:sz w:val="16"/>
        </w:rPr>
      </w:pPr>
      <w:bookmarkStart w:name="_bookmark48" w:id="77"/>
      <w:bookmarkEnd w:id="77"/>
      <w:r>
        <w:rPr>
          <w:w w:val="115"/>
          <w:position w:val="6"/>
          <w:sz w:val="10"/>
        </w:rPr>
        <w:t>28</w:t>
      </w:r>
      <w:r>
        <w:rPr>
          <w:spacing w:val="12"/>
          <w:w w:val="115"/>
          <w:position w:val="6"/>
          <w:sz w:val="10"/>
        </w:rPr>
        <w:t xml:space="preserve"> </w:t>
      </w:r>
      <w:hyperlink r:id="rId50">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 15.10.25</w:t>
        </w:r>
        <w:r>
          <w:rPr>
            <w:color w:val="0000FF"/>
            <w:spacing w:val="-2"/>
            <w:w w:val="115"/>
            <w:sz w:val="16"/>
            <w:u w:val="single" w:color="0000FF"/>
          </w:rPr>
          <w:t xml:space="preserve"> </w:t>
        </w:r>
        <w:r>
          <w:rPr>
            <w:color w:val="0000FF"/>
            <w:spacing w:val="-5"/>
            <w:w w:val="115"/>
            <w:sz w:val="16"/>
            <w:u w:val="single" w:color="0000FF"/>
          </w:rPr>
          <w:t>p.9</w:t>
        </w:r>
      </w:hyperlink>
    </w:p>
    <w:p w:rsidR="00B84CED" w:rsidRDefault="00794452" w14:paraId="2664857B" w14:textId="77777777">
      <w:pPr>
        <w:spacing w:before="11"/>
        <w:ind w:left="1"/>
        <w:rPr>
          <w:sz w:val="16"/>
        </w:rPr>
      </w:pPr>
      <w:bookmarkStart w:name="_bookmark49" w:id="78"/>
      <w:bookmarkEnd w:id="78"/>
      <w:r>
        <w:rPr>
          <w:w w:val="115"/>
          <w:position w:val="6"/>
          <w:sz w:val="10"/>
        </w:rPr>
        <w:t>29</w:t>
      </w:r>
      <w:r>
        <w:rPr>
          <w:spacing w:val="12"/>
          <w:w w:val="115"/>
          <w:position w:val="6"/>
          <w:sz w:val="10"/>
        </w:rPr>
        <w:t xml:space="preserve"> </w:t>
      </w:r>
      <w:hyperlink r:id="rId51">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 15.10.25</w:t>
        </w:r>
        <w:r>
          <w:rPr>
            <w:color w:val="0000FF"/>
            <w:spacing w:val="-2"/>
            <w:w w:val="115"/>
            <w:sz w:val="16"/>
            <w:u w:val="single" w:color="0000FF"/>
          </w:rPr>
          <w:t xml:space="preserve"> </w:t>
        </w:r>
        <w:r>
          <w:rPr>
            <w:color w:val="0000FF"/>
            <w:spacing w:val="-5"/>
            <w:w w:val="115"/>
            <w:sz w:val="16"/>
            <w:u w:val="single" w:color="0000FF"/>
          </w:rPr>
          <w:t>p.7</w:t>
        </w:r>
      </w:hyperlink>
    </w:p>
    <w:p w:rsidR="00B84CED" w:rsidRDefault="00B84CED" w14:paraId="79619313" w14:textId="77777777">
      <w:pPr>
        <w:rPr>
          <w:sz w:val="16"/>
        </w:rPr>
        <w:sectPr w:rsidR="00B84CED" w:rsidSect="00196DB0">
          <w:footerReference w:type="even" r:id="R57c66cd360fd4c6e"/>
          <w:footerReference w:type="first" r:id="R8ebd4b6720574532"/>
          <w:headerReference w:type="even" r:id="R250e6bc40ac342e2"/>
          <w:headerReference w:type="first" r:id="Re4a4b9d06439452e"/>
          <w:pgSz w:w="11907" w:h="16839"/>
          <w:pgMar w:top="1134" w:right="1134" w:bottom="1134" w:left="1134" w:header="567" w:footer="567" w:gutter="0"/>
          <w:cols w:space="720"/>
          <w:docGrid w:linePitch="299"/>
        </w:sectPr>
      </w:pPr>
    </w:p>
    <w:p w:rsidR="00B84CED" w:rsidRDefault="00794452" w14:paraId="2F54467A" w14:textId="77777777">
      <w:pPr>
        <w:pStyle w:val="BodyText"/>
        <w:spacing w:before="109" w:line="357" w:lineRule="auto"/>
        <w:ind w:left="219" w:right="892"/>
        <w:jc w:val="both"/>
      </w:pPr>
      <w:r>
        <w:rPr>
          <w:w w:val="110"/>
        </w:rPr>
        <w:lastRenderedPageBreak/>
        <w:t>production, in terms of increasing the global supply of weapons. Additional concerns arise as</w:t>
      </w:r>
      <w:r>
        <w:rPr>
          <w:spacing w:val="-2"/>
          <w:w w:val="110"/>
        </w:rPr>
        <w:t xml:space="preserve"> </w:t>
      </w:r>
      <w:r>
        <w:rPr>
          <w:w w:val="110"/>
        </w:rPr>
        <w:t>to</w:t>
      </w:r>
      <w:r>
        <w:rPr>
          <w:spacing w:val="-2"/>
          <w:w w:val="110"/>
        </w:rPr>
        <w:t xml:space="preserve"> </w:t>
      </w:r>
      <w:r>
        <w:rPr>
          <w:w w:val="110"/>
        </w:rPr>
        <w:t>whether</w:t>
      </w:r>
      <w:r>
        <w:rPr>
          <w:spacing w:val="-2"/>
          <w:w w:val="110"/>
        </w:rPr>
        <w:t xml:space="preserve"> </w:t>
      </w:r>
      <w:r>
        <w:rPr>
          <w:w w:val="110"/>
        </w:rPr>
        <w:t>there are</w:t>
      </w:r>
      <w:r>
        <w:rPr>
          <w:spacing w:val="-2"/>
          <w:w w:val="110"/>
        </w:rPr>
        <w:t xml:space="preserve"> </w:t>
      </w:r>
      <w:r>
        <w:rPr>
          <w:w w:val="110"/>
        </w:rPr>
        <w:t>safeguards to prevent</w:t>
      </w:r>
      <w:r>
        <w:rPr>
          <w:spacing w:val="-1"/>
          <w:w w:val="110"/>
        </w:rPr>
        <w:t xml:space="preserve"> </w:t>
      </w:r>
      <w:r>
        <w:rPr>
          <w:w w:val="110"/>
        </w:rPr>
        <w:t>those</w:t>
      </w:r>
      <w:r>
        <w:rPr>
          <w:spacing w:val="-2"/>
          <w:w w:val="110"/>
        </w:rPr>
        <w:t xml:space="preserve"> </w:t>
      </w:r>
      <w:r>
        <w:rPr>
          <w:w w:val="110"/>
        </w:rPr>
        <w:t>countries</w:t>
      </w:r>
      <w:r>
        <w:rPr>
          <w:spacing w:val="-2"/>
          <w:w w:val="110"/>
        </w:rPr>
        <w:t xml:space="preserve"> </w:t>
      </w:r>
      <w:r>
        <w:rPr>
          <w:w w:val="110"/>
        </w:rPr>
        <w:t>from</w:t>
      </w:r>
      <w:r>
        <w:rPr>
          <w:spacing w:val="-4"/>
          <w:w w:val="110"/>
        </w:rPr>
        <w:t xml:space="preserve"> </w:t>
      </w:r>
      <w:r>
        <w:rPr>
          <w:w w:val="110"/>
        </w:rPr>
        <w:t>using</w:t>
      </w:r>
      <w:r>
        <w:rPr>
          <w:spacing w:val="-2"/>
          <w:w w:val="110"/>
        </w:rPr>
        <w:t xml:space="preserve"> </w:t>
      </w:r>
      <w:r>
        <w:rPr>
          <w:w w:val="110"/>
        </w:rPr>
        <w:t>these weapons</w:t>
      </w:r>
      <w:r>
        <w:rPr>
          <w:spacing w:val="-8"/>
          <w:w w:val="110"/>
        </w:rPr>
        <w:t xml:space="preserve"> </w:t>
      </w:r>
      <w:r>
        <w:rPr>
          <w:w w:val="110"/>
        </w:rPr>
        <w:t>in</w:t>
      </w:r>
      <w:r>
        <w:rPr>
          <w:spacing w:val="-7"/>
          <w:w w:val="110"/>
        </w:rPr>
        <w:t xml:space="preserve"> </w:t>
      </w:r>
      <w:r>
        <w:rPr>
          <w:w w:val="110"/>
        </w:rPr>
        <w:t>ways</w:t>
      </w:r>
      <w:r>
        <w:rPr>
          <w:spacing w:val="-6"/>
          <w:w w:val="110"/>
        </w:rPr>
        <w:t xml:space="preserve"> </w:t>
      </w:r>
      <w:r>
        <w:rPr>
          <w:w w:val="110"/>
        </w:rPr>
        <w:t>that</w:t>
      </w:r>
      <w:r>
        <w:rPr>
          <w:spacing w:val="-9"/>
          <w:w w:val="110"/>
        </w:rPr>
        <w:t xml:space="preserve"> </w:t>
      </w:r>
      <w:r>
        <w:rPr>
          <w:w w:val="110"/>
        </w:rPr>
        <w:t>would</w:t>
      </w:r>
      <w:r>
        <w:rPr>
          <w:spacing w:val="-7"/>
          <w:w w:val="110"/>
        </w:rPr>
        <w:t xml:space="preserve"> </w:t>
      </w:r>
      <w:r>
        <w:rPr>
          <w:w w:val="110"/>
        </w:rPr>
        <w:t>not</w:t>
      </w:r>
      <w:r>
        <w:rPr>
          <w:spacing w:val="-10"/>
          <w:w w:val="110"/>
        </w:rPr>
        <w:t xml:space="preserve"> </w:t>
      </w:r>
      <w:r>
        <w:rPr>
          <w:w w:val="110"/>
        </w:rPr>
        <w:t>enjoy</w:t>
      </w:r>
      <w:r>
        <w:rPr>
          <w:spacing w:val="-9"/>
          <w:w w:val="110"/>
        </w:rPr>
        <w:t xml:space="preserve"> </w:t>
      </w:r>
      <w:r>
        <w:rPr>
          <w:w w:val="110"/>
        </w:rPr>
        <w:t>the</w:t>
      </w:r>
      <w:r>
        <w:rPr>
          <w:spacing w:val="-8"/>
          <w:w w:val="110"/>
        </w:rPr>
        <w:t xml:space="preserve"> </w:t>
      </w:r>
      <w:r>
        <w:rPr>
          <w:w w:val="110"/>
        </w:rPr>
        <w:t>support</w:t>
      </w:r>
      <w:r>
        <w:rPr>
          <w:spacing w:val="-7"/>
          <w:w w:val="110"/>
        </w:rPr>
        <w:t xml:space="preserve"> </w:t>
      </w:r>
      <w:r>
        <w:rPr>
          <w:w w:val="110"/>
        </w:rPr>
        <w:t>of</w:t>
      </w:r>
      <w:r>
        <w:rPr>
          <w:spacing w:val="-6"/>
          <w:w w:val="110"/>
        </w:rPr>
        <w:t xml:space="preserve"> </w:t>
      </w:r>
      <w:r>
        <w:rPr>
          <w:w w:val="110"/>
        </w:rPr>
        <w:t>the</w:t>
      </w:r>
      <w:r>
        <w:rPr>
          <w:spacing w:val="-8"/>
          <w:w w:val="110"/>
        </w:rPr>
        <w:t xml:space="preserve"> </w:t>
      </w:r>
      <w:r>
        <w:rPr>
          <w:w w:val="110"/>
        </w:rPr>
        <w:t>wider</w:t>
      </w:r>
      <w:r>
        <w:rPr>
          <w:spacing w:val="-8"/>
          <w:w w:val="110"/>
        </w:rPr>
        <w:t xml:space="preserve"> </w:t>
      </w:r>
      <w:r>
        <w:rPr>
          <w:w w:val="110"/>
        </w:rPr>
        <w:t>public</w:t>
      </w:r>
      <w:r>
        <w:rPr>
          <w:spacing w:val="-7"/>
          <w:w w:val="110"/>
        </w:rPr>
        <w:t xml:space="preserve"> </w:t>
      </w:r>
      <w:r>
        <w:rPr>
          <w:w w:val="110"/>
        </w:rPr>
        <w:t>or</w:t>
      </w:r>
      <w:r>
        <w:rPr>
          <w:spacing w:val="-8"/>
          <w:w w:val="110"/>
        </w:rPr>
        <w:t xml:space="preserve"> </w:t>
      </w:r>
      <w:r>
        <w:rPr>
          <w:w w:val="110"/>
        </w:rPr>
        <w:t>even</w:t>
      </w:r>
      <w:r>
        <w:rPr>
          <w:spacing w:val="-9"/>
          <w:w w:val="110"/>
        </w:rPr>
        <w:t xml:space="preserve"> </w:t>
      </w:r>
      <w:r>
        <w:rPr>
          <w:w w:val="110"/>
        </w:rPr>
        <w:t>against the citizens of that country.</w:t>
      </w:r>
    </w:p>
    <w:p w:rsidR="00B84CED" w:rsidRDefault="00794452" w14:paraId="4F20727D" w14:textId="77777777">
      <w:pPr>
        <w:spacing w:before="101" w:line="357" w:lineRule="auto"/>
        <w:ind w:left="219" w:right="778"/>
        <w:rPr>
          <w:i/>
          <w:position w:val="8"/>
          <w:sz w:val="13"/>
        </w:rPr>
      </w:pPr>
      <w:r>
        <w:rPr>
          <w:w w:val="110"/>
        </w:rPr>
        <w:t>Commission officials told the Committee that the checks foreseen under the SAFE regulation pertain to the conditions as laid out under the regulation, with the focus largely</w:t>
      </w:r>
      <w:r>
        <w:rPr>
          <w:spacing w:val="-10"/>
          <w:w w:val="110"/>
        </w:rPr>
        <w:t xml:space="preserve"> </w:t>
      </w:r>
      <w:r>
        <w:rPr>
          <w:w w:val="110"/>
        </w:rPr>
        <w:t>on</w:t>
      </w:r>
      <w:r>
        <w:rPr>
          <w:spacing w:val="-8"/>
          <w:w w:val="110"/>
        </w:rPr>
        <w:t xml:space="preserve"> </w:t>
      </w:r>
      <w:r>
        <w:rPr>
          <w:w w:val="110"/>
        </w:rPr>
        <w:t>how</w:t>
      </w:r>
      <w:r>
        <w:rPr>
          <w:spacing w:val="-7"/>
          <w:w w:val="110"/>
        </w:rPr>
        <w:t xml:space="preserve"> </w:t>
      </w:r>
      <w:r>
        <w:rPr>
          <w:w w:val="110"/>
        </w:rPr>
        <w:t>the</w:t>
      </w:r>
      <w:r>
        <w:rPr>
          <w:spacing w:val="-9"/>
          <w:w w:val="110"/>
        </w:rPr>
        <w:t xml:space="preserve"> </w:t>
      </w:r>
      <w:r>
        <w:rPr>
          <w:w w:val="110"/>
        </w:rPr>
        <w:t>money</w:t>
      </w:r>
      <w:r>
        <w:rPr>
          <w:spacing w:val="-7"/>
          <w:w w:val="110"/>
        </w:rPr>
        <w:t xml:space="preserve"> </w:t>
      </w:r>
      <w:r>
        <w:rPr>
          <w:w w:val="110"/>
        </w:rPr>
        <w:t>is</w:t>
      </w:r>
      <w:r>
        <w:rPr>
          <w:spacing w:val="-9"/>
          <w:w w:val="110"/>
        </w:rPr>
        <w:t xml:space="preserve"> </w:t>
      </w:r>
      <w:r>
        <w:rPr>
          <w:w w:val="110"/>
        </w:rPr>
        <w:t>spent</w:t>
      </w:r>
      <w:r>
        <w:rPr>
          <w:spacing w:val="-8"/>
          <w:w w:val="110"/>
        </w:rPr>
        <w:t xml:space="preserve"> </w:t>
      </w:r>
      <w:r>
        <w:rPr>
          <w:w w:val="110"/>
        </w:rPr>
        <w:t>and</w:t>
      </w:r>
      <w:r>
        <w:rPr>
          <w:spacing w:val="-11"/>
          <w:w w:val="110"/>
        </w:rPr>
        <w:t xml:space="preserve"> </w:t>
      </w:r>
      <w:r>
        <w:rPr>
          <w:w w:val="110"/>
        </w:rPr>
        <w:t>where.</w:t>
      </w:r>
      <w:r>
        <w:rPr>
          <w:spacing w:val="-8"/>
          <w:w w:val="110"/>
        </w:rPr>
        <w:t xml:space="preserve"> </w:t>
      </w:r>
      <w:r>
        <w:rPr>
          <w:w w:val="110"/>
        </w:rPr>
        <w:t>On</w:t>
      </w:r>
      <w:r>
        <w:rPr>
          <w:spacing w:val="-10"/>
          <w:w w:val="110"/>
        </w:rPr>
        <w:t xml:space="preserve"> </w:t>
      </w:r>
      <w:r>
        <w:rPr>
          <w:w w:val="110"/>
        </w:rPr>
        <w:t>the</w:t>
      </w:r>
      <w:r>
        <w:rPr>
          <w:spacing w:val="-6"/>
          <w:w w:val="110"/>
        </w:rPr>
        <w:t xml:space="preserve"> </w:t>
      </w:r>
      <w:r>
        <w:rPr>
          <w:w w:val="110"/>
        </w:rPr>
        <w:t>question</w:t>
      </w:r>
      <w:r>
        <w:rPr>
          <w:spacing w:val="-8"/>
          <w:w w:val="110"/>
        </w:rPr>
        <w:t xml:space="preserve"> </w:t>
      </w:r>
      <w:r>
        <w:rPr>
          <w:w w:val="110"/>
        </w:rPr>
        <w:t>of</w:t>
      </w:r>
      <w:r>
        <w:rPr>
          <w:spacing w:val="-9"/>
          <w:w w:val="110"/>
        </w:rPr>
        <w:t xml:space="preserve"> </w:t>
      </w:r>
      <w:r>
        <w:rPr>
          <w:w w:val="110"/>
        </w:rPr>
        <w:t>where</w:t>
      </w:r>
      <w:r>
        <w:rPr>
          <w:spacing w:val="-9"/>
          <w:w w:val="110"/>
        </w:rPr>
        <w:t xml:space="preserve"> </w:t>
      </w:r>
      <w:r>
        <w:rPr>
          <w:w w:val="110"/>
        </w:rPr>
        <w:t>the</w:t>
      </w:r>
      <w:r>
        <w:rPr>
          <w:spacing w:val="-9"/>
          <w:w w:val="110"/>
        </w:rPr>
        <w:t xml:space="preserve"> </w:t>
      </w:r>
      <w:r>
        <w:rPr>
          <w:w w:val="110"/>
        </w:rPr>
        <w:t>weapons might</w:t>
      </w:r>
      <w:r>
        <w:rPr>
          <w:spacing w:val="-2"/>
          <w:w w:val="110"/>
        </w:rPr>
        <w:t xml:space="preserve"> </w:t>
      </w:r>
      <w:r>
        <w:rPr>
          <w:w w:val="110"/>
        </w:rPr>
        <w:t>end</w:t>
      </w:r>
      <w:r>
        <w:rPr>
          <w:spacing w:val="-5"/>
          <w:w w:val="110"/>
        </w:rPr>
        <w:t xml:space="preserve"> </w:t>
      </w:r>
      <w:r>
        <w:rPr>
          <w:w w:val="110"/>
        </w:rPr>
        <w:t>up,</w:t>
      </w:r>
      <w:r>
        <w:rPr>
          <w:spacing w:val="-2"/>
          <w:w w:val="110"/>
        </w:rPr>
        <w:t xml:space="preserve"> </w:t>
      </w:r>
      <w:r>
        <w:rPr>
          <w:w w:val="110"/>
        </w:rPr>
        <w:t>or</w:t>
      </w:r>
      <w:r>
        <w:rPr>
          <w:spacing w:val="-1"/>
          <w:w w:val="110"/>
        </w:rPr>
        <w:t xml:space="preserve"> </w:t>
      </w:r>
      <w:r>
        <w:rPr>
          <w:w w:val="110"/>
        </w:rPr>
        <w:t>be re-exported</w:t>
      </w:r>
      <w:r>
        <w:rPr>
          <w:spacing w:val="-2"/>
          <w:w w:val="110"/>
        </w:rPr>
        <w:t xml:space="preserve"> </w:t>
      </w:r>
      <w:r>
        <w:rPr>
          <w:w w:val="110"/>
        </w:rPr>
        <w:t>to,</w:t>
      </w:r>
      <w:r>
        <w:rPr>
          <w:spacing w:val="-2"/>
          <w:w w:val="110"/>
        </w:rPr>
        <w:t xml:space="preserve"> </w:t>
      </w:r>
      <w:r>
        <w:rPr>
          <w:w w:val="110"/>
        </w:rPr>
        <w:t>that</w:t>
      </w:r>
      <w:r>
        <w:rPr>
          <w:spacing w:val="-2"/>
          <w:w w:val="110"/>
        </w:rPr>
        <w:t xml:space="preserve"> </w:t>
      </w:r>
      <w:r>
        <w:rPr>
          <w:w w:val="110"/>
        </w:rPr>
        <w:t>is</w:t>
      </w:r>
      <w:r>
        <w:rPr>
          <w:spacing w:val="-3"/>
          <w:w w:val="110"/>
        </w:rPr>
        <w:t xml:space="preserve"> </w:t>
      </w:r>
      <w:r>
        <w:rPr>
          <w:w w:val="110"/>
        </w:rPr>
        <w:t>not</w:t>
      </w:r>
      <w:r>
        <w:rPr>
          <w:spacing w:val="-5"/>
          <w:w w:val="110"/>
        </w:rPr>
        <w:t xml:space="preserve"> </w:t>
      </w:r>
      <w:r>
        <w:rPr>
          <w:w w:val="110"/>
        </w:rPr>
        <w:t>part</w:t>
      </w:r>
      <w:r>
        <w:rPr>
          <w:spacing w:val="-2"/>
          <w:w w:val="110"/>
        </w:rPr>
        <w:t xml:space="preserve"> </w:t>
      </w:r>
      <w:r>
        <w:rPr>
          <w:w w:val="110"/>
        </w:rPr>
        <w:t>of</w:t>
      </w:r>
      <w:r>
        <w:rPr>
          <w:spacing w:val="-1"/>
          <w:w w:val="110"/>
        </w:rPr>
        <w:t xml:space="preserve"> </w:t>
      </w:r>
      <w:r>
        <w:rPr>
          <w:w w:val="110"/>
        </w:rPr>
        <w:t>the</w:t>
      </w:r>
      <w:r>
        <w:rPr>
          <w:spacing w:val="-3"/>
          <w:w w:val="110"/>
        </w:rPr>
        <w:t xml:space="preserve"> </w:t>
      </w:r>
      <w:r>
        <w:rPr>
          <w:w w:val="110"/>
        </w:rPr>
        <w:t>SAFE</w:t>
      </w:r>
      <w:r>
        <w:rPr>
          <w:spacing w:val="-3"/>
          <w:w w:val="110"/>
        </w:rPr>
        <w:t xml:space="preserve"> </w:t>
      </w:r>
      <w:r>
        <w:rPr>
          <w:w w:val="110"/>
        </w:rPr>
        <w:t>regulation.</w:t>
      </w:r>
      <w:r>
        <w:rPr>
          <w:spacing w:val="-1"/>
          <w:w w:val="110"/>
        </w:rPr>
        <w:t xml:space="preserve"> </w:t>
      </w:r>
      <w:r>
        <w:rPr>
          <w:i/>
          <w:w w:val="110"/>
        </w:rPr>
        <w:t>“The</w:t>
      </w:r>
      <w:r>
        <w:rPr>
          <w:i/>
          <w:spacing w:val="-1"/>
          <w:w w:val="110"/>
        </w:rPr>
        <w:t xml:space="preserve"> </w:t>
      </w:r>
      <w:r>
        <w:rPr>
          <w:i/>
          <w:w w:val="110"/>
        </w:rPr>
        <w:t>SAFE regulation is solely a mechanism that will provide member states with the financial leeway, with loans, to be able to procure.”</w:t>
      </w:r>
      <w:hyperlink w:history="1" w:anchor="_bookmark50">
        <w:r>
          <w:rPr>
            <w:i/>
            <w:w w:val="110"/>
            <w:position w:val="8"/>
            <w:sz w:val="13"/>
          </w:rPr>
          <w:t>30</w:t>
        </w:r>
      </w:hyperlink>
    </w:p>
    <w:p w:rsidR="00B84CED" w:rsidRDefault="00794452" w14:paraId="2AD4F9C8" w14:textId="77777777">
      <w:pPr>
        <w:pStyle w:val="BodyText"/>
        <w:spacing w:before="162" w:line="357" w:lineRule="auto"/>
        <w:ind w:left="219" w:right="778"/>
      </w:pPr>
      <w:r>
        <w:rPr>
          <w:w w:val="110"/>
        </w:rPr>
        <w:t>Commission officials clarified that Article 14 of the SAFE regulation</w:t>
      </w:r>
      <w:hyperlink w:history="1" w:anchor="_bookmark51">
        <w:r>
          <w:rPr>
            <w:w w:val="110"/>
            <w:position w:val="8"/>
            <w:sz w:val="13"/>
          </w:rPr>
          <w:t>31</w:t>
        </w:r>
      </w:hyperlink>
      <w:r>
        <w:rPr>
          <w:w w:val="110"/>
          <w:position w:val="8"/>
          <w:sz w:val="13"/>
        </w:rPr>
        <w:t xml:space="preserve"> </w:t>
      </w:r>
      <w:r>
        <w:rPr>
          <w:w w:val="110"/>
        </w:rPr>
        <w:t>contains provisions related to inserting controls and audits in the loan agreements. The loan agreements</w:t>
      </w:r>
      <w:r>
        <w:rPr>
          <w:spacing w:val="-1"/>
          <w:w w:val="110"/>
        </w:rPr>
        <w:t xml:space="preserve"> </w:t>
      </w:r>
      <w:r>
        <w:rPr>
          <w:w w:val="110"/>
        </w:rPr>
        <w:t>will</w:t>
      </w:r>
      <w:r>
        <w:rPr>
          <w:spacing w:val="-2"/>
          <w:w w:val="110"/>
        </w:rPr>
        <w:t xml:space="preserve"> </w:t>
      </w:r>
      <w:r>
        <w:rPr>
          <w:w w:val="110"/>
        </w:rPr>
        <w:t>be</w:t>
      </w:r>
      <w:r>
        <w:rPr>
          <w:spacing w:val="-1"/>
          <w:w w:val="110"/>
        </w:rPr>
        <w:t xml:space="preserve"> </w:t>
      </w:r>
      <w:r>
        <w:rPr>
          <w:w w:val="110"/>
        </w:rPr>
        <w:t>specific to</w:t>
      </w:r>
      <w:r>
        <w:rPr>
          <w:spacing w:val="-1"/>
          <w:w w:val="110"/>
        </w:rPr>
        <w:t xml:space="preserve"> </w:t>
      </w:r>
      <w:r>
        <w:rPr>
          <w:w w:val="110"/>
        </w:rPr>
        <w:t>each member</w:t>
      </w:r>
      <w:r>
        <w:rPr>
          <w:spacing w:val="-1"/>
          <w:w w:val="110"/>
        </w:rPr>
        <w:t xml:space="preserve"> </w:t>
      </w:r>
      <w:r>
        <w:rPr>
          <w:w w:val="110"/>
        </w:rPr>
        <w:t>state</w:t>
      </w:r>
      <w:r>
        <w:rPr>
          <w:spacing w:val="-1"/>
          <w:w w:val="110"/>
        </w:rPr>
        <w:t xml:space="preserve"> </w:t>
      </w:r>
      <w:r>
        <w:rPr>
          <w:w w:val="110"/>
        </w:rPr>
        <w:t>and the Commission will insert any necessary provisions regarding controls and audits that respect Article 223 of the financial regulation, which includes any conditions related to fraud and default.</w:t>
      </w:r>
      <w:hyperlink w:history="1" w:anchor="_bookmark52">
        <w:r>
          <w:rPr>
            <w:w w:val="110"/>
            <w:position w:val="8"/>
            <w:sz w:val="13"/>
          </w:rPr>
          <w:t>32</w:t>
        </w:r>
      </w:hyperlink>
      <w:r>
        <w:rPr>
          <w:spacing w:val="40"/>
          <w:w w:val="110"/>
          <w:position w:val="8"/>
          <w:sz w:val="13"/>
        </w:rPr>
        <w:t xml:space="preserve"> </w:t>
      </w:r>
      <w:r>
        <w:rPr>
          <w:w w:val="110"/>
        </w:rPr>
        <w:t>These provisions will ensure that the Commission has access to any information, including classified information, that is</w:t>
      </w:r>
      <w:r>
        <w:rPr>
          <w:spacing w:val="-1"/>
          <w:w w:val="110"/>
        </w:rPr>
        <w:t xml:space="preserve"> </w:t>
      </w:r>
      <w:r>
        <w:rPr>
          <w:w w:val="110"/>
        </w:rPr>
        <w:t>necessary for verification</w:t>
      </w:r>
      <w:r>
        <w:rPr>
          <w:spacing w:val="-3"/>
          <w:w w:val="110"/>
        </w:rPr>
        <w:t xml:space="preserve"> </w:t>
      </w:r>
      <w:r>
        <w:rPr>
          <w:w w:val="110"/>
        </w:rPr>
        <w:t>of</w:t>
      </w:r>
      <w:r>
        <w:rPr>
          <w:spacing w:val="-1"/>
          <w:w w:val="110"/>
        </w:rPr>
        <w:t xml:space="preserve"> </w:t>
      </w:r>
      <w:r>
        <w:rPr>
          <w:w w:val="110"/>
        </w:rPr>
        <w:t>the</w:t>
      </w:r>
      <w:r>
        <w:rPr>
          <w:spacing w:val="-1"/>
          <w:w w:val="110"/>
        </w:rPr>
        <w:t xml:space="preserve"> </w:t>
      </w:r>
      <w:r>
        <w:rPr>
          <w:w w:val="110"/>
        </w:rPr>
        <w:t>disbursement of</w:t>
      </w:r>
      <w:r>
        <w:rPr>
          <w:spacing w:val="-1"/>
          <w:w w:val="110"/>
        </w:rPr>
        <w:t xml:space="preserve"> </w:t>
      </w:r>
      <w:r>
        <w:rPr>
          <w:w w:val="110"/>
        </w:rPr>
        <w:t>the payments</w:t>
      </w:r>
      <w:r>
        <w:rPr>
          <w:spacing w:val="-1"/>
          <w:w w:val="110"/>
        </w:rPr>
        <w:t xml:space="preserve"> </w:t>
      </w:r>
      <w:r>
        <w:rPr>
          <w:w w:val="110"/>
        </w:rPr>
        <w:t>and</w:t>
      </w:r>
      <w:r>
        <w:rPr>
          <w:spacing w:val="-5"/>
          <w:w w:val="110"/>
        </w:rPr>
        <w:t xml:space="preserve"> </w:t>
      </w:r>
      <w:r>
        <w:rPr>
          <w:w w:val="110"/>
        </w:rPr>
        <w:t>carrying</w:t>
      </w:r>
      <w:r>
        <w:rPr>
          <w:spacing w:val="-3"/>
          <w:w w:val="110"/>
        </w:rPr>
        <w:t xml:space="preserve"> </w:t>
      </w:r>
      <w:r>
        <w:rPr>
          <w:w w:val="110"/>
        </w:rPr>
        <w:t>out</w:t>
      </w:r>
      <w:r>
        <w:rPr>
          <w:spacing w:val="-2"/>
          <w:w w:val="110"/>
        </w:rPr>
        <w:t xml:space="preserve"> </w:t>
      </w:r>
      <w:r>
        <w:rPr>
          <w:w w:val="110"/>
        </w:rPr>
        <w:t>checks,</w:t>
      </w:r>
      <w:r>
        <w:rPr>
          <w:spacing w:val="-4"/>
          <w:w w:val="110"/>
        </w:rPr>
        <w:t xml:space="preserve"> </w:t>
      </w:r>
      <w:r>
        <w:rPr>
          <w:w w:val="110"/>
        </w:rPr>
        <w:t>reviews,</w:t>
      </w:r>
      <w:r>
        <w:rPr>
          <w:spacing w:val="-2"/>
          <w:w w:val="110"/>
        </w:rPr>
        <w:t xml:space="preserve"> </w:t>
      </w:r>
      <w:r>
        <w:rPr>
          <w:w w:val="110"/>
        </w:rPr>
        <w:t>audits,</w:t>
      </w:r>
      <w:r>
        <w:rPr>
          <w:spacing w:val="-2"/>
          <w:w w:val="110"/>
        </w:rPr>
        <w:t xml:space="preserve"> </w:t>
      </w:r>
      <w:r>
        <w:rPr>
          <w:w w:val="110"/>
        </w:rPr>
        <w:t>investigations</w:t>
      </w:r>
      <w:r>
        <w:rPr>
          <w:spacing w:val="-3"/>
          <w:w w:val="110"/>
        </w:rPr>
        <w:t xml:space="preserve"> </w:t>
      </w:r>
      <w:r>
        <w:rPr>
          <w:w w:val="110"/>
        </w:rPr>
        <w:t>and</w:t>
      </w:r>
      <w:r>
        <w:rPr>
          <w:spacing w:val="-2"/>
          <w:w w:val="110"/>
        </w:rPr>
        <w:t xml:space="preserve"> </w:t>
      </w:r>
      <w:r>
        <w:rPr>
          <w:w w:val="110"/>
        </w:rPr>
        <w:t>controls. Upon request</w:t>
      </w:r>
      <w:r>
        <w:rPr>
          <w:spacing w:val="-3"/>
          <w:w w:val="110"/>
        </w:rPr>
        <w:t xml:space="preserve"> </w:t>
      </w:r>
      <w:r>
        <w:rPr>
          <w:w w:val="110"/>
        </w:rPr>
        <w:t>for an</w:t>
      </w:r>
      <w:r>
        <w:rPr>
          <w:spacing w:val="-2"/>
          <w:w w:val="110"/>
        </w:rPr>
        <w:t xml:space="preserve"> </w:t>
      </w:r>
      <w:r>
        <w:rPr>
          <w:w w:val="110"/>
        </w:rPr>
        <w:t>instalment, the</w:t>
      </w:r>
      <w:r>
        <w:rPr>
          <w:spacing w:val="-1"/>
          <w:w w:val="110"/>
        </w:rPr>
        <w:t xml:space="preserve"> </w:t>
      </w:r>
      <w:r>
        <w:rPr>
          <w:w w:val="110"/>
        </w:rPr>
        <w:t>Commission</w:t>
      </w:r>
      <w:r>
        <w:rPr>
          <w:spacing w:val="-2"/>
          <w:w w:val="110"/>
        </w:rPr>
        <w:t xml:space="preserve"> </w:t>
      </w:r>
      <w:r>
        <w:rPr>
          <w:w w:val="110"/>
        </w:rPr>
        <w:t>will assess</w:t>
      </w:r>
      <w:r>
        <w:rPr>
          <w:spacing w:val="-1"/>
          <w:w w:val="110"/>
        </w:rPr>
        <w:t xml:space="preserve"> </w:t>
      </w:r>
      <w:r>
        <w:rPr>
          <w:w w:val="110"/>
        </w:rPr>
        <w:t>the duly justified request for payment and then decide whether to disburse the payment. If the assessment is that the request is not justified, the Commission can make a negative assessment which may suspend the payment of the loan either partially or fully.</w:t>
      </w:r>
    </w:p>
    <w:p w:rsidR="00B84CED" w:rsidRDefault="00794452" w14:paraId="477F355D" w14:textId="77777777">
      <w:pPr>
        <w:pStyle w:val="BodyText"/>
        <w:spacing w:before="163" w:line="357" w:lineRule="auto"/>
        <w:ind w:left="219" w:right="778"/>
        <w:rPr>
          <w:i/>
        </w:rPr>
      </w:pPr>
      <w:r>
        <w:rPr>
          <w:w w:val="110"/>
        </w:rPr>
        <w:t>Members</w:t>
      </w:r>
      <w:r>
        <w:rPr>
          <w:spacing w:val="-8"/>
          <w:w w:val="110"/>
        </w:rPr>
        <w:t xml:space="preserve"> </w:t>
      </w:r>
      <w:r>
        <w:rPr>
          <w:w w:val="110"/>
        </w:rPr>
        <w:t>observed</w:t>
      </w:r>
      <w:r>
        <w:rPr>
          <w:spacing w:val="-7"/>
          <w:w w:val="110"/>
        </w:rPr>
        <w:t xml:space="preserve"> </w:t>
      </w:r>
      <w:r>
        <w:rPr>
          <w:w w:val="110"/>
        </w:rPr>
        <w:t>that</w:t>
      </w:r>
      <w:r>
        <w:rPr>
          <w:spacing w:val="-10"/>
          <w:w w:val="110"/>
        </w:rPr>
        <w:t xml:space="preserve"> </w:t>
      </w:r>
      <w:r>
        <w:rPr>
          <w:w w:val="110"/>
        </w:rPr>
        <w:t>the</w:t>
      </w:r>
      <w:r>
        <w:rPr>
          <w:spacing w:val="-5"/>
          <w:w w:val="110"/>
        </w:rPr>
        <w:t xml:space="preserve"> </w:t>
      </w:r>
      <w:r>
        <w:rPr>
          <w:w w:val="110"/>
        </w:rPr>
        <w:t>safeguards</w:t>
      </w:r>
      <w:r>
        <w:rPr>
          <w:spacing w:val="-8"/>
          <w:w w:val="110"/>
        </w:rPr>
        <w:t xml:space="preserve"> </w:t>
      </w:r>
      <w:r>
        <w:rPr>
          <w:w w:val="110"/>
        </w:rPr>
        <w:t>relate</w:t>
      </w:r>
      <w:r>
        <w:rPr>
          <w:spacing w:val="-8"/>
          <w:w w:val="110"/>
        </w:rPr>
        <w:t xml:space="preserve"> </w:t>
      </w:r>
      <w:r>
        <w:rPr>
          <w:w w:val="110"/>
        </w:rPr>
        <w:t>to</w:t>
      </w:r>
      <w:r>
        <w:rPr>
          <w:spacing w:val="-10"/>
          <w:w w:val="110"/>
        </w:rPr>
        <w:t xml:space="preserve"> </w:t>
      </w:r>
      <w:r>
        <w:rPr>
          <w:w w:val="110"/>
        </w:rPr>
        <w:t>fraud</w:t>
      </w:r>
      <w:r>
        <w:rPr>
          <w:spacing w:val="-7"/>
          <w:w w:val="110"/>
        </w:rPr>
        <w:t xml:space="preserve"> </w:t>
      </w:r>
      <w:r>
        <w:rPr>
          <w:w w:val="110"/>
        </w:rPr>
        <w:t>and</w:t>
      </w:r>
      <w:r>
        <w:rPr>
          <w:spacing w:val="-7"/>
          <w:w w:val="110"/>
        </w:rPr>
        <w:t xml:space="preserve"> </w:t>
      </w:r>
      <w:r>
        <w:rPr>
          <w:w w:val="110"/>
        </w:rPr>
        <w:t>financial</w:t>
      </w:r>
      <w:r>
        <w:rPr>
          <w:spacing w:val="-9"/>
          <w:w w:val="110"/>
        </w:rPr>
        <w:t xml:space="preserve"> </w:t>
      </w:r>
      <w:r>
        <w:rPr>
          <w:w w:val="110"/>
        </w:rPr>
        <w:t>management</w:t>
      </w:r>
      <w:r>
        <w:rPr>
          <w:spacing w:val="-7"/>
          <w:w w:val="110"/>
        </w:rPr>
        <w:t xml:space="preserve"> </w:t>
      </w:r>
      <w:r>
        <w:rPr>
          <w:w w:val="110"/>
        </w:rPr>
        <w:t>and do</w:t>
      </w:r>
      <w:r>
        <w:rPr>
          <w:spacing w:val="-4"/>
          <w:w w:val="110"/>
        </w:rPr>
        <w:t xml:space="preserve"> </w:t>
      </w:r>
      <w:r>
        <w:rPr>
          <w:w w:val="110"/>
        </w:rPr>
        <w:t>not</w:t>
      </w:r>
      <w:r>
        <w:rPr>
          <w:spacing w:val="-9"/>
          <w:w w:val="110"/>
        </w:rPr>
        <w:t xml:space="preserve"> </w:t>
      </w:r>
      <w:r>
        <w:rPr>
          <w:w w:val="110"/>
        </w:rPr>
        <w:t>appear</w:t>
      </w:r>
      <w:r>
        <w:rPr>
          <w:spacing w:val="-7"/>
          <w:w w:val="110"/>
        </w:rPr>
        <w:t xml:space="preserve"> </w:t>
      </w:r>
      <w:r>
        <w:rPr>
          <w:w w:val="110"/>
        </w:rPr>
        <w:t>to</w:t>
      </w:r>
      <w:r>
        <w:rPr>
          <w:spacing w:val="-7"/>
          <w:w w:val="110"/>
        </w:rPr>
        <w:t xml:space="preserve"> </w:t>
      </w:r>
      <w:r>
        <w:rPr>
          <w:w w:val="110"/>
        </w:rPr>
        <w:t>provide</w:t>
      </w:r>
      <w:r>
        <w:rPr>
          <w:spacing w:val="-7"/>
          <w:w w:val="110"/>
        </w:rPr>
        <w:t xml:space="preserve"> </w:t>
      </w:r>
      <w:r>
        <w:rPr>
          <w:w w:val="110"/>
        </w:rPr>
        <w:t>any</w:t>
      </w:r>
      <w:r>
        <w:rPr>
          <w:spacing w:val="-5"/>
          <w:w w:val="110"/>
        </w:rPr>
        <w:t xml:space="preserve"> </w:t>
      </w:r>
      <w:r>
        <w:rPr>
          <w:w w:val="110"/>
        </w:rPr>
        <w:t>protection</w:t>
      </w:r>
      <w:r>
        <w:rPr>
          <w:spacing w:val="-8"/>
          <w:w w:val="110"/>
        </w:rPr>
        <w:t xml:space="preserve"> </w:t>
      </w:r>
      <w:r>
        <w:rPr>
          <w:w w:val="110"/>
        </w:rPr>
        <w:t>with</w:t>
      </w:r>
      <w:r>
        <w:rPr>
          <w:spacing w:val="-6"/>
          <w:w w:val="110"/>
        </w:rPr>
        <w:t xml:space="preserve"> </w:t>
      </w:r>
      <w:r>
        <w:rPr>
          <w:w w:val="110"/>
        </w:rPr>
        <w:t>regard</w:t>
      </w:r>
      <w:r>
        <w:rPr>
          <w:spacing w:val="-6"/>
          <w:w w:val="110"/>
        </w:rPr>
        <w:t xml:space="preserve"> </w:t>
      </w:r>
      <w:r>
        <w:rPr>
          <w:w w:val="110"/>
        </w:rPr>
        <w:t>to</w:t>
      </w:r>
      <w:r>
        <w:rPr>
          <w:spacing w:val="-7"/>
          <w:w w:val="110"/>
        </w:rPr>
        <w:t xml:space="preserve"> </w:t>
      </w:r>
      <w:r>
        <w:rPr>
          <w:w w:val="110"/>
        </w:rPr>
        <w:t>ensuring</w:t>
      </w:r>
      <w:r>
        <w:rPr>
          <w:spacing w:val="-7"/>
          <w:w w:val="110"/>
        </w:rPr>
        <w:t xml:space="preserve"> </w:t>
      </w:r>
      <w:r>
        <w:rPr>
          <w:w w:val="110"/>
        </w:rPr>
        <w:t>that</w:t>
      </w:r>
      <w:r>
        <w:rPr>
          <w:spacing w:val="-6"/>
          <w:w w:val="110"/>
        </w:rPr>
        <w:t xml:space="preserve"> </w:t>
      </w:r>
      <w:r>
        <w:rPr>
          <w:w w:val="110"/>
        </w:rPr>
        <w:t>once</w:t>
      </w:r>
      <w:r>
        <w:rPr>
          <w:spacing w:val="-7"/>
          <w:w w:val="110"/>
        </w:rPr>
        <w:t xml:space="preserve"> </w:t>
      </w:r>
      <w:r>
        <w:rPr>
          <w:w w:val="110"/>
        </w:rPr>
        <w:t>purchased, the weapons cannot be misused. Commission officials differentiated between the purpose of the SAFE agreement and its loan principle to provide member states with loans</w:t>
      </w:r>
      <w:r>
        <w:rPr>
          <w:spacing w:val="-4"/>
          <w:w w:val="110"/>
        </w:rPr>
        <w:t xml:space="preserve"> </w:t>
      </w:r>
      <w:r>
        <w:rPr>
          <w:w w:val="110"/>
        </w:rPr>
        <w:t>to</w:t>
      </w:r>
      <w:r>
        <w:rPr>
          <w:spacing w:val="-3"/>
          <w:w w:val="110"/>
        </w:rPr>
        <w:t xml:space="preserve"> </w:t>
      </w:r>
      <w:r>
        <w:rPr>
          <w:w w:val="110"/>
        </w:rPr>
        <w:t>purchase,</w:t>
      </w:r>
      <w:r>
        <w:rPr>
          <w:spacing w:val="-7"/>
          <w:w w:val="110"/>
        </w:rPr>
        <w:t xml:space="preserve"> </w:t>
      </w:r>
      <w:r>
        <w:rPr>
          <w:w w:val="110"/>
        </w:rPr>
        <w:t>and</w:t>
      </w:r>
      <w:r>
        <w:rPr>
          <w:spacing w:val="-5"/>
          <w:w w:val="110"/>
        </w:rPr>
        <w:t xml:space="preserve"> </w:t>
      </w:r>
      <w:r>
        <w:rPr>
          <w:w w:val="110"/>
        </w:rPr>
        <w:t>the</w:t>
      </w:r>
      <w:r>
        <w:rPr>
          <w:spacing w:val="-3"/>
          <w:w w:val="110"/>
        </w:rPr>
        <w:t xml:space="preserve"> </w:t>
      </w:r>
      <w:r>
        <w:rPr>
          <w:w w:val="110"/>
        </w:rPr>
        <w:t>actual</w:t>
      </w:r>
      <w:r>
        <w:rPr>
          <w:spacing w:val="-4"/>
          <w:w w:val="110"/>
        </w:rPr>
        <w:t xml:space="preserve"> </w:t>
      </w:r>
      <w:r>
        <w:rPr>
          <w:w w:val="110"/>
        </w:rPr>
        <w:t>use</w:t>
      </w:r>
      <w:r>
        <w:rPr>
          <w:spacing w:val="-6"/>
          <w:w w:val="110"/>
        </w:rPr>
        <w:t xml:space="preserve"> </w:t>
      </w:r>
      <w:r>
        <w:rPr>
          <w:w w:val="110"/>
        </w:rPr>
        <w:t>of</w:t>
      </w:r>
      <w:r>
        <w:rPr>
          <w:spacing w:val="-6"/>
          <w:w w:val="110"/>
        </w:rPr>
        <w:t xml:space="preserve"> </w:t>
      </w:r>
      <w:r>
        <w:rPr>
          <w:w w:val="110"/>
        </w:rPr>
        <w:t>the</w:t>
      </w:r>
      <w:r>
        <w:rPr>
          <w:spacing w:val="-6"/>
          <w:w w:val="110"/>
        </w:rPr>
        <w:t xml:space="preserve"> </w:t>
      </w:r>
      <w:r>
        <w:rPr>
          <w:w w:val="110"/>
        </w:rPr>
        <w:t>weapons.</w:t>
      </w:r>
      <w:r>
        <w:rPr>
          <w:spacing w:val="-7"/>
          <w:w w:val="110"/>
        </w:rPr>
        <w:t xml:space="preserve"> </w:t>
      </w:r>
      <w:r>
        <w:rPr>
          <w:w w:val="110"/>
        </w:rPr>
        <w:t>The</w:t>
      </w:r>
      <w:r>
        <w:rPr>
          <w:spacing w:val="-6"/>
          <w:w w:val="110"/>
        </w:rPr>
        <w:t xml:space="preserve"> </w:t>
      </w:r>
      <w:r>
        <w:rPr>
          <w:w w:val="110"/>
        </w:rPr>
        <w:t>Committee</w:t>
      </w:r>
      <w:r>
        <w:rPr>
          <w:spacing w:val="-6"/>
          <w:w w:val="110"/>
        </w:rPr>
        <w:t xml:space="preserve"> </w:t>
      </w:r>
      <w:r>
        <w:rPr>
          <w:w w:val="110"/>
        </w:rPr>
        <w:t>heard</w:t>
      </w:r>
      <w:r>
        <w:rPr>
          <w:spacing w:val="-5"/>
          <w:w w:val="110"/>
        </w:rPr>
        <w:t xml:space="preserve"> </w:t>
      </w:r>
      <w:r>
        <w:rPr>
          <w:w w:val="110"/>
        </w:rPr>
        <w:t>that</w:t>
      </w:r>
      <w:r>
        <w:rPr>
          <w:spacing w:val="-5"/>
          <w:w w:val="110"/>
        </w:rPr>
        <w:t xml:space="preserve"> </w:t>
      </w:r>
      <w:r>
        <w:rPr>
          <w:i/>
          <w:w w:val="110"/>
        </w:rPr>
        <w:t xml:space="preserve">“the </w:t>
      </w:r>
      <w:r>
        <w:rPr>
          <w:i/>
          <w:spacing w:val="-2"/>
          <w:w w:val="110"/>
        </w:rPr>
        <w:t>question</w:t>
      </w:r>
      <w:r>
        <w:rPr>
          <w:i/>
          <w:spacing w:val="-8"/>
          <w:w w:val="110"/>
        </w:rPr>
        <w:t xml:space="preserve"> </w:t>
      </w:r>
      <w:r>
        <w:rPr>
          <w:i/>
          <w:spacing w:val="-2"/>
          <w:w w:val="110"/>
        </w:rPr>
        <w:t>of</w:t>
      </w:r>
      <w:r>
        <w:rPr>
          <w:i/>
          <w:spacing w:val="-6"/>
          <w:w w:val="110"/>
        </w:rPr>
        <w:t xml:space="preserve"> </w:t>
      </w:r>
      <w:r>
        <w:rPr>
          <w:i/>
          <w:spacing w:val="-2"/>
          <w:w w:val="110"/>
        </w:rPr>
        <w:t>the</w:t>
      </w:r>
      <w:r>
        <w:rPr>
          <w:i/>
          <w:spacing w:val="-8"/>
          <w:w w:val="110"/>
        </w:rPr>
        <w:t xml:space="preserve"> </w:t>
      </w:r>
      <w:r>
        <w:rPr>
          <w:i/>
          <w:spacing w:val="-2"/>
          <w:w w:val="110"/>
        </w:rPr>
        <w:t>rule</w:t>
      </w:r>
      <w:r>
        <w:rPr>
          <w:i/>
          <w:spacing w:val="-7"/>
          <w:w w:val="110"/>
        </w:rPr>
        <w:t xml:space="preserve"> </w:t>
      </w:r>
      <w:r>
        <w:rPr>
          <w:i/>
          <w:spacing w:val="-2"/>
          <w:w w:val="110"/>
        </w:rPr>
        <w:t>of</w:t>
      </w:r>
      <w:r>
        <w:rPr>
          <w:i/>
          <w:spacing w:val="-6"/>
          <w:w w:val="110"/>
        </w:rPr>
        <w:t xml:space="preserve"> </w:t>
      </w:r>
      <w:r>
        <w:rPr>
          <w:i/>
          <w:spacing w:val="-2"/>
          <w:w w:val="110"/>
        </w:rPr>
        <w:t>law</w:t>
      </w:r>
      <w:r>
        <w:rPr>
          <w:i/>
          <w:spacing w:val="-6"/>
          <w:w w:val="110"/>
        </w:rPr>
        <w:t xml:space="preserve"> </w:t>
      </w:r>
      <w:r>
        <w:rPr>
          <w:i/>
          <w:spacing w:val="-2"/>
          <w:w w:val="110"/>
        </w:rPr>
        <w:t>with</w:t>
      </w:r>
      <w:r>
        <w:rPr>
          <w:i/>
          <w:spacing w:val="-5"/>
          <w:w w:val="110"/>
        </w:rPr>
        <w:t xml:space="preserve"> </w:t>
      </w:r>
      <w:r>
        <w:rPr>
          <w:i/>
          <w:spacing w:val="-2"/>
          <w:w w:val="110"/>
        </w:rPr>
        <w:t>regard</w:t>
      </w:r>
      <w:r>
        <w:rPr>
          <w:i/>
          <w:spacing w:val="-5"/>
          <w:w w:val="110"/>
        </w:rPr>
        <w:t xml:space="preserve"> </w:t>
      </w:r>
      <w:r>
        <w:rPr>
          <w:i/>
          <w:spacing w:val="-2"/>
          <w:w w:val="110"/>
        </w:rPr>
        <w:t>to</w:t>
      </w:r>
      <w:r>
        <w:rPr>
          <w:i/>
          <w:spacing w:val="-7"/>
          <w:w w:val="110"/>
        </w:rPr>
        <w:t xml:space="preserve"> </w:t>
      </w:r>
      <w:r>
        <w:rPr>
          <w:i/>
          <w:spacing w:val="-2"/>
          <w:w w:val="110"/>
        </w:rPr>
        <w:t>specific</w:t>
      </w:r>
      <w:r>
        <w:rPr>
          <w:i/>
          <w:spacing w:val="-9"/>
          <w:w w:val="110"/>
        </w:rPr>
        <w:t xml:space="preserve"> </w:t>
      </w:r>
      <w:r>
        <w:rPr>
          <w:i/>
          <w:spacing w:val="-2"/>
          <w:w w:val="110"/>
        </w:rPr>
        <w:t>member</w:t>
      </w:r>
      <w:r>
        <w:rPr>
          <w:i/>
          <w:spacing w:val="-4"/>
          <w:w w:val="110"/>
        </w:rPr>
        <w:t xml:space="preserve"> </w:t>
      </w:r>
      <w:r>
        <w:rPr>
          <w:i/>
          <w:spacing w:val="-2"/>
          <w:w w:val="110"/>
        </w:rPr>
        <w:t>states</w:t>
      </w:r>
      <w:r>
        <w:rPr>
          <w:i/>
          <w:spacing w:val="-6"/>
          <w:w w:val="110"/>
        </w:rPr>
        <w:t xml:space="preserve"> </w:t>
      </w:r>
      <w:r>
        <w:rPr>
          <w:i/>
          <w:spacing w:val="-2"/>
          <w:w w:val="110"/>
        </w:rPr>
        <w:t>is</w:t>
      </w:r>
      <w:r>
        <w:rPr>
          <w:i/>
          <w:spacing w:val="-9"/>
          <w:w w:val="110"/>
        </w:rPr>
        <w:t xml:space="preserve"> </w:t>
      </w:r>
      <w:r>
        <w:rPr>
          <w:i/>
          <w:spacing w:val="-2"/>
          <w:w w:val="110"/>
        </w:rPr>
        <w:t>not</w:t>
      </w:r>
      <w:r>
        <w:rPr>
          <w:i/>
          <w:spacing w:val="-8"/>
          <w:w w:val="110"/>
        </w:rPr>
        <w:t xml:space="preserve"> </w:t>
      </w:r>
      <w:r>
        <w:rPr>
          <w:i/>
          <w:spacing w:val="-2"/>
          <w:w w:val="110"/>
        </w:rPr>
        <w:t>part</w:t>
      </w:r>
      <w:r>
        <w:rPr>
          <w:i/>
          <w:spacing w:val="-6"/>
          <w:w w:val="110"/>
        </w:rPr>
        <w:t xml:space="preserve"> </w:t>
      </w:r>
      <w:r>
        <w:rPr>
          <w:i/>
          <w:spacing w:val="-2"/>
          <w:w w:val="110"/>
        </w:rPr>
        <w:t>of</w:t>
      </w:r>
      <w:r>
        <w:rPr>
          <w:i/>
          <w:spacing w:val="-6"/>
          <w:w w:val="110"/>
        </w:rPr>
        <w:t xml:space="preserve"> </w:t>
      </w:r>
      <w:r>
        <w:rPr>
          <w:i/>
          <w:spacing w:val="-2"/>
          <w:w w:val="110"/>
        </w:rPr>
        <w:t>the</w:t>
      </w:r>
      <w:r>
        <w:rPr>
          <w:i/>
          <w:spacing w:val="-5"/>
          <w:w w:val="110"/>
        </w:rPr>
        <w:t xml:space="preserve"> </w:t>
      </w:r>
      <w:r>
        <w:rPr>
          <w:i/>
          <w:spacing w:val="-4"/>
          <w:w w:val="110"/>
        </w:rPr>
        <w:t>SAFE</w:t>
      </w:r>
    </w:p>
    <w:p w:rsidR="00B84CED" w:rsidRDefault="00B84CED" w14:paraId="762F041A" w14:textId="77777777">
      <w:pPr>
        <w:pStyle w:val="BodyText"/>
        <w:rPr>
          <w:i/>
          <w:sz w:val="20"/>
        </w:rPr>
      </w:pPr>
    </w:p>
    <w:p w:rsidR="00B84CED" w:rsidRDefault="00794452" w14:paraId="04BD590D" w14:textId="77777777">
      <w:pPr>
        <w:pStyle w:val="BodyText"/>
        <w:spacing w:before="242"/>
        <w:rPr>
          <w:i/>
          <w:sz w:val="20"/>
        </w:rPr>
      </w:pPr>
      <w:r>
        <w:rPr>
          <w:i/>
          <w:noProof/>
          <w:sz w:val="20"/>
        </w:rPr>
        <mc:AlternateContent>
          <mc:Choice Requires="wps">
            <w:drawing>
              <wp:anchor distT="0" distB="0" distL="0" distR="0" simplePos="0" relativeHeight="487596544" behindDoc="1" locked="0" layoutInCell="1" allowOverlap="1" wp14:editId="44AF0F5B" wp14:anchorId="040165E7">
                <wp:simplePos x="0" y="0"/>
                <wp:positionH relativeFrom="page">
                  <wp:posOffset>900683</wp:posOffset>
                </wp:positionH>
                <wp:positionV relativeFrom="paragraph">
                  <wp:posOffset>324166</wp:posOffset>
                </wp:positionV>
                <wp:extent cx="1828800" cy="9525"/>
                <wp:effectExtent l="0" t="0" r="0" b="0"/>
                <wp:wrapTopAndBottom/>
                <wp:docPr id="19"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07" style="position:absolute;margin-left:70.9pt;margin-top:25.5pt;width:2in;height:.75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3r1828800,l1828800,xe" w14:anchorId="42C2EDA3">
                <v:path arrowok="t"/>
                <w10:wrap type="topAndBottom" anchorx="page"/>
              </v:shape>
            </w:pict>
          </mc:Fallback>
        </mc:AlternateContent>
      </w:r>
    </w:p>
    <w:p w:rsidR="00B84CED" w:rsidRDefault="00794452" w14:paraId="6F0E0815" w14:textId="77777777">
      <w:pPr>
        <w:spacing w:before="123"/>
        <w:ind w:left="1"/>
        <w:rPr>
          <w:sz w:val="16"/>
        </w:rPr>
      </w:pPr>
      <w:bookmarkStart w:name="_bookmark50" w:id="79"/>
      <w:bookmarkEnd w:id="79"/>
      <w:r>
        <w:rPr>
          <w:w w:val="115"/>
          <w:position w:val="6"/>
          <w:sz w:val="10"/>
        </w:rPr>
        <w:t>30</w:t>
      </w:r>
      <w:r>
        <w:rPr>
          <w:spacing w:val="13"/>
          <w:w w:val="115"/>
          <w:position w:val="6"/>
          <w:sz w:val="10"/>
        </w:rPr>
        <w:t xml:space="preserve"> </w:t>
      </w:r>
      <w:hyperlink r:id="rId52">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 15.10.25</w:t>
        </w:r>
        <w:r>
          <w:rPr>
            <w:color w:val="0000FF"/>
            <w:spacing w:val="-2"/>
            <w:w w:val="115"/>
            <w:sz w:val="16"/>
            <w:u w:val="single" w:color="0000FF"/>
          </w:rPr>
          <w:t xml:space="preserve"> </w:t>
        </w:r>
        <w:r>
          <w:rPr>
            <w:color w:val="0000FF"/>
            <w:w w:val="115"/>
            <w:sz w:val="16"/>
            <w:u w:val="single" w:color="0000FF"/>
          </w:rPr>
          <w:t>p.8-</w:t>
        </w:r>
        <w:r>
          <w:rPr>
            <w:color w:val="0000FF"/>
            <w:spacing w:val="-10"/>
            <w:w w:val="115"/>
            <w:sz w:val="16"/>
            <w:u w:val="single" w:color="0000FF"/>
          </w:rPr>
          <w:t>9</w:t>
        </w:r>
      </w:hyperlink>
    </w:p>
    <w:p w:rsidR="00B84CED" w:rsidRDefault="00794452" w14:paraId="08590EF5" w14:textId="77777777">
      <w:pPr>
        <w:spacing w:before="11"/>
        <w:ind w:left="1"/>
        <w:rPr>
          <w:sz w:val="16"/>
        </w:rPr>
      </w:pPr>
      <w:bookmarkStart w:name="_bookmark51" w:id="80"/>
      <w:bookmarkEnd w:id="80"/>
      <w:r>
        <w:rPr>
          <w:w w:val="110"/>
          <w:position w:val="6"/>
          <w:sz w:val="10"/>
        </w:rPr>
        <w:t>31</w:t>
      </w:r>
      <w:r>
        <w:rPr>
          <w:spacing w:val="29"/>
          <w:w w:val="110"/>
          <w:position w:val="6"/>
          <w:sz w:val="10"/>
        </w:rPr>
        <w:t xml:space="preserve"> </w:t>
      </w:r>
      <w:bookmarkStart w:name="_bookmark52" w:id="81"/>
      <w:bookmarkEnd w:id="81"/>
      <w:r>
        <w:fldChar w:fldCharType="begin"/>
      </w:r>
      <w:r>
        <w:instrText>HYPERLINK "https://defence-industry-space.ec.europa.eu/document/download/6d6f889c-e58d-4caa-8f3b-8b93154fe206_en?filename=SAFE%20Regulation.pdf" \h</w:instrText>
      </w:r>
      <w:r>
        <w:fldChar w:fldCharType="separate"/>
      </w:r>
      <w:r>
        <w:rPr>
          <w:color w:val="0000FF"/>
          <w:w w:val="110"/>
          <w:sz w:val="16"/>
          <w:u w:val="single" w:color="0000FF"/>
        </w:rPr>
        <w:t>SAFE</w:t>
      </w:r>
      <w:r>
        <w:rPr>
          <w:color w:val="0000FF"/>
          <w:spacing w:val="16"/>
          <w:w w:val="110"/>
          <w:sz w:val="16"/>
          <w:u w:val="single" w:color="0000FF"/>
        </w:rPr>
        <w:t xml:space="preserve"> </w:t>
      </w:r>
      <w:r>
        <w:rPr>
          <w:color w:val="0000FF"/>
          <w:spacing w:val="-2"/>
          <w:w w:val="110"/>
          <w:sz w:val="16"/>
          <w:u w:val="single" w:color="0000FF"/>
        </w:rPr>
        <w:t>regulation</w:t>
      </w:r>
      <w:r>
        <w:fldChar w:fldCharType="end"/>
      </w:r>
    </w:p>
    <w:p w:rsidR="00B84CED" w:rsidRDefault="00794452" w14:paraId="5B9F9442" w14:textId="77777777">
      <w:pPr>
        <w:spacing w:before="10"/>
        <w:ind w:left="1"/>
        <w:rPr>
          <w:sz w:val="16"/>
        </w:rPr>
      </w:pPr>
      <w:r>
        <w:rPr>
          <w:w w:val="115"/>
          <w:position w:val="6"/>
          <w:sz w:val="10"/>
        </w:rPr>
        <w:t>32</w:t>
      </w:r>
      <w:r>
        <w:rPr>
          <w:spacing w:val="12"/>
          <w:w w:val="115"/>
          <w:position w:val="6"/>
          <w:sz w:val="10"/>
        </w:rPr>
        <w:t xml:space="preserve"> </w:t>
      </w:r>
      <w:hyperlink r:id="rId53">
        <w:r>
          <w:rPr>
            <w:color w:val="0000FF"/>
            <w:w w:val="115"/>
            <w:sz w:val="16"/>
            <w:u w:val="single" w:color="0000FF"/>
          </w:rPr>
          <w:t>JCFPEPSRDT</w:t>
        </w:r>
        <w:r>
          <w:rPr>
            <w:color w:val="0000FF"/>
            <w:spacing w:val="-3"/>
            <w:w w:val="115"/>
            <w:sz w:val="16"/>
            <w:u w:val="single" w:color="0000FF"/>
          </w:rPr>
          <w:t xml:space="preserve"> </w:t>
        </w:r>
        <w:r>
          <w:rPr>
            <w:color w:val="0000FF"/>
            <w:w w:val="115"/>
            <w:sz w:val="16"/>
            <w:u w:val="single" w:color="0000FF"/>
          </w:rPr>
          <w:t xml:space="preserve">Transcript </w:t>
        </w:r>
        <w:r>
          <w:rPr>
            <w:color w:val="0000FF"/>
            <w:spacing w:val="-2"/>
            <w:w w:val="115"/>
            <w:sz w:val="16"/>
            <w:u w:val="single" w:color="0000FF"/>
          </w:rPr>
          <w:t>15.10.25p.16</w:t>
        </w:r>
      </w:hyperlink>
    </w:p>
    <w:p w:rsidR="00B84CED" w:rsidRDefault="00B84CED" w14:paraId="14079E37" w14:textId="77777777">
      <w:pPr>
        <w:rPr>
          <w:sz w:val="16"/>
        </w:rPr>
        <w:sectPr w:rsidR="00B84CED" w:rsidSect="00196DB0">
          <w:footerReference w:type="even" r:id="Rdd4cc3daf1234d68"/>
          <w:footerReference w:type="first" r:id="R62f710fc58c94743"/>
          <w:headerReference w:type="even" r:id="Rede23d707eee4113"/>
          <w:headerReference w:type="first" r:id="Reb1889cfe8754b5c"/>
          <w:pgSz w:w="11907" w:h="16839"/>
          <w:pgMar w:top="1134" w:right="1134" w:bottom="1134" w:left="1134" w:header="567" w:footer="567" w:gutter="0"/>
          <w:cols w:space="720"/>
          <w:docGrid w:linePitch="299"/>
        </w:sectPr>
      </w:pPr>
    </w:p>
    <w:p w:rsidR="00B84CED" w:rsidRDefault="00794452" w14:paraId="034D6F96" w14:textId="77777777">
      <w:pPr>
        <w:spacing w:before="109" w:line="357" w:lineRule="auto"/>
        <w:ind w:left="219" w:right="778"/>
        <w:rPr>
          <w:position w:val="8"/>
          <w:sz w:val="13"/>
        </w:rPr>
      </w:pPr>
      <w:r>
        <w:rPr>
          <w:i/>
          <w:w w:val="110"/>
        </w:rPr>
        <w:lastRenderedPageBreak/>
        <w:t>regulation.</w:t>
      </w:r>
      <w:r>
        <w:rPr>
          <w:i/>
          <w:spacing w:val="-9"/>
          <w:w w:val="110"/>
        </w:rPr>
        <w:t xml:space="preserve"> </w:t>
      </w:r>
      <w:r>
        <w:rPr>
          <w:i/>
          <w:w w:val="110"/>
        </w:rPr>
        <w:t>It</w:t>
      </w:r>
      <w:r>
        <w:rPr>
          <w:i/>
          <w:spacing w:val="-8"/>
          <w:w w:val="110"/>
        </w:rPr>
        <w:t xml:space="preserve"> </w:t>
      </w:r>
      <w:r>
        <w:rPr>
          <w:i/>
          <w:w w:val="110"/>
        </w:rPr>
        <w:t>is</w:t>
      </w:r>
      <w:r>
        <w:rPr>
          <w:i/>
          <w:spacing w:val="-7"/>
          <w:w w:val="110"/>
        </w:rPr>
        <w:t xml:space="preserve"> </w:t>
      </w:r>
      <w:r>
        <w:rPr>
          <w:i/>
          <w:w w:val="110"/>
        </w:rPr>
        <w:t>the</w:t>
      </w:r>
      <w:r>
        <w:rPr>
          <w:i/>
          <w:spacing w:val="-9"/>
          <w:w w:val="110"/>
        </w:rPr>
        <w:t xml:space="preserve"> </w:t>
      </w:r>
      <w:r>
        <w:rPr>
          <w:i/>
          <w:w w:val="110"/>
        </w:rPr>
        <w:t>overall</w:t>
      </w:r>
      <w:r>
        <w:rPr>
          <w:i/>
          <w:spacing w:val="-7"/>
          <w:w w:val="110"/>
        </w:rPr>
        <w:t xml:space="preserve"> </w:t>
      </w:r>
      <w:r>
        <w:rPr>
          <w:i/>
          <w:w w:val="110"/>
        </w:rPr>
        <w:t>objective.</w:t>
      </w:r>
      <w:r>
        <w:rPr>
          <w:i/>
          <w:spacing w:val="-7"/>
          <w:w w:val="110"/>
        </w:rPr>
        <w:t xml:space="preserve"> </w:t>
      </w:r>
      <w:r>
        <w:rPr>
          <w:i/>
          <w:w w:val="110"/>
        </w:rPr>
        <w:t>If</w:t>
      </w:r>
      <w:r>
        <w:rPr>
          <w:i/>
          <w:spacing w:val="-9"/>
          <w:w w:val="110"/>
        </w:rPr>
        <w:t xml:space="preserve"> </w:t>
      </w:r>
      <w:r>
        <w:rPr>
          <w:i/>
          <w:w w:val="110"/>
        </w:rPr>
        <w:t>you</w:t>
      </w:r>
      <w:r>
        <w:rPr>
          <w:i/>
          <w:spacing w:val="-8"/>
          <w:w w:val="110"/>
        </w:rPr>
        <w:t xml:space="preserve"> </w:t>
      </w:r>
      <w:r>
        <w:rPr>
          <w:i/>
          <w:w w:val="110"/>
        </w:rPr>
        <w:t>see</w:t>
      </w:r>
      <w:r>
        <w:rPr>
          <w:i/>
          <w:spacing w:val="-6"/>
          <w:w w:val="110"/>
        </w:rPr>
        <w:t xml:space="preserve"> </w:t>
      </w:r>
      <w:r>
        <w:rPr>
          <w:i/>
          <w:w w:val="110"/>
        </w:rPr>
        <w:t>it</w:t>
      </w:r>
      <w:r>
        <w:rPr>
          <w:i/>
          <w:spacing w:val="-8"/>
          <w:w w:val="110"/>
        </w:rPr>
        <w:t xml:space="preserve"> </w:t>
      </w:r>
      <w:r>
        <w:rPr>
          <w:i/>
          <w:w w:val="110"/>
        </w:rPr>
        <w:t>in</w:t>
      </w:r>
      <w:r>
        <w:rPr>
          <w:i/>
          <w:spacing w:val="-6"/>
          <w:w w:val="110"/>
        </w:rPr>
        <w:t xml:space="preserve"> </w:t>
      </w:r>
      <w:r>
        <w:rPr>
          <w:i/>
          <w:w w:val="110"/>
        </w:rPr>
        <w:t>the</w:t>
      </w:r>
      <w:r>
        <w:rPr>
          <w:i/>
          <w:spacing w:val="-9"/>
          <w:w w:val="110"/>
        </w:rPr>
        <w:t xml:space="preserve"> </w:t>
      </w:r>
      <w:r>
        <w:rPr>
          <w:i/>
          <w:w w:val="110"/>
        </w:rPr>
        <w:t>overall</w:t>
      </w:r>
      <w:r>
        <w:rPr>
          <w:i/>
          <w:spacing w:val="-7"/>
          <w:w w:val="110"/>
        </w:rPr>
        <w:t xml:space="preserve"> </w:t>
      </w:r>
      <w:r>
        <w:rPr>
          <w:i/>
          <w:w w:val="110"/>
        </w:rPr>
        <w:t>as</w:t>
      </w:r>
      <w:r>
        <w:rPr>
          <w:i/>
          <w:spacing w:val="-10"/>
          <w:w w:val="110"/>
        </w:rPr>
        <w:t xml:space="preserve"> </w:t>
      </w:r>
      <w:r>
        <w:rPr>
          <w:i/>
          <w:w w:val="110"/>
        </w:rPr>
        <w:t>key</w:t>
      </w:r>
      <w:r>
        <w:rPr>
          <w:i/>
          <w:spacing w:val="-8"/>
          <w:w w:val="110"/>
        </w:rPr>
        <w:t xml:space="preserve"> </w:t>
      </w:r>
      <w:r>
        <w:rPr>
          <w:i/>
          <w:w w:val="110"/>
        </w:rPr>
        <w:t>to</w:t>
      </w:r>
      <w:r>
        <w:rPr>
          <w:i/>
          <w:spacing w:val="-5"/>
          <w:w w:val="110"/>
        </w:rPr>
        <w:t xml:space="preserve"> </w:t>
      </w:r>
      <w:r>
        <w:rPr>
          <w:i/>
          <w:w w:val="110"/>
        </w:rPr>
        <w:t>the</w:t>
      </w:r>
      <w:r>
        <w:rPr>
          <w:i/>
          <w:spacing w:val="-6"/>
          <w:w w:val="110"/>
        </w:rPr>
        <w:t xml:space="preserve"> </w:t>
      </w:r>
      <w:r>
        <w:rPr>
          <w:i/>
          <w:w w:val="110"/>
        </w:rPr>
        <w:t>EU</w:t>
      </w:r>
      <w:r>
        <w:rPr>
          <w:i/>
          <w:spacing w:val="-7"/>
          <w:w w:val="110"/>
        </w:rPr>
        <w:t xml:space="preserve"> </w:t>
      </w:r>
      <w:r>
        <w:rPr>
          <w:i/>
          <w:w w:val="110"/>
        </w:rPr>
        <w:t>it</w:t>
      </w:r>
      <w:r>
        <w:rPr>
          <w:i/>
          <w:spacing w:val="-8"/>
          <w:w w:val="110"/>
        </w:rPr>
        <w:t xml:space="preserve"> </w:t>
      </w:r>
      <w:r>
        <w:rPr>
          <w:i/>
          <w:w w:val="110"/>
        </w:rPr>
        <w:t>is covered, but it is not in the regulation per se.</w:t>
      </w:r>
      <w:r>
        <w:rPr>
          <w:w w:val="110"/>
        </w:rPr>
        <w:t>”</w:t>
      </w:r>
      <w:hyperlink w:history="1" w:anchor="_bookmark54">
        <w:r>
          <w:rPr>
            <w:w w:val="110"/>
            <w:position w:val="8"/>
            <w:sz w:val="13"/>
          </w:rPr>
          <w:t>33</w:t>
        </w:r>
      </w:hyperlink>
    </w:p>
    <w:p w:rsidR="00B84CED" w:rsidRDefault="00794452" w14:paraId="4CBE8B88" w14:textId="77777777">
      <w:pPr>
        <w:pStyle w:val="BodyText"/>
        <w:spacing w:before="159" w:line="357" w:lineRule="auto"/>
        <w:ind w:left="219" w:right="459"/>
      </w:pPr>
      <w:r>
        <w:rPr>
          <w:w w:val="110"/>
        </w:rPr>
        <w:t>Following</w:t>
      </w:r>
      <w:r>
        <w:rPr>
          <w:spacing w:val="-13"/>
          <w:w w:val="110"/>
        </w:rPr>
        <w:t xml:space="preserve"> </w:t>
      </w:r>
      <w:r>
        <w:rPr>
          <w:w w:val="110"/>
        </w:rPr>
        <w:t>the</w:t>
      </w:r>
      <w:r>
        <w:rPr>
          <w:spacing w:val="-12"/>
          <w:w w:val="110"/>
        </w:rPr>
        <w:t xml:space="preserve"> </w:t>
      </w:r>
      <w:r>
        <w:rPr>
          <w:w w:val="110"/>
        </w:rPr>
        <w:t>meeting,</w:t>
      </w:r>
      <w:r>
        <w:rPr>
          <w:spacing w:val="-13"/>
          <w:w w:val="110"/>
        </w:rPr>
        <w:t xml:space="preserve"> </w:t>
      </w:r>
      <w:r>
        <w:rPr>
          <w:w w:val="110"/>
        </w:rPr>
        <w:t>the</w:t>
      </w:r>
      <w:r>
        <w:rPr>
          <w:spacing w:val="-10"/>
          <w:w w:val="110"/>
        </w:rPr>
        <w:t xml:space="preserve"> </w:t>
      </w:r>
      <w:r>
        <w:rPr>
          <w:w w:val="110"/>
        </w:rPr>
        <w:t>Committee</w:t>
      </w:r>
      <w:r>
        <w:rPr>
          <w:spacing w:val="-10"/>
          <w:w w:val="110"/>
        </w:rPr>
        <w:t xml:space="preserve"> </w:t>
      </w:r>
      <w:r>
        <w:rPr>
          <w:w w:val="110"/>
        </w:rPr>
        <w:t>sought</w:t>
      </w:r>
      <w:r>
        <w:rPr>
          <w:spacing w:val="-12"/>
          <w:w w:val="110"/>
        </w:rPr>
        <w:t xml:space="preserve"> </w:t>
      </w:r>
      <w:r>
        <w:rPr>
          <w:w w:val="110"/>
        </w:rPr>
        <w:t>detailed</w:t>
      </w:r>
      <w:r>
        <w:rPr>
          <w:spacing w:val="-12"/>
          <w:w w:val="110"/>
        </w:rPr>
        <w:t xml:space="preserve"> </w:t>
      </w:r>
      <w:r>
        <w:rPr>
          <w:w w:val="110"/>
        </w:rPr>
        <w:t>information</w:t>
      </w:r>
      <w:r>
        <w:rPr>
          <w:spacing w:val="-12"/>
          <w:w w:val="110"/>
        </w:rPr>
        <w:t xml:space="preserve"> </w:t>
      </w:r>
      <w:r>
        <w:rPr>
          <w:w w:val="110"/>
        </w:rPr>
        <w:t>from</w:t>
      </w:r>
      <w:r>
        <w:rPr>
          <w:spacing w:val="-14"/>
          <w:w w:val="110"/>
        </w:rPr>
        <w:t xml:space="preserve"> </w:t>
      </w:r>
      <w:r>
        <w:rPr>
          <w:w w:val="110"/>
        </w:rPr>
        <w:t>the</w:t>
      </w:r>
      <w:r>
        <w:rPr>
          <w:spacing w:val="-12"/>
          <w:w w:val="110"/>
        </w:rPr>
        <w:t xml:space="preserve"> </w:t>
      </w:r>
      <w:r>
        <w:rPr>
          <w:w w:val="110"/>
        </w:rPr>
        <w:t>European Commission outlining how expenditure flowing from the SAFE Regulation would be tracked, asking specifically:</w:t>
      </w:r>
    </w:p>
    <w:p w:rsidR="00B84CED" w:rsidRDefault="00794452" w14:paraId="44FBC988" w14:textId="77777777">
      <w:pPr>
        <w:pStyle w:val="ListParagraph"/>
        <w:numPr>
          <w:ilvl w:val="0"/>
          <w:numId w:val="5"/>
        </w:numPr>
        <w:tabs>
          <w:tab w:val="left" w:pos="939"/>
        </w:tabs>
        <w:spacing w:before="151"/>
        <w:ind w:left="939" w:hanging="362"/>
        <w:jc w:val="both"/>
      </w:pPr>
      <w:r>
        <w:rPr>
          <w:w w:val="110"/>
        </w:rPr>
        <w:t>What</w:t>
      </w:r>
      <w:r>
        <w:rPr>
          <w:spacing w:val="-11"/>
          <w:w w:val="110"/>
        </w:rPr>
        <w:t xml:space="preserve"> </w:t>
      </w:r>
      <w:r>
        <w:rPr>
          <w:w w:val="110"/>
        </w:rPr>
        <w:t>measures</w:t>
      </w:r>
      <w:r>
        <w:rPr>
          <w:spacing w:val="-6"/>
          <w:w w:val="110"/>
        </w:rPr>
        <w:t xml:space="preserve"> </w:t>
      </w:r>
      <w:r>
        <w:rPr>
          <w:w w:val="110"/>
        </w:rPr>
        <w:t>are</w:t>
      </w:r>
      <w:r>
        <w:rPr>
          <w:spacing w:val="-8"/>
          <w:w w:val="110"/>
        </w:rPr>
        <w:t xml:space="preserve"> </w:t>
      </w:r>
      <w:r>
        <w:rPr>
          <w:w w:val="110"/>
        </w:rPr>
        <w:t>in</w:t>
      </w:r>
      <w:r>
        <w:rPr>
          <w:spacing w:val="-7"/>
          <w:w w:val="110"/>
        </w:rPr>
        <w:t xml:space="preserve"> </w:t>
      </w:r>
      <w:r>
        <w:rPr>
          <w:w w:val="110"/>
        </w:rPr>
        <w:t>place</w:t>
      </w:r>
      <w:r>
        <w:rPr>
          <w:spacing w:val="-5"/>
          <w:w w:val="110"/>
        </w:rPr>
        <w:t xml:space="preserve"> </w:t>
      </w:r>
      <w:r>
        <w:rPr>
          <w:w w:val="110"/>
        </w:rPr>
        <w:t>to</w:t>
      </w:r>
      <w:r>
        <w:rPr>
          <w:spacing w:val="-8"/>
          <w:w w:val="110"/>
        </w:rPr>
        <w:t xml:space="preserve"> </w:t>
      </w:r>
      <w:r>
        <w:rPr>
          <w:w w:val="110"/>
        </w:rPr>
        <w:t>track</w:t>
      </w:r>
      <w:r>
        <w:rPr>
          <w:spacing w:val="-8"/>
          <w:w w:val="110"/>
        </w:rPr>
        <w:t xml:space="preserve"> </w:t>
      </w:r>
      <w:r>
        <w:rPr>
          <w:w w:val="110"/>
        </w:rPr>
        <w:t>where</w:t>
      </w:r>
      <w:r>
        <w:rPr>
          <w:spacing w:val="-8"/>
          <w:w w:val="110"/>
        </w:rPr>
        <w:t xml:space="preserve"> </w:t>
      </w:r>
      <w:r>
        <w:rPr>
          <w:w w:val="110"/>
        </w:rPr>
        <w:t>that</w:t>
      </w:r>
      <w:r>
        <w:rPr>
          <w:spacing w:val="-9"/>
          <w:w w:val="110"/>
        </w:rPr>
        <w:t xml:space="preserve"> </w:t>
      </w:r>
      <w:r>
        <w:rPr>
          <w:w w:val="110"/>
        </w:rPr>
        <w:t>money</w:t>
      </w:r>
      <w:r>
        <w:rPr>
          <w:spacing w:val="-9"/>
          <w:w w:val="110"/>
        </w:rPr>
        <w:t xml:space="preserve"> </w:t>
      </w:r>
      <w:r>
        <w:rPr>
          <w:w w:val="110"/>
        </w:rPr>
        <w:t>is</w:t>
      </w:r>
      <w:r>
        <w:rPr>
          <w:spacing w:val="-16"/>
          <w:w w:val="110"/>
        </w:rPr>
        <w:t xml:space="preserve"> </w:t>
      </w:r>
      <w:r>
        <w:rPr>
          <w:spacing w:val="-4"/>
          <w:w w:val="110"/>
        </w:rPr>
        <w:t>spent</w:t>
      </w:r>
    </w:p>
    <w:p w:rsidR="00B84CED" w:rsidRDefault="00794452" w14:paraId="0A6F512F" w14:textId="77777777">
      <w:pPr>
        <w:pStyle w:val="ListParagraph"/>
        <w:numPr>
          <w:ilvl w:val="0"/>
          <w:numId w:val="5"/>
        </w:numPr>
        <w:tabs>
          <w:tab w:val="left" w:pos="940"/>
        </w:tabs>
        <w:spacing w:before="30" w:line="271" w:lineRule="auto"/>
        <w:ind w:right="968"/>
        <w:jc w:val="both"/>
      </w:pPr>
      <w:r>
        <w:rPr>
          <w:w w:val="110"/>
        </w:rPr>
        <w:t>Whether there are any tracking measures within the Regulation, other than purely financial checks, such as measures to track human rights norms and the ultimate use of weapons</w:t>
      </w:r>
    </w:p>
    <w:p w:rsidR="00B84CED" w:rsidRDefault="00794452" w14:paraId="6B8A2554" w14:textId="77777777">
      <w:pPr>
        <w:pStyle w:val="BodyText"/>
        <w:spacing w:before="169" w:line="357" w:lineRule="auto"/>
        <w:ind w:left="220" w:right="681"/>
      </w:pPr>
      <w:r>
        <w:rPr>
          <w:w w:val="110"/>
        </w:rPr>
        <w:t>The</w:t>
      </w:r>
      <w:r>
        <w:rPr>
          <w:spacing w:val="-4"/>
          <w:w w:val="110"/>
        </w:rPr>
        <w:t xml:space="preserve"> </w:t>
      </w:r>
      <w:r>
        <w:rPr>
          <w:w w:val="110"/>
        </w:rPr>
        <w:t>Committee</w:t>
      </w:r>
      <w:r>
        <w:rPr>
          <w:spacing w:val="-4"/>
          <w:w w:val="110"/>
        </w:rPr>
        <w:t xml:space="preserve"> </w:t>
      </w:r>
      <w:r>
        <w:rPr>
          <w:w w:val="110"/>
        </w:rPr>
        <w:t>received</w:t>
      </w:r>
      <w:r>
        <w:rPr>
          <w:spacing w:val="-6"/>
          <w:w w:val="110"/>
        </w:rPr>
        <w:t xml:space="preserve"> </w:t>
      </w:r>
      <w:r>
        <w:rPr>
          <w:w w:val="110"/>
        </w:rPr>
        <w:t>a</w:t>
      </w:r>
      <w:r>
        <w:rPr>
          <w:spacing w:val="-2"/>
          <w:w w:val="110"/>
        </w:rPr>
        <w:t xml:space="preserve"> </w:t>
      </w:r>
      <w:r>
        <w:rPr>
          <w:w w:val="110"/>
        </w:rPr>
        <w:t>written</w:t>
      </w:r>
      <w:r>
        <w:rPr>
          <w:spacing w:val="-5"/>
          <w:w w:val="110"/>
        </w:rPr>
        <w:t xml:space="preserve"> </w:t>
      </w:r>
      <w:r>
        <w:rPr>
          <w:w w:val="110"/>
        </w:rPr>
        <w:t>response</w:t>
      </w:r>
      <w:r>
        <w:rPr>
          <w:spacing w:val="-4"/>
          <w:w w:val="110"/>
        </w:rPr>
        <w:t xml:space="preserve"> </w:t>
      </w:r>
      <w:r>
        <w:rPr>
          <w:w w:val="110"/>
        </w:rPr>
        <w:t>to this</w:t>
      </w:r>
      <w:r>
        <w:rPr>
          <w:spacing w:val="-1"/>
          <w:w w:val="110"/>
        </w:rPr>
        <w:t xml:space="preserve"> </w:t>
      </w:r>
      <w:r>
        <w:rPr>
          <w:w w:val="110"/>
        </w:rPr>
        <w:t>query</w:t>
      </w:r>
      <w:r>
        <w:rPr>
          <w:spacing w:val="-5"/>
          <w:w w:val="110"/>
        </w:rPr>
        <w:t xml:space="preserve"> </w:t>
      </w:r>
      <w:r>
        <w:rPr>
          <w:w w:val="110"/>
        </w:rPr>
        <w:t>on</w:t>
      </w:r>
      <w:r>
        <w:rPr>
          <w:spacing w:val="-2"/>
          <w:w w:val="110"/>
        </w:rPr>
        <w:t xml:space="preserve"> </w:t>
      </w:r>
      <w:r>
        <w:rPr>
          <w:w w:val="110"/>
        </w:rPr>
        <w:t>24</w:t>
      </w:r>
      <w:r>
        <w:rPr>
          <w:spacing w:val="-5"/>
          <w:w w:val="110"/>
        </w:rPr>
        <w:t xml:space="preserve"> </w:t>
      </w:r>
      <w:r>
        <w:rPr>
          <w:w w:val="110"/>
        </w:rPr>
        <w:t>November</w:t>
      </w:r>
      <w:r>
        <w:rPr>
          <w:spacing w:val="-4"/>
          <w:w w:val="110"/>
        </w:rPr>
        <w:t xml:space="preserve"> </w:t>
      </w:r>
      <w:r>
        <w:rPr>
          <w:w w:val="110"/>
        </w:rPr>
        <w:t>2025,</w:t>
      </w:r>
      <w:r>
        <w:rPr>
          <w:spacing w:val="-1"/>
          <w:w w:val="110"/>
        </w:rPr>
        <w:t xml:space="preserve"> </w:t>
      </w:r>
      <w:r>
        <w:rPr>
          <w:w w:val="110"/>
        </w:rPr>
        <w:t>which is as follows:</w:t>
      </w:r>
    </w:p>
    <w:p w:rsidR="00B84CED" w:rsidRDefault="00794452" w14:paraId="2DC6FCA1" w14:textId="77777777">
      <w:pPr>
        <w:spacing w:before="164" w:line="276" w:lineRule="auto"/>
        <w:ind w:left="220" w:right="633"/>
        <w:rPr>
          <w:position w:val="8"/>
          <w:sz w:val="13"/>
        </w:rPr>
      </w:pPr>
      <w:r>
        <w:rPr>
          <w:w w:val="110"/>
        </w:rPr>
        <w:t xml:space="preserve">“As stated in Article 21 point 2 of the SAFE Regulation: </w:t>
      </w:r>
      <w:r>
        <w:rPr>
          <w:i/>
          <w:w w:val="110"/>
        </w:rPr>
        <w:t>The Commission shall have access</w:t>
      </w:r>
      <w:r>
        <w:rPr>
          <w:i/>
          <w:spacing w:val="-7"/>
          <w:w w:val="110"/>
        </w:rPr>
        <w:t xml:space="preserve"> </w:t>
      </w:r>
      <w:r>
        <w:rPr>
          <w:i/>
          <w:w w:val="110"/>
        </w:rPr>
        <w:t>to</w:t>
      </w:r>
      <w:r>
        <w:rPr>
          <w:i/>
          <w:spacing w:val="-8"/>
          <w:w w:val="110"/>
        </w:rPr>
        <w:t xml:space="preserve"> </w:t>
      </w:r>
      <w:r>
        <w:rPr>
          <w:i/>
          <w:w w:val="110"/>
        </w:rPr>
        <w:t>information,</w:t>
      </w:r>
      <w:r>
        <w:rPr>
          <w:i/>
          <w:spacing w:val="-7"/>
          <w:w w:val="110"/>
        </w:rPr>
        <w:t xml:space="preserve"> </w:t>
      </w:r>
      <w:r>
        <w:rPr>
          <w:i/>
          <w:w w:val="110"/>
        </w:rPr>
        <w:t>including</w:t>
      </w:r>
      <w:r>
        <w:rPr>
          <w:i/>
          <w:spacing w:val="-6"/>
          <w:w w:val="110"/>
        </w:rPr>
        <w:t xml:space="preserve"> </w:t>
      </w:r>
      <w:r>
        <w:rPr>
          <w:i/>
          <w:w w:val="110"/>
        </w:rPr>
        <w:t>classified</w:t>
      </w:r>
      <w:r>
        <w:rPr>
          <w:i/>
          <w:spacing w:val="-6"/>
          <w:w w:val="110"/>
        </w:rPr>
        <w:t xml:space="preserve"> </w:t>
      </w:r>
      <w:r>
        <w:rPr>
          <w:i/>
          <w:w w:val="110"/>
        </w:rPr>
        <w:t>information,</w:t>
      </w:r>
      <w:r>
        <w:rPr>
          <w:i/>
          <w:spacing w:val="-7"/>
          <w:w w:val="110"/>
        </w:rPr>
        <w:t xml:space="preserve"> </w:t>
      </w:r>
      <w:r>
        <w:rPr>
          <w:i/>
          <w:w w:val="110"/>
        </w:rPr>
        <w:t>strictly</w:t>
      </w:r>
      <w:r>
        <w:rPr>
          <w:i/>
          <w:spacing w:val="-8"/>
          <w:w w:val="110"/>
        </w:rPr>
        <w:t xml:space="preserve"> </w:t>
      </w:r>
      <w:r>
        <w:rPr>
          <w:i/>
          <w:w w:val="110"/>
        </w:rPr>
        <w:t>necessary</w:t>
      </w:r>
      <w:r>
        <w:rPr>
          <w:i/>
          <w:spacing w:val="-5"/>
          <w:w w:val="110"/>
        </w:rPr>
        <w:t xml:space="preserve"> </w:t>
      </w:r>
      <w:r>
        <w:rPr>
          <w:i/>
          <w:w w:val="110"/>
        </w:rPr>
        <w:t>for</w:t>
      </w:r>
      <w:r>
        <w:rPr>
          <w:i/>
          <w:spacing w:val="-8"/>
          <w:w w:val="110"/>
        </w:rPr>
        <w:t xml:space="preserve"> </w:t>
      </w:r>
      <w:r>
        <w:rPr>
          <w:i/>
          <w:w w:val="110"/>
        </w:rPr>
        <w:t>the</w:t>
      </w:r>
      <w:r>
        <w:rPr>
          <w:i/>
          <w:spacing w:val="-8"/>
          <w:w w:val="110"/>
        </w:rPr>
        <w:t xml:space="preserve"> </w:t>
      </w:r>
      <w:r>
        <w:rPr>
          <w:i/>
          <w:w w:val="110"/>
        </w:rPr>
        <w:t>purpose of verifying the conditions for disbursement</w:t>
      </w:r>
      <w:r>
        <w:rPr>
          <w:i/>
          <w:spacing w:val="-1"/>
          <w:w w:val="110"/>
        </w:rPr>
        <w:t xml:space="preserve"> </w:t>
      </w:r>
      <w:r>
        <w:rPr>
          <w:i/>
          <w:w w:val="110"/>
        </w:rPr>
        <w:t>of payments</w:t>
      </w:r>
      <w:r>
        <w:rPr>
          <w:i/>
          <w:spacing w:val="-1"/>
          <w:w w:val="110"/>
        </w:rPr>
        <w:t xml:space="preserve"> </w:t>
      </w:r>
      <w:r>
        <w:rPr>
          <w:i/>
          <w:w w:val="110"/>
        </w:rPr>
        <w:t>and carrying out</w:t>
      </w:r>
      <w:r>
        <w:rPr>
          <w:i/>
          <w:spacing w:val="-1"/>
          <w:w w:val="110"/>
        </w:rPr>
        <w:t xml:space="preserve"> </w:t>
      </w:r>
      <w:r>
        <w:rPr>
          <w:i/>
          <w:w w:val="110"/>
        </w:rPr>
        <w:t>the checks, reviews, audits, investigations, reports as well as the controls and audits, as referred to in Article 14</w:t>
      </w:r>
      <w:r>
        <w:rPr>
          <w:w w:val="110"/>
        </w:rPr>
        <w:t>. Aspects concerning human rights norms and the ultimate use of weapons are under the direct responsibility of each Member State.”</w:t>
      </w:r>
      <w:hyperlink w:history="1" w:anchor="_bookmark55">
        <w:r>
          <w:rPr>
            <w:w w:val="110"/>
            <w:position w:val="8"/>
            <w:sz w:val="13"/>
          </w:rPr>
          <w:t>34</w:t>
        </w:r>
      </w:hyperlink>
    </w:p>
    <w:p w:rsidR="00B84CED" w:rsidRDefault="00B84CED" w14:paraId="45D682BB" w14:textId="77777777">
      <w:pPr>
        <w:pStyle w:val="BodyText"/>
        <w:spacing w:before="38"/>
      </w:pPr>
    </w:p>
    <w:p w:rsidR="00B84CED" w:rsidRDefault="00794452" w14:paraId="51621C65" w14:textId="77777777">
      <w:pPr>
        <w:pStyle w:val="Heading1"/>
      </w:pPr>
      <w:bookmarkStart w:name="Opinion_of_the_Joint_Committee" w:id="82"/>
      <w:bookmarkStart w:name="_bookmark53" w:id="83"/>
      <w:bookmarkEnd w:id="82"/>
      <w:bookmarkEnd w:id="83"/>
      <w:r>
        <w:rPr>
          <w:color w:val="3A5C66"/>
          <w:spacing w:val="-2"/>
        </w:rPr>
        <w:t>Opinion</w:t>
      </w:r>
      <w:r>
        <w:rPr>
          <w:color w:val="3A5C66"/>
          <w:spacing w:val="-15"/>
        </w:rPr>
        <w:t xml:space="preserve"> </w:t>
      </w:r>
      <w:r>
        <w:rPr>
          <w:color w:val="3A5C66"/>
          <w:spacing w:val="-2"/>
        </w:rPr>
        <w:t>of</w:t>
      </w:r>
      <w:r>
        <w:rPr>
          <w:color w:val="3A5C66"/>
          <w:spacing w:val="-14"/>
        </w:rPr>
        <w:t xml:space="preserve"> </w:t>
      </w:r>
      <w:r>
        <w:rPr>
          <w:color w:val="3A5C66"/>
          <w:spacing w:val="-2"/>
        </w:rPr>
        <w:t>the</w:t>
      </w:r>
      <w:r>
        <w:rPr>
          <w:color w:val="3A5C66"/>
          <w:spacing w:val="-12"/>
        </w:rPr>
        <w:t xml:space="preserve"> </w:t>
      </w:r>
      <w:r>
        <w:rPr>
          <w:color w:val="3A5C66"/>
          <w:spacing w:val="-2"/>
        </w:rPr>
        <w:t>Joint</w:t>
      </w:r>
      <w:r>
        <w:rPr>
          <w:color w:val="3A5C66"/>
          <w:spacing w:val="-16"/>
        </w:rPr>
        <w:t xml:space="preserve"> </w:t>
      </w:r>
      <w:r>
        <w:rPr>
          <w:color w:val="3A5C66"/>
          <w:spacing w:val="-2"/>
        </w:rPr>
        <w:t>Committee</w:t>
      </w:r>
    </w:p>
    <w:p w:rsidR="00B84CED" w:rsidRDefault="00794452" w14:paraId="3BE82E13" w14:textId="77777777">
      <w:pPr>
        <w:pStyle w:val="BodyText"/>
        <w:spacing w:before="152" w:line="357" w:lineRule="auto"/>
        <w:ind w:left="1" w:right="459"/>
      </w:pPr>
      <w:r>
        <w:rPr>
          <w:w w:val="110"/>
        </w:rPr>
        <w:t>The</w:t>
      </w:r>
      <w:r>
        <w:rPr>
          <w:spacing w:val="-2"/>
          <w:w w:val="110"/>
        </w:rPr>
        <w:t xml:space="preserve"> </w:t>
      </w:r>
      <w:r>
        <w:rPr>
          <w:w w:val="110"/>
        </w:rPr>
        <w:t>Joint</w:t>
      </w:r>
      <w:r>
        <w:rPr>
          <w:spacing w:val="-1"/>
          <w:w w:val="110"/>
        </w:rPr>
        <w:t xml:space="preserve"> </w:t>
      </w:r>
      <w:r>
        <w:rPr>
          <w:w w:val="110"/>
        </w:rPr>
        <w:t>Committee</w:t>
      </w:r>
      <w:r>
        <w:rPr>
          <w:spacing w:val="-2"/>
          <w:w w:val="110"/>
        </w:rPr>
        <w:t xml:space="preserve"> </w:t>
      </w:r>
      <w:r>
        <w:rPr>
          <w:w w:val="110"/>
        </w:rPr>
        <w:t>is</w:t>
      </w:r>
      <w:r>
        <w:rPr>
          <w:spacing w:val="-2"/>
          <w:w w:val="110"/>
        </w:rPr>
        <w:t xml:space="preserve"> </w:t>
      </w:r>
      <w:r>
        <w:rPr>
          <w:w w:val="110"/>
        </w:rPr>
        <w:t>in</w:t>
      </w:r>
      <w:r>
        <w:rPr>
          <w:spacing w:val="-1"/>
          <w:w w:val="110"/>
        </w:rPr>
        <w:t xml:space="preserve"> </w:t>
      </w:r>
      <w:r>
        <w:rPr>
          <w:w w:val="110"/>
        </w:rPr>
        <w:t>full</w:t>
      </w:r>
      <w:r>
        <w:rPr>
          <w:spacing w:val="-1"/>
          <w:w w:val="110"/>
        </w:rPr>
        <w:t xml:space="preserve"> </w:t>
      </w:r>
      <w:r>
        <w:rPr>
          <w:w w:val="110"/>
        </w:rPr>
        <w:t>understanding</w:t>
      </w:r>
      <w:r>
        <w:rPr>
          <w:spacing w:val="-2"/>
          <w:w w:val="110"/>
        </w:rPr>
        <w:t xml:space="preserve"> </w:t>
      </w:r>
      <w:r>
        <w:rPr>
          <w:w w:val="110"/>
        </w:rPr>
        <w:t>of the various,</w:t>
      </w:r>
      <w:r>
        <w:rPr>
          <w:spacing w:val="-3"/>
          <w:w w:val="110"/>
        </w:rPr>
        <w:t xml:space="preserve"> </w:t>
      </w:r>
      <w:r>
        <w:rPr>
          <w:w w:val="110"/>
        </w:rPr>
        <w:t>significant</w:t>
      </w:r>
      <w:r>
        <w:rPr>
          <w:spacing w:val="-1"/>
          <w:w w:val="110"/>
        </w:rPr>
        <w:t xml:space="preserve"> </w:t>
      </w:r>
      <w:r>
        <w:rPr>
          <w:w w:val="110"/>
        </w:rPr>
        <w:t>challenges</w:t>
      </w:r>
      <w:r>
        <w:rPr>
          <w:spacing w:val="-2"/>
          <w:w w:val="110"/>
        </w:rPr>
        <w:t xml:space="preserve"> </w:t>
      </w:r>
      <w:r>
        <w:rPr>
          <w:w w:val="110"/>
        </w:rPr>
        <w:t>facing the Union. Russia’s ongoing illegal war of aggression against Ukraine has generated a response across the European Union and prompted many member states to rethink their defence plans and capabilities. As defence is a national competence there is full recognition and acknowledgement of the right of member states determine the appropriate response to meet these challenges to international law and to peace on the continent.</w:t>
      </w:r>
    </w:p>
    <w:p w:rsidR="00B84CED" w:rsidRDefault="00794452" w14:paraId="553C7182" w14:textId="77777777">
      <w:pPr>
        <w:pStyle w:val="BodyText"/>
        <w:spacing w:before="162" w:line="357" w:lineRule="auto"/>
        <w:ind w:left="1" w:right="431"/>
      </w:pPr>
      <w:r>
        <w:rPr>
          <w:w w:val="110"/>
        </w:rPr>
        <w:t>However, the Committee’s scrutiny of these proposals has revealed a number of concerns with</w:t>
      </w:r>
      <w:r>
        <w:rPr>
          <w:spacing w:val="-4"/>
          <w:w w:val="110"/>
        </w:rPr>
        <w:t xml:space="preserve"> </w:t>
      </w:r>
      <w:r>
        <w:rPr>
          <w:w w:val="110"/>
        </w:rPr>
        <w:t>the</w:t>
      </w:r>
      <w:r>
        <w:rPr>
          <w:spacing w:val="-5"/>
          <w:w w:val="110"/>
        </w:rPr>
        <w:t xml:space="preserve"> </w:t>
      </w:r>
      <w:r>
        <w:rPr>
          <w:w w:val="110"/>
        </w:rPr>
        <w:t>manner</w:t>
      </w:r>
      <w:r>
        <w:rPr>
          <w:spacing w:val="-5"/>
          <w:w w:val="110"/>
        </w:rPr>
        <w:t xml:space="preserve"> </w:t>
      </w:r>
      <w:r>
        <w:rPr>
          <w:w w:val="110"/>
        </w:rPr>
        <w:t>in</w:t>
      </w:r>
      <w:r>
        <w:rPr>
          <w:spacing w:val="-6"/>
          <w:w w:val="110"/>
        </w:rPr>
        <w:t xml:space="preserve"> </w:t>
      </w:r>
      <w:r>
        <w:rPr>
          <w:w w:val="110"/>
        </w:rPr>
        <w:t>which</w:t>
      </w:r>
      <w:r>
        <w:rPr>
          <w:spacing w:val="-4"/>
          <w:w w:val="110"/>
        </w:rPr>
        <w:t xml:space="preserve"> </w:t>
      </w:r>
      <w:r>
        <w:rPr>
          <w:w w:val="110"/>
        </w:rPr>
        <w:t>the</w:t>
      </w:r>
      <w:r>
        <w:rPr>
          <w:spacing w:val="-2"/>
          <w:w w:val="110"/>
        </w:rPr>
        <w:t xml:space="preserve"> </w:t>
      </w:r>
      <w:r>
        <w:rPr>
          <w:w w:val="110"/>
        </w:rPr>
        <w:t>Commission</w:t>
      </w:r>
      <w:r>
        <w:rPr>
          <w:spacing w:val="-6"/>
          <w:w w:val="110"/>
        </w:rPr>
        <w:t xml:space="preserve"> </w:t>
      </w:r>
      <w:r>
        <w:rPr>
          <w:w w:val="110"/>
        </w:rPr>
        <w:t>seeks</w:t>
      </w:r>
      <w:r>
        <w:rPr>
          <w:spacing w:val="-8"/>
          <w:w w:val="110"/>
        </w:rPr>
        <w:t xml:space="preserve"> </w:t>
      </w:r>
      <w:r>
        <w:rPr>
          <w:w w:val="110"/>
        </w:rPr>
        <w:t>to</w:t>
      </w:r>
      <w:r>
        <w:rPr>
          <w:spacing w:val="-5"/>
          <w:w w:val="110"/>
        </w:rPr>
        <w:t xml:space="preserve"> </w:t>
      </w:r>
      <w:r>
        <w:rPr>
          <w:w w:val="110"/>
        </w:rPr>
        <w:t>expand</w:t>
      </w:r>
      <w:r>
        <w:rPr>
          <w:spacing w:val="-4"/>
          <w:w w:val="110"/>
        </w:rPr>
        <w:t xml:space="preserve"> </w:t>
      </w:r>
      <w:r>
        <w:rPr>
          <w:w w:val="110"/>
        </w:rPr>
        <w:t>its</w:t>
      </w:r>
      <w:r>
        <w:rPr>
          <w:spacing w:val="-5"/>
          <w:w w:val="110"/>
        </w:rPr>
        <w:t xml:space="preserve"> </w:t>
      </w:r>
      <w:r>
        <w:rPr>
          <w:w w:val="110"/>
        </w:rPr>
        <w:t>role</w:t>
      </w:r>
      <w:r>
        <w:rPr>
          <w:spacing w:val="-5"/>
          <w:w w:val="110"/>
        </w:rPr>
        <w:t xml:space="preserve"> </w:t>
      </w:r>
      <w:r>
        <w:rPr>
          <w:w w:val="110"/>
        </w:rPr>
        <w:t>in</w:t>
      </w:r>
      <w:r>
        <w:rPr>
          <w:spacing w:val="-4"/>
          <w:w w:val="110"/>
        </w:rPr>
        <w:t xml:space="preserve"> </w:t>
      </w:r>
      <w:r>
        <w:rPr>
          <w:w w:val="110"/>
        </w:rPr>
        <w:t>funding</w:t>
      </w:r>
      <w:r>
        <w:rPr>
          <w:spacing w:val="-5"/>
          <w:w w:val="110"/>
        </w:rPr>
        <w:t xml:space="preserve"> </w:t>
      </w:r>
      <w:r>
        <w:rPr>
          <w:w w:val="110"/>
        </w:rPr>
        <w:t>of</w:t>
      </w:r>
      <w:r>
        <w:rPr>
          <w:spacing w:val="-3"/>
          <w:w w:val="110"/>
        </w:rPr>
        <w:t xml:space="preserve"> </w:t>
      </w:r>
      <w:r>
        <w:rPr>
          <w:w w:val="110"/>
        </w:rPr>
        <w:t>defence</w:t>
      </w:r>
      <w:r>
        <w:rPr>
          <w:spacing w:val="-5"/>
          <w:w w:val="110"/>
        </w:rPr>
        <w:t xml:space="preserve"> </w:t>
      </w:r>
      <w:r>
        <w:rPr>
          <w:w w:val="110"/>
        </w:rPr>
        <w:t>and security measures and to prioritise the funding of those measures through packages and instruments, totalling up to €800 billion, at the expense of other vital areas of investment.</w:t>
      </w:r>
    </w:p>
    <w:p w:rsidR="00B84CED" w:rsidRDefault="00B84CED" w14:paraId="0ADB6391" w14:textId="77777777">
      <w:pPr>
        <w:pStyle w:val="BodyText"/>
        <w:rPr>
          <w:sz w:val="20"/>
        </w:rPr>
      </w:pPr>
    </w:p>
    <w:p w:rsidR="00B84CED" w:rsidRDefault="00B84CED" w14:paraId="1D877543" w14:textId="77777777">
      <w:pPr>
        <w:pStyle w:val="BodyText"/>
        <w:rPr>
          <w:sz w:val="20"/>
        </w:rPr>
      </w:pPr>
    </w:p>
    <w:p w:rsidR="00B84CED" w:rsidRDefault="00794452" w14:paraId="70AA5F08" w14:textId="77777777">
      <w:pPr>
        <w:pStyle w:val="BodyText"/>
        <w:spacing w:before="147"/>
        <w:rPr>
          <w:sz w:val="20"/>
        </w:rPr>
      </w:pPr>
      <w:r>
        <w:rPr>
          <w:noProof/>
          <w:sz w:val="20"/>
        </w:rPr>
        <mc:AlternateContent>
          <mc:Choice Requires="wps">
            <w:drawing>
              <wp:anchor distT="0" distB="0" distL="0" distR="0" simplePos="0" relativeHeight="487597056" behindDoc="1" locked="0" layoutInCell="1" allowOverlap="1" wp14:editId="3FF28E42" wp14:anchorId="0AECF7FE">
                <wp:simplePos x="0" y="0"/>
                <wp:positionH relativeFrom="page">
                  <wp:posOffset>900683</wp:posOffset>
                </wp:positionH>
                <wp:positionV relativeFrom="paragraph">
                  <wp:posOffset>263655</wp:posOffset>
                </wp:positionV>
                <wp:extent cx="1828800" cy="9525"/>
                <wp:effectExtent l="0" t="0" r="0" b="0"/>
                <wp:wrapTopAndBottom/>
                <wp:docPr id="20"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11" style="position:absolute;margin-left:70.9pt;margin-top:20.75pt;width:2in;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3r1828800,l1828800,xe" w14:anchorId="6EF0066D">
                <v:path arrowok="t"/>
                <w10:wrap type="topAndBottom" anchorx="page"/>
              </v:shape>
            </w:pict>
          </mc:Fallback>
        </mc:AlternateContent>
      </w:r>
    </w:p>
    <w:p w:rsidR="00B84CED" w:rsidRDefault="00794452" w14:paraId="530CB1FD" w14:textId="77777777">
      <w:pPr>
        <w:spacing w:before="74"/>
        <w:ind w:left="1"/>
        <w:rPr>
          <w:sz w:val="16"/>
        </w:rPr>
      </w:pPr>
      <w:bookmarkStart w:name="_bookmark54" w:id="84"/>
      <w:bookmarkEnd w:id="84"/>
      <w:r>
        <w:rPr>
          <w:w w:val="115"/>
          <w:position w:val="8"/>
          <w:sz w:val="13"/>
        </w:rPr>
        <w:t>33</w:t>
      </w:r>
      <w:r>
        <w:rPr>
          <w:spacing w:val="20"/>
          <w:w w:val="115"/>
          <w:position w:val="8"/>
          <w:sz w:val="13"/>
        </w:rPr>
        <w:t xml:space="preserve"> </w:t>
      </w:r>
      <w:hyperlink r:id="rId54">
        <w:r>
          <w:rPr>
            <w:color w:val="0000FF"/>
            <w:w w:val="115"/>
            <w:sz w:val="16"/>
            <w:u w:val="single" w:color="0000FF"/>
          </w:rPr>
          <w:t>JCFPEPSRDT</w:t>
        </w:r>
        <w:r>
          <w:rPr>
            <w:color w:val="0000FF"/>
            <w:spacing w:val="-2"/>
            <w:w w:val="115"/>
            <w:sz w:val="16"/>
            <w:u w:val="single" w:color="0000FF"/>
          </w:rPr>
          <w:t xml:space="preserve"> </w:t>
        </w:r>
        <w:r>
          <w:rPr>
            <w:color w:val="0000FF"/>
            <w:w w:val="115"/>
            <w:sz w:val="16"/>
            <w:u w:val="single" w:color="0000FF"/>
          </w:rPr>
          <w:t>Transcript</w:t>
        </w:r>
        <w:r>
          <w:rPr>
            <w:color w:val="0000FF"/>
            <w:spacing w:val="-1"/>
            <w:w w:val="115"/>
            <w:sz w:val="16"/>
            <w:u w:val="single" w:color="0000FF"/>
          </w:rPr>
          <w:t xml:space="preserve"> </w:t>
        </w:r>
        <w:r>
          <w:rPr>
            <w:color w:val="0000FF"/>
            <w:w w:val="115"/>
            <w:sz w:val="16"/>
            <w:u w:val="single" w:color="0000FF"/>
          </w:rPr>
          <w:t>15.10.25</w:t>
        </w:r>
        <w:r>
          <w:rPr>
            <w:color w:val="0000FF"/>
            <w:spacing w:val="-9"/>
            <w:w w:val="115"/>
            <w:sz w:val="16"/>
            <w:u w:val="single" w:color="0000FF"/>
          </w:rPr>
          <w:t xml:space="preserve"> </w:t>
        </w:r>
        <w:r>
          <w:rPr>
            <w:color w:val="0000FF"/>
            <w:spacing w:val="-4"/>
            <w:w w:val="115"/>
            <w:sz w:val="16"/>
            <w:u w:val="single" w:color="0000FF"/>
          </w:rPr>
          <w:t>p.17</w:t>
        </w:r>
      </w:hyperlink>
    </w:p>
    <w:p w:rsidR="00B84CED" w:rsidRDefault="00794452" w14:paraId="291508F5" w14:textId="77777777">
      <w:pPr>
        <w:spacing w:before="169"/>
        <w:ind w:left="1"/>
        <w:rPr>
          <w:sz w:val="16"/>
        </w:rPr>
      </w:pPr>
      <w:bookmarkStart w:name="_bookmark55" w:id="85"/>
      <w:bookmarkEnd w:id="85"/>
      <w:r>
        <w:rPr>
          <w:w w:val="110"/>
          <w:position w:val="6"/>
          <w:sz w:val="10"/>
        </w:rPr>
        <w:t>34</w:t>
      </w:r>
      <w:r>
        <w:rPr>
          <w:spacing w:val="10"/>
          <w:w w:val="110"/>
          <w:position w:val="6"/>
          <w:sz w:val="10"/>
        </w:rPr>
        <w:t xml:space="preserve"> </w:t>
      </w:r>
      <w:hyperlink r:id="rId55">
        <w:r>
          <w:rPr>
            <w:color w:val="0000FF"/>
            <w:w w:val="110"/>
            <w:sz w:val="16"/>
            <w:u w:val="single" w:color="0000FF"/>
          </w:rPr>
          <w:t>Correspondence</w:t>
        </w:r>
        <w:r>
          <w:rPr>
            <w:color w:val="0000FF"/>
            <w:spacing w:val="-4"/>
            <w:w w:val="110"/>
            <w:sz w:val="16"/>
            <w:u w:val="single" w:color="0000FF"/>
          </w:rPr>
          <w:t xml:space="preserve"> </w:t>
        </w:r>
        <w:r>
          <w:rPr>
            <w:color w:val="0000FF"/>
            <w:w w:val="110"/>
            <w:sz w:val="16"/>
            <w:u w:val="single" w:color="0000FF"/>
          </w:rPr>
          <w:t>received</w:t>
        </w:r>
        <w:r>
          <w:rPr>
            <w:color w:val="0000FF"/>
            <w:spacing w:val="-3"/>
            <w:w w:val="110"/>
            <w:sz w:val="16"/>
            <w:u w:val="single" w:color="0000FF"/>
          </w:rPr>
          <w:t xml:space="preserve"> </w:t>
        </w:r>
        <w:r>
          <w:rPr>
            <w:color w:val="0000FF"/>
            <w:w w:val="110"/>
            <w:sz w:val="16"/>
            <w:u w:val="single" w:color="0000FF"/>
          </w:rPr>
          <w:t>from</w:t>
        </w:r>
        <w:r>
          <w:rPr>
            <w:color w:val="0000FF"/>
            <w:spacing w:val="-3"/>
            <w:w w:val="110"/>
            <w:sz w:val="16"/>
            <w:u w:val="single" w:color="0000FF"/>
          </w:rPr>
          <w:t xml:space="preserve"> </w:t>
        </w:r>
        <w:r>
          <w:rPr>
            <w:color w:val="0000FF"/>
            <w:w w:val="110"/>
            <w:sz w:val="16"/>
            <w:u w:val="single" w:color="0000FF"/>
          </w:rPr>
          <w:t>EU</w:t>
        </w:r>
        <w:r>
          <w:rPr>
            <w:color w:val="0000FF"/>
            <w:spacing w:val="-4"/>
            <w:w w:val="110"/>
            <w:sz w:val="16"/>
            <w:u w:val="single" w:color="0000FF"/>
          </w:rPr>
          <w:t xml:space="preserve"> </w:t>
        </w:r>
        <w:r>
          <w:rPr>
            <w:color w:val="0000FF"/>
            <w:w w:val="110"/>
            <w:sz w:val="16"/>
            <w:u w:val="single" w:color="0000FF"/>
          </w:rPr>
          <w:t>Commission</w:t>
        </w:r>
        <w:r>
          <w:rPr>
            <w:color w:val="0000FF"/>
            <w:spacing w:val="-5"/>
            <w:w w:val="110"/>
            <w:sz w:val="16"/>
            <w:u w:val="single" w:color="0000FF"/>
          </w:rPr>
          <w:t xml:space="preserve"> </w:t>
        </w:r>
        <w:r>
          <w:rPr>
            <w:color w:val="0000FF"/>
            <w:spacing w:val="-2"/>
            <w:w w:val="110"/>
            <w:sz w:val="16"/>
            <w:u w:val="single" w:color="0000FF"/>
          </w:rPr>
          <w:t>24.11.25</w:t>
        </w:r>
      </w:hyperlink>
    </w:p>
    <w:p w:rsidR="00B84CED" w:rsidRDefault="00B84CED" w14:paraId="270574E0" w14:textId="77777777">
      <w:pPr>
        <w:rPr>
          <w:sz w:val="16"/>
        </w:rPr>
        <w:sectPr w:rsidR="00B84CED" w:rsidSect="00196DB0">
          <w:footerReference w:type="even" r:id="R01a92d02353640e3"/>
          <w:footerReference w:type="first" r:id="R7623b3120bf245a6"/>
          <w:headerReference w:type="even" r:id="R0455df5680894fe1"/>
          <w:headerReference w:type="first" r:id="R868246c3697a4831"/>
          <w:pgSz w:w="11907" w:h="16839"/>
          <w:pgMar w:top="1134" w:right="1134" w:bottom="1134" w:left="1134" w:header="567" w:footer="567" w:gutter="0"/>
          <w:cols w:space="720"/>
          <w:docGrid w:linePitch="299"/>
        </w:sectPr>
      </w:pPr>
    </w:p>
    <w:p w:rsidR="00B84CED" w:rsidRDefault="00794452" w14:paraId="17616EFF" w14:textId="77777777">
      <w:pPr>
        <w:pStyle w:val="ListParagraph"/>
        <w:numPr>
          <w:ilvl w:val="0"/>
          <w:numId w:val="6"/>
        </w:numPr>
        <w:tabs>
          <w:tab w:val="left" w:pos="358"/>
          <w:tab w:val="left" w:pos="361"/>
        </w:tabs>
        <w:spacing w:before="109" w:line="357" w:lineRule="auto"/>
        <w:ind w:right="587"/>
      </w:pPr>
      <w:r>
        <w:rPr>
          <w:w w:val="110"/>
        </w:rPr>
        <w:lastRenderedPageBreak/>
        <w:t>The Committee opposes the use of the EU general budget to which Ireland is a contributor</w:t>
      </w:r>
      <w:r>
        <w:rPr>
          <w:spacing w:val="-7"/>
          <w:w w:val="110"/>
        </w:rPr>
        <w:t xml:space="preserve"> </w:t>
      </w:r>
      <w:r>
        <w:rPr>
          <w:w w:val="110"/>
        </w:rPr>
        <w:t>as</w:t>
      </w:r>
      <w:r>
        <w:rPr>
          <w:spacing w:val="-7"/>
          <w:w w:val="110"/>
        </w:rPr>
        <w:t xml:space="preserve"> </w:t>
      </w:r>
      <w:r>
        <w:rPr>
          <w:w w:val="110"/>
        </w:rPr>
        <w:t>a</w:t>
      </w:r>
      <w:r>
        <w:rPr>
          <w:spacing w:val="-6"/>
          <w:w w:val="110"/>
        </w:rPr>
        <w:t xml:space="preserve"> </w:t>
      </w:r>
      <w:r>
        <w:rPr>
          <w:w w:val="110"/>
        </w:rPr>
        <w:t>guarantee</w:t>
      </w:r>
      <w:r>
        <w:rPr>
          <w:spacing w:val="-7"/>
          <w:w w:val="110"/>
        </w:rPr>
        <w:t xml:space="preserve"> </w:t>
      </w:r>
      <w:r>
        <w:rPr>
          <w:w w:val="110"/>
        </w:rPr>
        <w:t>for</w:t>
      </w:r>
      <w:r>
        <w:rPr>
          <w:spacing w:val="-5"/>
          <w:w w:val="110"/>
        </w:rPr>
        <w:t xml:space="preserve"> </w:t>
      </w:r>
      <w:r>
        <w:rPr>
          <w:w w:val="110"/>
        </w:rPr>
        <w:t>the</w:t>
      </w:r>
      <w:r>
        <w:rPr>
          <w:spacing w:val="-4"/>
          <w:w w:val="110"/>
        </w:rPr>
        <w:t xml:space="preserve"> </w:t>
      </w:r>
      <w:r>
        <w:rPr>
          <w:w w:val="110"/>
        </w:rPr>
        <w:t>loans</w:t>
      </w:r>
      <w:r>
        <w:rPr>
          <w:spacing w:val="-7"/>
          <w:w w:val="110"/>
        </w:rPr>
        <w:t xml:space="preserve"> </w:t>
      </w:r>
      <w:r>
        <w:rPr>
          <w:w w:val="110"/>
        </w:rPr>
        <w:t>to</w:t>
      </w:r>
      <w:r>
        <w:rPr>
          <w:spacing w:val="-4"/>
          <w:w w:val="110"/>
        </w:rPr>
        <w:t xml:space="preserve"> </w:t>
      </w:r>
      <w:r>
        <w:rPr>
          <w:w w:val="110"/>
        </w:rPr>
        <w:t>be</w:t>
      </w:r>
      <w:r>
        <w:rPr>
          <w:spacing w:val="-4"/>
          <w:w w:val="110"/>
        </w:rPr>
        <w:t xml:space="preserve"> </w:t>
      </w:r>
      <w:r>
        <w:rPr>
          <w:w w:val="110"/>
        </w:rPr>
        <w:t>provided</w:t>
      </w:r>
      <w:r>
        <w:rPr>
          <w:spacing w:val="-6"/>
          <w:w w:val="110"/>
        </w:rPr>
        <w:t xml:space="preserve"> </w:t>
      </w:r>
      <w:r>
        <w:rPr>
          <w:w w:val="110"/>
        </w:rPr>
        <w:t>under</w:t>
      </w:r>
      <w:r>
        <w:rPr>
          <w:spacing w:val="-5"/>
          <w:w w:val="110"/>
        </w:rPr>
        <w:t xml:space="preserve"> </w:t>
      </w:r>
      <w:r>
        <w:rPr>
          <w:w w:val="110"/>
        </w:rPr>
        <w:t>the</w:t>
      </w:r>
      <w:r>
        <w:rPr>
          <w:spacing w:val="-4"/>
          <w:w w:val="110"/>
        </w:rPr>
        <w:t xml:space="preserve"> </w:t>
      </w:r>
      <w:r>
        <w:rPr>
          <w:w w:val="110"/>
        </w:rPr>
        <w:t>SAFE</w:t>
      </w:r>
      <w:r>
        <w:rPr>
          <w:spacing w:val="-5"/>
          <w:w w:val="110"/>
        </w:rPr>
        <w:t xml:space="preserve"> </w:t>
      </w:r>
      <w:r>
        <w:rPr>
          <w:w w:val="110"/>
        </w:rPr>
        <w:t>Regulation.</w:t>
      </w:r>
      <w:r>
        <w:rPr>
          <w:spacing w:val="-8"/>
          <w:w w:val="110"/>
        </w:rPr>
        <w:t xml:space="preserve"> </w:t>
      </w:r>
      <w:r>
        <w:rPr>
          <w:w w:val="110"/>
        </w:rPr>
        <w:t>The Committee highlights that the EU's treaties prevent the use of its funds for military expenditure</w:t>
      </w:r>
      <w:r>
        <w:rPr>
          <w:spacing w:val="-2"/>
          <w:w w:val="110"/>
        </w:rPr>
        <w:t xml:space="preserve"> </w:t>
      </w:r>
      <w:r>
        <w:rPr>
          <w:w w:val="110"/>
        </w:rPr>
        <w:t>and</w:t>
      </w:r>
      <w:r>
        <w:rPr>
          <w:spacing w:val="-1"/>
          <w:w w:val="110"/>
        </w:rPr>
        <w:t xml:space="preserve"> </w:t>
      </w:r>
      <w:r>
        <w:rPr>
          <w:w w:val="110"/>
        </w:rPr>
        <w:t>note the fact</w:t>
      </w:r>
      <w:r>
        <w:rPr>
          <w:spacing w:val="-1"/>
          <w:w w:val="110"/>
        </w:rPr>
        <w:t xml:space="preserve"> </w:t>
      </w:r>
      <w:r>
        <w:rPr>
          <w:w w:val="110"/>
        </w:rPr>
        <w:t>that</w:t>
      </w:r>
      <w:r>
        <w:rPr>
          <w:spacing w:val="-3"/>
          <w:w w:val="110"/>
        </w:rPr>
        <w:t xml:space="preserve"> </w:t>
      </w:r>
      <w:r>
        <w:rPr>
          <w:w w:val="110"/>
        </w:rPr>
        <w:t>equivalent</w:t>
      </w:r>
      <w:r>
        <w:rPr>
          <w:spacing w:val="-1"/>
          <w:w w:val="110"/>
        </w:rPr>
        <w:t xml:space="preserve"> </w:t>
      </w:r>
      <w:r>
        <w:rPr>
          <w:w w:val="110"/>
        </w:rPr>
        <w:t>measures have not</w:t>
      </w:r>
      <w:r>
        <w:rPr>
          <w:spacing w:val="-1"/>
          <w:w w:val="110"/>
        </w:rPr>
        <w:t xml:space="preserve"> </w:t>
      </w:r>
      <w:r>
        <w:rPr>
          <w:w w:val="110"/>
        </w:rPr>
        <w:t>been</w:t>
      </w:r>
      <w:r>
        <w:rPr>
          <w:spacing w:val="-1"/>
          <w:w w:val="110"/>
        </w:rPr>
        <w:t xml:space="preserve"> </w:t>
      </w:r>
      <w:r>
        <w:rPr>
          <w:w w:val="110"/>
        </w:rPr>
        <w:t>made available to allow countries to address the existential threat posed by climate change and the urgent need for a just transition.</w:t>
      </w:r>
    </w:p>
    <w:p w:rsidR="00B84CED" w:rsidRDefault="00794452" w14:paraId="0FEBFA44" w14:textId="77777777">
      <w:pPr>
        <w:pStyle w:val="ListParagraph"/>
        <w:numPr>
          <w:ilvl w:val="0"/>
          <w:numId w:val="6"/>
        </w:numPr>
        <w:tabs>
          <w:tab w:val="left" w:pos="358"/>
          <w:tab w:val="left" w:pos="361"/>
        </w:tabs>
        <w:spacing w:before="160" w:line="357" w:lineRule="auto"/>
        <w:ind w:right="523"/>
      </w:pPr>
      <w:r>
        <w:rPr>
          <w:w w:val="110"/>
        </w:rPr>
        <w:t>The Committee notes that there is no standardised approach to reporting military emissions in the EU and encourages the Commission to use this moment of major investment to create a framework to ensure reporting on emission of the various militaries and their use and supply chains. The Committee further regrets that environmental effects of increased military expenditure and production have not been given</w:t>
      </w:r>
      <w:r>
        <w:rPr>
          <w:spacing w:val="-7"/>
          <w:w w:val="110"/>
        </w:rPr>
        <w:t xml:space="preserve"> </w:t>
      </w:r>
      <w:r>
        <w:rPr>
          <w:w w:val="110"/>
        </w:rPr>
        <w:t>due</w:t>
      </w:r>
      <w:r>
        <w:rPr>
          <w:spacing w:val="-3"/>
          <w:w w:val="110"/>
        </w:rPr>
        <w:t xml:space="preserve"> </w:t>
      </w:r>
      <w:r>
        <w:rPr>
          <w:w w:val="110"/>
        </w:rPr>
        <w:t>consideration</w:t>
      </w:r>
      <w:r>
        <w:rPr>
          <w:spacing w:val="-7"/>
          <w:w w:val="110"/>
        </w:rPr>
        <w:t xml:space="preserve"> </w:t>
      </w:r>
      <w:r>
        <w:rPr>
          <w:w w:val="110"/>
        </w:rPr>
        <w:t>in</w:t>
      </w:r>
      <w:r>
        <w:rPr>
          <w:spacing w:val="-5"/>
          <w:w w:val="110"/>
        </w:rPr>
        <w:t xml:space="preserve"> </w:t>
      </w:r>
      <w:r>
        <w:rPr>
          <w:w w:val="110"/>
        </w:rPr>
        <w:t>the</w:t>
      </w:r>
      <w:r>
        <w:rPr>
          <w:spacing w:val="-3"/>
          <w:w w:val="110"/>
        </w:rPr>
        <w:t xml:space="preserve"> </w:t>
      </w:r>
      <w:r>
        <w:rPr>
          <w:w w:val="110"/>
        </w:rPr>
        <w:t>development</w:t>
      </w:r>
      <w:r>
        <w:rPr>
          <w:spacing w:val="-8"/>
          <w:w w:val="110"/>
        </w:rPr>
        <w:t xml:space="preserve"> </w:t>
      </w:r>
      <w:r>
        <w:rPr>
          <w:w w:val="110"/>
        </w:rPr>
        <w:t>of</w:t>
      </w:r>
      <w:r>
        <w:rPr>
          <w:spacing w:val="-4"/>
          <w:w w:val="110"/>
        </w:rPr>
        <w:t xml:space="preserve"> </w:t>
      </w:r>
      <w:r>
        <w:rPr>
          <w:w w:val="110"/>
        </w:rPr>
        <w:t>measures</w:t>
      </w:r>
      <w:r>
        <w:rPr>
          <w:spacing w:val="-6"/>
          <w:w w:val="110"/>
        </w:rPr>
        <w:t xml:space="preserve"> </w:t>
      </w:r>
      <w:r>
        <w:rPr>
          <w:w w:val="110"/>
        </w:rPr>
        <w:t>to</w:t>
      </w:r>
      <w:r>
        <w:rPr>
          <w:spacing w:val="-6"/>
          <w:w w:val="110"/>
        </w:rPr>
        <w:t xml:space="preserve"> </w:t>
      </w:r>
      <w:r>
        <w:rPr>
          <w:w w:val="110"/>
        </w:rPr>
        <w:t>deal</w:t>
      </w:r>
      <w:r>
        <w:rPr>
          <w:spacing w:val="-7"/>
          <w:w w:val="110"/>
        </w:rPr>
        <w:t xml:space="preserve"> </w:t>
      </w:r>
      <w:r>
        <w:rPr>
          <w:w w:val="110"/>
        </w:rPr>
        <w:t>with</w:t>
      </w:r>
      <w:r>
        <w:rPr>
          <w:spacing w:val="-5"/>
          <w:w w:val="110"/>
        </w:rPr>
        <w:t xml:space="preserve"> </w:t>
      </w:r>
      <w:r>
        <w:rPr>
          <w:w w:val="110"/>
        </w:rPr>
        <w:t>urgent</w:t>
      </w:r>
      <w:r>
        <w:rPr>
          <w:spacing w:val="-5"/>
          <w:w w:val="110"/>
        </w:rPr>
        <w:t xml:space="preserve"> </w:t>
      </w:r>
      <w:r>
        <w:rPr>
          <w:w w:val="110"/>
        </w:rPr>
        <w:t>challenges facing</w:t>
      </w:r>
      <w:r>
        <w:rPr>
          <w:spacing w:val="-2"/>
          <w:w w:val="110"/>
        </w:rPr>
        <w:t xml:space="preserve"> </w:t>
      </w:r>
      <w:r>
        <w:rPr>
          <w:w w:val="110"/>
        </w:rPr>
        <w:t>the</w:t>
      </w:r>
      <w:r>
        <w:rPr>
          <w:spacing w:val="-2"/>
          <w:w w:val="110"/>
        </w:rPr>
        <w:t xml:space="preserve"> </w:t>
      </w:r>
      <w:r>
        <w:rPr>
          <w:w w:val="110"/>
        </w:rPr>
        <w:t>Union</w:t>
      </w:r>
      <w:r>
        <w:rPr>
          <w:spacing w:val="-4"/>
          <w:w w:val="110"/>
        </w:rPr>
        <w:t xml:space="preserve"> </w:t>
      </w:r>
      <w:r>
        <w:rPr>
          <w:w w:val="110"/>
        </w:rPr>
        <w:t>and</w:t>
      </w:r>
      <w:r>
        <w:rPr>
          <w:spacing w:val="-4"/>
          <w:w w:val="110"/>
        </w:rPr>
        <w:t xml:space="preserve"> </w:t>
      </w:r>
      <w:r>
        <w:rPr>
          <w:w w:val="110"/>
        </w:rPr>
        <w:t>in</w:t>
      </w:r>
      <w:r>
        <w:rPr>
          <w:spacing w:val="-4"/>
          <w:w w:val="110"/>
        </w:rPr>
        <w:t xml:space="preserve"> </w:t>
      </w:r>
      <w:r>
        <w:rPr>
          <w:w w:val="110"/>
        </w:rPr>
        <w:t>consideration</w:t>
      </w:r>
      <w:r>
        <w:rPr>
          <w:spacing w:val="-4"/>
          <w:w w:val="110"/>
        </w:rPr>
        <w:t xml:space="preserve"> </w:t>
      </w:r>
      <w:r>
        <w:rPr>
          <w:w w:val="110"/>
        </w:rPr>
        <w:t>of</w:t>
      </w:r>
      <w:r>
        <w:rPr>
          <w:spacing w:val="-3"/>
          <w:w w:val="110"/>
        </w:rPr>
        <w:t xml:space="preserve"> </w:t>
      </w:r>
      <w:r>
        <w:rPr>
          <w:w w:val="110"/>
        </w:rPr>
        <w:t>the</w:t>
      </w:r>
      <w:r>
        <w:rPr>
          <w:spacing w:val="-2"/>
          <w:w w:val="110"/>
        </w:rPr>
        <w:t xml:space="preserve"> </w:t>
      </w:r>
      <w:r>
        <w:rPr>
          <w:w w:val="110"/>
        </w:rPr>
        <w:t>urgent</w:t>
      </w:r>
      <w:r>
        <w:rPr>
          <w:spacing w:val="-4"/>
          <w:w w:val="110"/>
        </w:rPr>
        <w:t xml:space="preserve"> </w:t>
      </w:r>
      <w:r>
        <w:rPr>
          <w:w w:val="110"/>
        </w:rPr>
        <w:t>challenges</w:t>
      </w:r>
      <w:r>
        <w:rPr>
          <w:spacing w:val="-5"/>
          <w:w w:val="110"/>
        </w:rPr>
        <w:t xml:space="preserve"> </w:t>
      </w:r>
      <w:r>
        <w:rPr>
          <w:w w:val="110"/>
        </w:rPr>
        <w:t>facing</w:t>
      </w:r>
      <w:r>
        <w:rPr>
          <w:spacing w:val="-2"/>
          <w:w w:val="110"/>
        </w:rPr>
        <w:t xml:space="preserve"> </w:t>
      </w:r>
      <w:r>
        <w:rPr>
          <w:w w:val="110"/>
        </w:rPr>
        <w:t>the</w:t>
      </w:r>
      <w:r>
        <w:rPr>
          <w:spacing w:val="-7"/>
          <w:w w:val="110"/>
        </w:rPr>
        <w:t xml:space="preserve"> </w:t>
      </w:r>
      <w:r>
        <w:rPr>
          <w:w w:val="110"/>
        </w:rPr>
        <w:t>Union,</w:t>
      </w:r>
      <w:r>
        <w:rPr>
          <w:spacing w:val="-4"/>
          <w:w w:val="110"/>
        </w:rPr>
        <w:t xml:space="preserve"> </w:t>
      </w:r>
      <w:r>
        <w:rPr>
          <w:w w:val="110"/>
        </w:rPr>
        <w:t>further notes the presence of hard evidence of the existential risks to European peace and security posed by climate change.</w:t>
      </w:r>
    </w:p>
    <w:p w:rsidR="00B84CED" w:rsidRDefault="00794452" w14:paraId="6AECBD12" w14:textId="77777777">
      <w:pPr>
        <w:pStyle w:val="ListParagraph"/>
        <w:numPr>
          <w:ilvl w:val="0"/>
          <w:numId w:val="6"/>
        </w:numPr>
        <w:tabs>
          <w:tab w:val="left" w:pos="358"/>
          <w:tab w:val="left" w:pos="361"/>
        </w:tabs>
        <w:spacing w:before="163" w:line="357" w:lineRule="auto"/>
        <w:ind w:right="613"/>
      </w:pPr>
      <w:r>
        <w:rPr>
          <w:w w:val="110"/>
        </w:rPr>
        <w:t>The</w:t>
      </w:r>
      <w:r>
        <w:rPr>
          <w:spacing w:val="-6"/>
          <w:w w:val="110"/>
        </w:rPr>
        <w:t xml:space="preserve"> </w:t>
      </w:r>
      <w:r>
        <w:rPr>
          <w:w w:val="110"/>
        </w:rPr>
        <w:t>Committee</w:t>
      </w:r>
      <w:r>
        <w:rPr>
          <w:spacing w:val="-6"/>
          <w:w w:val="110"/>
        </w:rPr>
        <w:t xml:space="preserve"> </w:t>
      </w:r>
      <w:r>
        <w:rPr>
          <w:w w:val="110"/>
        </w:rPr>
        <w:t>is</w:t>
      </w:r>
      <w:r>
        <w:rPr>
          <w:spacing w:val="-6"/>
          <w:w w:val="110"/>
        </w:rPr>
        <w:t xml:space="preserve"> </w:t>
      </w:r>
      <w:r>
        <w:rPr>
          <w:w w:val="110"/>
        </w:rPr>
        <w:t>further</w:t>
      </w:r>
      <w:r>
        <w:rPr>
          <w:spacing w:val="-4"/>
          <w:w w:val="110"/>
        </w:rPr>
        <w:t xml:space="preserve"> </w:t>
      </w:r>
      <w:r>
        <w:rPr>
          <w:w w:val="110"/>
        </w:rPr>
        <w:t>concerned</w:t>
      </w:r>
      <w:r>
        <w:rPr>
          <w:spacing w:val="-8"/>
          <w:w w:val="110"/>
        </w:rPr>
        <w:t xml:space="preserve"> </w:t>
      </w:r>
      <w:r>
        <w:rPr>
          <w:w w:val="110"/>
        </w:rPr>
        <w:t>with</w:t>
      </w:r>
      <w:r>
        <w:rPr>
          <w:spacing w:val="-5"/>
          <w:w w:val="110"/>
        </w:rPr>
        <w:t xml:space="preserve"> </w:t>
      </w:r>
      <w:r>
        <w:rPr>
          <w:w w:val="110"/>
        </w:rPr>
        <w:t>the</w:t>
      </w:r>
      <w:r>
        <w:rPr>
          <w:spacing w:val="-6"/>
          <w:w w:val="110"/>
        </w:rPr>
        <w:t xml:space="preserve"> </w:t>
      </w:r>
      <w:r>
        <w:rPr>
          <w:w w:val="110"/>
        </w:rPr>
        <w:t>measures</w:t>
      </w:r>
      <w:r>
        <w:rPr>
          <w:spacing w:val="-4"/>
          <w:w w:val="110"/>
        </w:rPr>
        <w:t xml:space="preserve"> </w:t>
      </w:r>
      <w:r>
        <w:rPr>
          <w:w w:val="110"/>
        </w:rPr>
        <w:t>allowing</w:t>
      </w:r>
      <w:r>
        <w:rPr>
          <w:spacing w:val="-6"/>
          <w:w w:val="110"/>
        </w:rPr>
        <w:t xml:space="preserve"> </w:t>
      </w:r>
      <w:r>
        <w:rPr>
          <w:w w:val="110"/>
        </w:rPr>
        <w:t>redirection</w:t>
      </w:r>
      <w:r>
        <w:rPr>
          <w:spacing w:val="-7"/>
          <w:w w:val="110"/>
        </w:rPr>
        <w:t xml:space="preserve"> </w:t>
      </w:r>
      <w:r>
        <w:rPr>
          <w:w w:val="110"/>
        </w:rPr>
        <w:t>of</w:t>
      </w:r>
      <w:r>
        <w:rPr>
          <w:spacing w:val="-6"/>
          <w:w w:val="110"/>
        </w:rPr>
        <w:t xml:space="preserve"> </w:t>
      </w:r>
      <w:r>
        <w:rPr>
          <w:w w:val="110"/>
        </w:rPr>
        <w:t>existing cohesion funds towards defence purposes, while simultaneously removing much needed funding from its intended purposes.</w:t>
      </w:r>
    </w:p>
    <w:p w:rsidR="00B84CED" w:rsidRDefault="00794452" w14:paraId="171E487D" w14:textId="77777777">
      <w:pPr>
        <w:pStyle w:val="ListParagraph"/>
        <w:numPr>
          <w:ilvl w:val="0"/>
          <w:numId w:val="6"/>
        </w:numPr>
        <w:tabs>
          <w:tab w:val="left" w:pos="358"/>
          <w:tab w:val="left" w:pos="361"/>
        </w:tabs>
        <w:spacing w:before="160" w:line="357" w:lineRule="auto"/>
        <w:ind w:right="423"/>
      </w:pPr>
      <w:r>
        <w:rPr>
          <w:w w:val="110"/>
        </w:rPr>
        <w:t>The Committee note the selective suspension of the fiscal rules to accommodate large scale increases in military spending, and</w:t>
      </w:r>
      <w:r>
        <w:rPr>
          <w:spacing w:val="-4"/>
          <w:w w:val="110"/>
        </w:rPr>
        <w:t xml:space="preserve"> </w:t>
      </w:r>
      <w:r>
        <w:rPr>
          <w:w w:val="110"/>
        </w:rPr>
        <w:t>regret that no</w:t>
      </w:r>
      <w:r>
        <w:rPr>
          <w:spacing w:val="-1"/>
          <w:w w:val="110"/>
        </w:rPr>
        <w:t xml:space="preserve"> </w:t>
      </w:r>
      <w:r>
        <w:rPr>
          <w:w w:val="110"/>
        </w:rPr>
        <w:t>similar</w:t>
      </w:r>
      <w:r>
        <w:rPr>
          <w:spacing w:val="-1"/>
          <w:w w:val="110"/>
        </w:rPr>
        <w:t xml:space="preserve"> </w:t>
      </w:r>
      <w:r>
        <w:rPr>
          <w:w w:val="110"/>
        </w:rPr>
        <w:t>flexibility</w:t>
      </w:r>
      <w:r>
        <w:rPr>
          <w:spacing w:val="-2"/>
          <w:w w:val="110"/>
        </w:rPr>
        <w:t xml:space="preserve"> </w:t>
      </w:r>
      <w:r>
        <w:rPr>
          <w:w w:val="110"/>
        </w:rPr>
        <w:t>has been</w:t>
      </w:r>
      <w:r>
        <w:rPr>
          <w:spacing w:val="-4"/>
          <w:w w:val="110"/>
        </w:rPr>
        <w:t xml:space="preserve"> </w:t>
      </w:r>
      <w:r>
        <w:rPr>
          <w:w w:val="110"/>
        </w:rPr>
        <w:t>shown in relation to the climate</w:t>
      </w:r>
      <w:r>
        <w:rPr>
          <w:spacing w:val="-1"/>
          <w:w w:val="110"/>
        </w:rPr>
        <w:t xml:space="preserve"> </w:t>
      </w:r>
      <w:r>
        <w:rPr>
          <w:w w:val="110"/>
        </w:rPr>
        <w:t>crisis</w:t>
      </w:r>
      <w:r>
        <w:rPr>
          <w:spacing w:val="-1"/>
          <w:w w:val="110"/>
        </w:rPr>
        <w:t xml:space="preserve"> </w:t>
      </w:r>
      <w:r>
        <w:rPr>
          <w:w w:val="110"/>
        </w:rPr>
        <w:t>which poses</w:t>
      </w:r>
      <w:r>
        <w:rPr>
          <w:spacing w:val="-1"/>
          <w:w w:val="110"/>
        </w:rPr>
        <w:t xml:space="preserve"> </w:t>
      </w:r>
      <w:r>
        <w:rPr>
          <w:w w:val="110"/>
        </w:rPr>
        <w:t>a significant threat</w:t>
      </w:r>
      <w:r>
        <w:rPr>
          <w:spacing w:val="-3"/>
          <w:w w:val="110"/>
        </w:rPr>
        <w:t xml:space="preserve"> </w:t>
      </w:r>
      <w:r>
        <w:rPr>
          <w:w w:val="110"/>
        </w:rPr>
        <w:t>to</w:t>
      </w:r>
      <w:r>
        <w:rPr>
          <w:spacing w:val="-1"/>
          <w:w w:val="110"/>
        </w:rPr>
        <w:t xml:space="preserve"> </w:t>
      </w:r>
      <w:r>
        <w:rPr>
          <w:w w:val="110"/>
        </w:rPr>
        <w:t>our</w:t>
      </w:r>
      <w:r>
        <w:rPr>
          <w:spacing w:val="-1"/>
          <w:w w:val="110"/>
        </w:rPr>
        <w:t xml:space="preserve"> </w:t>
      </w:r>
      <w:r>
        <w:rPr>
          <w:w w:val="110"/>
        </w:rPr>
        <w:t>collective security.</w:t>
      </w:r>
    </w:p>
    <w:p w:rsidR="00B84CED" w:rsidRDefault="00794452" w14:paraId="7FCF9B14" w14:textId="77777777">
      <w:pPr>
        <w:pStyle w:val="ListParagraph"/>
        <w:numPr>
          <w:ilvl w:val="0"/>
          <w:numId w:val="6"/>
        </w:numPr>
        <w:tabs>
          <w:tab w:val="left" w:pos="359"/>
          <w:tab w:val="left" w:pos="362"/>
        </w:tabs>
        <w:spacing w:before="161" w:line="357" w:lineRule="auto"/>
        <w:ind w:left="362" w:right="487"/>
      </w:pPr>
      <w:r>
        <w:rPr>
          <w:w w:val="110"/>
        </w:rPr>
        <w:t>The Committee is concerned by the shift in policy priorities by the Commission, which pushes</w:t>
      </w:r>
      <w:r>
        <w:rPr>
          <w:spacing w:val="-10"/>
          <w:w w:val="110"/>
        </w:rPr>
        <w:t xml:space="preserve"> </w:t>
      </w:r>
      <w:r>
        <w:rPr>
          <w:w w:val="110"/>
        </w:rPr>
        <w:t>the</w:t>
      </w:r>
      <w:r>
        <w:rPr>
          <w:spacing w:val="-9"/>
          <w:w w:val="110"/>
        </w:rPr>
        <w:t xml:space="preserve"> </w:t>
      </w:r>
      <w:r>
        <w:rPr>
          <w:w w:val="110"/>
        </w:rPr>
        <w:t>current</w:t>
      </w:r>
      <w:r>
        <w:rPr>
          <w:spacing w:val="-13"/>
          <w:w w:val="110"/>
        </w:rPr>
        <w:t xml:space="preserve"> </w:t>
      </w:r>
      <w:r>
        <w:rPr>
          <w:w w:val="110"/>
        </w:rPr>
        <w:t>Union</w:t>
      </w:r>
      <w:r>
        <w:rPr>
          <w:spacing w:val="-10"/>
          <w:w w:val="110"/>
        </w:rPr>
        <w:t xml:space="preserve"> </w:t>
      </w:r>
      <w:r>
        <w:rPr>
          <w:w w:val="110"/>
        </w:rPr>
        <w:t>further</w:t>
      </w:r>
      <w:r>
        <w:rPr>
          <w:spacing w:val="-10"/>
          <w:w w:val="110"/>
        </w:rPr>
        <w:t xml:space="preserve"> </w:t>
      </w:r>
      <w:r>
        <w:rPr>
          <w:w w:val="110"/>
        </w:rPr>
        <w:t>and</w:t>
      </w:r>
      <w:r>
        <w:rPr>
          <w:spacing w:val="-13"/>
          <w:w w:val="110"/>
        </w:rPr>
        <w:t xml:space="preserve"> </w:t>
      </w:r>
      <w:r>
        <w:rPr>
          <w:w w:val="110"/>
        </w:rPr>
        <w:t>further</w:t>
      </w:r>
      <w:r>
        <w:rPr>
          <w:spacing w:val="-10"/>
          <w:w w:val="110"/>
        </w:rPr>
        <w:t xml:space="preserve"> </w:t>
      </w:r>
      <w:r>
        <w:rPr>
          <w:w w:val="110"/>
        </w:rPr>
        <w:t>away</w:t>
      </w:r>
      <w:r>
        <w:rPr>
          <w:spacing w:val="-10"/>
          <w:w w:val="110"/>
        </w:rPr>
        <w:t xml:space="preserve"> </w:t>
      </w:r>
      <w:r>
        <w:rPr>
          <w:w w:val="110"/>
        </w:rPr>
        <w:t>from</w:t>
      </w:r>
      <w:r>
        <w:rPr>
          <w:spacing w:val="-10"/>
          <w:w w:val="110"/>
        </w:rPr>
        <w:t xml:space="preserve"> </w:t>
      </w:r>
      <w:r>
        <w:rPr>
          <w:w w:val="110"/>
        </w:rPr>
        <w:t>the</w:t>
      </w:r>
      <w:r>
        <w:rPr>
          <w:spacing w:val="-9"/>
          <w:w w:val="110"/>
        </w:rPr>
        <w:t xml:space="preserve"> </w:t>
      </w:r>
      <w:r>
        <w:rPr>
          <w:w w:val="110"/>
        </w:rPr>
        <w:t>Unions</w:t>
      </w:r>
      <w:r>
        <w:rPr>
          <w:spacing w:val="-11"/>
          <w:w w:val="110"/>
        </w:rPr>
        <w:t xml:space="preserve"> </w:t>
      </w:r>
      <w:r>
        <w:rPr>
          <w:w w:val="110"/>
        </w:rPr>
        <w:t>origins</w:t>
      </w:r>
      <w:r>
        <w:rPr>
          <w:spacing w:val="-10"/>
          <w:w w:val="110"/>
        </w:rPr>
        <w:t xml:space="preserve"> </w:t>
      </w:r>
      <w:r>
        <w:rPr>
          <w:w w:val="110"/>
        </w:rPr>
        <w:t>as</w:t>
      </w:r>
      <w:r>
        <w:rPr>
          <w:spacing w:val="-10"/>
          <w:w w:val="110"/>
        </w:rPr>
        <w:t xml:space="preserve"> </w:t>
      </w:r>
      <w:r>
        <w:rPr>
          <w:w w:val="110"/>
        </w:rPr>
        <w:t>project</w:t>
      </w:r>
      <w:r>
        <w:rPr>
          <w:spacing w:val="-10"/>
          <w:w w:val="110"/>
        </w:rPr>
        <w:t xml:space="preserve"> </w:t>
      </w:r>
      <w:r>
        <w:rPr>
          <w:w w:val="110"/>
        </w:rPr>
        <w:t xml:space="preserve">for </w:t>
      </w:r>
      <w:r>
        <w:rPr>
          <w:spacing w:val="-2"/>
          <w:w w:val="110"/>
        </w:rPr>
        <w:t>peace.</w:t>
      </w:r>
    </w:p>
    <w:p w:rsidR="00B84CED" w:rsidRDefault="00794452" w14:paraId="5A7D4CE5" w14:textId="77777777">
      <w:pPr>
        <w:pStyle w:val="ListParagraph"/>
        <w:numPr>
          <w:ilvl w:val="0"/>
          <w:numId w:val="6"/>
        </w:numPr>
        <w:tabs>
          <w:tab w:val="left" w:pos="359"/>
          <w:tab w:val="left" w:pos="362"/>
        </w:tabs>
        <w:spacing w:before="160" w:line="357" w:lineRule="auto"/>
        <w:ind w:left="362" w:right="982"/>
      </w:pPr>
      <w:r>
        <w:rPr>
          <w:w w:val="110"/>
        </w:rPr>
        <w:t>It</w:t>
      </w:r>
      <w:r>
        <w:rPr>
          <w:spacing w:val="-1"/>
          <w:w w:val="110"/>
        </w:rPr>
        <w:t xml:space="preserve"> </w:t>
      </w:r>
      <w:r>
        <w:rPr>
          <w:w w:val="110"/>
        </w:rPr>
        <w:t>is the</w:t>
      </w:r>
      <w:r>
        <w:rPr>
          <w:spacing w:val="-2"/>
          <w:w w:val="110"/>
        </w:rPr>
        <w:t xml:space="preserve"> </w:t>
      </w:r>
      <w:r>
        <w:rPr>
          <w:w w:val="110"/>
        </w:rPr>
        <w:t>opinion</w:t>
      </w:r>
      <w:r>
        <w:rPr>
          <w:spacing w:val="-3"/>
          <w:w w:val="110"/>
        </w:rPr>
        <w:t xml:space="preserve"> </w:t>
      </w:r>
      <w:r>
        <w:rPr>
          <w:w w:val="110"/>
        </w:rPr>
        <w:t>of the</w:t>
      </w:r>
      <w:r>
        <w:rPr>
          <w:spacing w:val="-2"/>
          <w:w w:val="110"/>
        </w:rPr>
        <w:t xml:space="preserve"> </w:t>
      </w:r>
      <w:r>
        <w:rPr>
          <w:w w:val="110"/>
        </w:rPr>
        <w:t>Committee that</w:t>
      </w:r>
      <w:r>
        <w:rPr>
          <w:spacing w:val="-1"/>
          <w:w w:val="110"/>
        </w:rPr>
        <w:t xml:space="preserve"> </w:t>
      </w:r>
      <w:r>
        <w:rPr>
          <w:w w:val="110"/>
        </w:rPr>
        <w:t>in</w:t>
      </w:r>
      <w:r>
        <w:rPr>
          <w:spacing w:val="-1"/>
          <w:w w:val="110"/>
        </w:rPr>
        <w:t xml:space="preserve"> </w:t>
      </w:r>
      <w:r>
        <w:rPr>
          <w:w w:val="110"/>
        </w:rPr>
        <w:t>legislative files</w:t>
      </w:r>
      <w:r>
        <w:rPr>
          <w:spacing w:val="-5"/>
          <w:w w:val="110"/>
        </w:rPr>
        <w:t xml:space="preserve"> </w:t>
      </w:r>
      <w:r>
        <w:rPr>
          <w:w w:val="110"/>
        </w:rPr>
        <w:t>of</w:t>
      </w:r>
      <w:r>
        <w:rPr>
          <w:spacing w:val="-2"/>
          <w:w w:val="110"/>
        </w:rPr>
        <w:t xml:space="preserve"> </w:t>
      </w:r>
      <w:r>
        <w:rPr>
          <w:w w:val="110"/>
        </w:rPr>
        <w:t>significance</w:t>
      </w:r>
      <w:r>
        <w:rPr>
          <w:spacing w:val="-2"/>
          <w:w w:val="110"/>
        </w:rPr>
        <w:t xml:space="preserve"> </w:t>
      </w:r>
      <w:r>
        <w:rPr>
          <w:w w:val="110"/>
        </w:rPr>
        <w:t>such</w:t>
      </w:r>
      <w:r>
        <w:rPr>
          <w:spacing w:val="-1"/>
          <w:w w:val="110"/>
        </w:rPr>
        <w:t xml:space="preserve"> </w:t>
      </w:r>
      <w:r>
        <w:rPr>
          <w:w w:val="110"/>
        </w:rPr>
        <w:t>as the SAFE Regulation, the ordinary legislative procedure should be used.</w:t>
      </w:r>
    </w:p>
    <w:p w:rsidR="00B84CED" w:rsidRDefault="00794452" w14:paraId="13FBC622" w14:textId="77777777">
      <w:pPr>
        <w:pStyle w:val="ListParagraph"/>
        <w:numPr>
          <w:ilvl w:val="0"/>
          <w:numId w:val="6"/>
        </w:numPr>
        <w:tabs>
          <w:tab w:val="left" w:pos="359"/>
          <w:tab w:val="left" w:pos="362"/>
        </w:tabs>
        <w:spacing w:before="160" w:line="357" w:lineRule="auto"/>
        <w:ind w:left="362" w:right="620"/>
      </w:pPr>
      <w:r>
        <w:rPr>
          <w:w w:val="110"/>
        </w:rPr>
        <w:t>The Committee is concerned that the SAFE programme may be in conflict with Article 29 of Bunreacht Na hÉireann, that affirms Ireland’s military</w:t>
      </w:r>
      <w:r>
        <w:rPr>
          <w:spacing w:val="-1"/>
          <w:w w:val="110"/>
        </w:rPr>
        <w:t xml:space="preserve"> </w:t>
      </w:r>
      <w:r>
        <w:rPr>
          <w:w w:val="110"/>
        </w:rPr>
        <w:t>neutrality.</w:t>
      </w:r>
      <w:r>
        <w:rPr>
          <w:spacing w:val="-1"/>
          <w:w w:val="110"/>
        </w:rPr>
        <w:t xml:space="preserve"> </w:t>
      </w:r>
      <w:r>
        <w:rPr>
          <w:w w:val="110"/>
        </w:rPr>
        <w:t>The Committee further</w:t>
      </w:r>
      <w:r>
        <w:rPr>
          <w:spacing w:val="-5"/>
          <w:w w:val="110"/>
        </w:rPr>
        <w:t xml:space="preserve"> </w:t>
      </w:r>
      <w:r>
        <w:rPr>
          <w:w w:val="110"/>
        </w:rPr>
        <w:t>notes</w:t>
      </w:r>
      <w:r>
        <w:rPr>
          <w:spacing w:val="-5"/>
          <w:w w:val="110"/>
        </w:rPr>
        <w:t xml:space="preserve"> </w:t>
      </w:r>
      <w:r>
        <w:rPr>
          <w:w w:val="110"/>
        </w:rPr>
        <w:t>that</w:t>
      </w:r>
      <w:r>
        <w:rPr>
          <w:spacing w:val="-4"/>
          <w:w w:val="110"/>
        </w:rPr>
        <w:t xml:space="preserve"> </w:t>
      </w:r>
      <w:r>
        <w:rPr>
          <w:w w:val="110"/>
        </w:rPr>
        <w:t>Article</w:t>
      </w:r>
      <w:r>
        <w:rPr>
          <w:spacing w:val="-5"/>
          <w:w w:val="110"/>
        </w:rPr>
        <w:t xml:space="preserve"> </w:t>
      </w:r>
      <w:r>
        <w:rPr>
          <w:w w:val="110"/>
        </w:rPr>
        <w:t>29</w:t>
      </w:r>
      <w:r>
        <w:rPr>
          <w:spacing w:val="-4"/>
          <w:w w:val="110"/>
        </w:rPr>
        <w:t xml:space="preserve"> </w:t>
      </w:r>
      <w:r>
        <w:rPr>
          <w:w w:val="110"/>
        </w:rPr>
        <w:t>commits</w:t>
      </w:r>
      <w:r>
        <w:rPr>
          <w:spacing w:val="-5"/>
          <w:w w:val="110"/>
        </w:rPr>
        <w:t xml:space="preserve"> </w:t>
      </w:r>
      <w:r>
        <w:rPr>
          <w:w w:val="110"/>
        </w:rPr>
        <w:t>Ireland</w:t>
      </w:r>
      <w:r>
        <w:rPr>
          <w:spacing w:val="-4"/>
          <w:w w:val="110"/>
        </w:rPr>
        <w:t xml:space="preserve"> </w:t>
      </w:r>
      <w:r>
        <w:rPr>
          <w:w w:val="110"/>
        </w:rPr>
        <w:t>to</w:t>
      </w:r>
      <w:r>
        <w:rPr>
          <w:spacing w:val="-2"/>
          <w:w w:val="110"/>
        </w:rPr>
        <w:t xml:space="preserve"> </w:t>
      </w:r>
      <w:r>
        <w:rPr>
          <w:w w:val="110"/>
        </w:rPr>
        <w:t>the</w:t>
      </w:r>
      <w:r>
        <w:rPr>
          <w:spacing w:val="-2"/>
          <w:w w:val="110"/>
        </w:rPr>
        <w:t xml:space="preserve"> </w:t>
      </w:r>
      <w:r>
        <w:rPr>
          <w:w w:val="110"/>
        </w:rPr>
        <w:t>‘pacific</w:t>
      </w:r>
      <w:r>
        <w:rPr>
          <w:spacing w:val="-6"/>
          <w:w w:val="110"/>
        </w:rPr>
        <w:t xml:space="preserve"> </w:t>
      </w:r>
      <w:r>
        <w:rPr>
          <w:w w:val="110"/>
        </w:rPr>
        <w:t>settlement</w:t>
      </w:r>
      <w:r>
        <w:rPr>
          <w:spacing w:val="-7"/>
          <w:w w:val="110"/>
        </w:rPr>
        <w:t xml:space="preserve"> </w:t>
      </w:r>
      <w:r>
        <w:rPr>
          <w:w w:val="110"/>
        </w:rPr>
        <w:t>of</w:t>
      </w:r>
      <w:r>
        <w:rPr>
          <w:spacing w:val="-5"/>
          <w:w w:val="110"/>
        </w:rPr>
        <w:t xml:space="preserve"> </w:t>
      </w:r>
      <w:r>
        <w:rPr>
          <w:w w:val="110"/>
        </w:rPr>
        <w:t>international disputes by international arbitration or judicial determination’; within this legislation</w:t>
      </w:r>
    </w:p>
    <w:p w:rsidR="00B84CED" w:rsidRDefault="00B84CED" w14:paraId="3CECD121" w14:textId="77777777">
      <w:pPr>
        <w:pStyle w:val="ListParagraph"/>
        <w:spacing w:line="357" w:lineRule="auto"/>
        <w:sectPr w:rsidR="00B84CED" w:rsidSect="00196DB0">
          <w:footerReference w:type="even" r:id="R12c0b05e00f84d43"/>
          <w:footerReference w:type="first" r:id="R2e0ef8792a4541b6"/>
          <w:headerReference w:type="even" r:id="Rda984cdaf296465f"/>
          <w:headerReference w:type="first" r:id="Rdefa966fbd644cd8"/>
          <w:pgSz w:w="11907" w:h="16839"/>
          <w:pgMar w:top="1134" w:right="1134" w:bottom="1134" w:left="1134" w:header="567" w:footer="567" w:gutter="0"/>
          <w:cols w:space="720"/>
          <w:docGrid w:linePitch="299"/>
        </w:sectPr>
      </w:pPr>
    </w:p>
    <w:p w:rsidR="00B84CED" w:rsidRDefault="00794452" w14:paraId="641FC377" w14:textId="77777777">
      <w:pPr>
        <w:pStyle w:val="BodyText"/>
        <w:spacing w:before="109" w:line="357" w:lineRule="auto"/>
        <w:ind w:left="361"/>
      </w:pPr>
      <w:r>
        <w:rPr>
          <w:w w:val="110"/>
        </w:rPr>
        <w:lastRenderedPageBreak/>
        <w:t>there</w:t>
      </w:r>
      <w:r>
        <w:rPr>
          <w:spacing w:val="-6"/>
          <w:w w:val="110"/>
        </w:rPr>
        <w:t xml:space="preserve"> </w:t>
      </w:r>
      <w:r>
        <w:rPr>
          <w:w w:val="110"/>
        </w:rPr>
        <w:t>is</w:t>
      </w:r>
      <w:r>
        <w:rPr>
          <w:spacing w:val="-6"/>
          <w:w w:val="110"/>
        </w:rPr>
        <w:t xml:space="preserve"> </w:t>
      </w:r>
      <w:r>
        <w:rPr>
          <w:w w:val="110"/>
        </w:rPr>
        <w:t>no</w:t>
      </w:r>
      <w:r>
        <w:rPr>
          <w:spacing w:val="-6"/>
          <w:w w:val="110"/>
        </w:rPr>
        <w:t xml:space="preserve"> </w:t>
      </w:r>
      <w:r>
        <w:rPr>
          <w:w w:val="110"/>
        </w:rPr>
        <w:t>guarantee</w:t>
      </w:r>
      <w:r>
        <w:rPr>
          <w:spacing w:val="-3"/>
          <w:w w:val="110"/>
        </w:rPr>
        <w:t xml:space="preserve"> </w:t>
      </w:r>
      <w:r>
        <w:rPr>
          <w:w w:val="110"/>
        </w:rPr>
        <w:t>that</w:t>
      </w:r>
      <w:r>
        <w:rPr>
          <w:spacing w:val="-5"/>
          <w:w w:val="110"/>
        </w:rPr>
        <w:t xml:space="preserve"> </w:t>
      </w:r>
      <w:r>
        <w:rPr>
          <w:w w:val="110"/>
        </w:rPr>
        <w:t>military</w:t>
      </w:r>
      <w:r>
        <w:rPr>
          <w:spacing w:val="-7"/>
          <w:w w:val="110"/>
        </w:rPr>
        <w:t xml:space="preserve"> </w:t>
      </w:r>
      <w:r>
        <w:rPr>
          <w:w w:val="110"/>
        </w:rPr>
        <w:t>equipment</w:t>
      </w:r>
      <w:r>
        <w:rPr>
          <w:spacing w:val="-5"/>
          <w:w w:val="110"/>
        </w:rPr>
        <w:t xml:space="preserve"> </w:t>
      </w:r>
      <w:r>
        <w:rPr>
          <w:w w:val="110"/>
        </w:rPr>
        <w:t>purchased</w:t>
      </w:r>
      <w:r>
        <w:rPr>
          <w:spacing w:val="-8"/>
          <w:w w:val="110"/>
        </w:rPr>
        <w:t xml:space="preserve"> </w:t>
      </w:r>
      <w:r>
        <w:rPr>
          <w:w w:val="110"/>
        </w:rPr>
        <w:t>with</w:t>
      </w:r>
      <w:r>
        <w:rPr>
          <w:spacing w:val="-5"/>
          <w:w w:val="110"/>
        </w:rPr>
        <w:t xml:space="preserve"> </w:t>
      </w:r>
      <w:r>
        <w:rPr>
          <w:w w:val="110"/>
        </w:rPr>
        <w:t>these</w:t>
      </w:r>
      <w:r>
        <w:rPr>
          <w:spacing w:val="-3"/>
          <w:w w:val="110"/>
        </w:rPr>
        <w:t xml:space="preserve"> </w:t>
      </w:r>
      <w:r>
        <w:rPr>
          <w:w w:val="110"/>
        </w:rPr>
        <w:t>loans</w:t>
      </w:r>
      <w:r>
        <w:rPr>
          <w:spacing w:val="-6"/>
          <w:w w:val="110"/>
        </w:rPr>
        <w:t xml:space="preserve"> </w:t>
      </w:r>
      <w:r>
        <w:rPr>
          <w:w w:val="110"/>
        </w:rPr>
        <w:t>will</w:t>
      </w:r>
      <w:r>
        <w:rPr>
          <w:spacing w:val="-7"/>
          <w:w w:val="110"/>
        </w:rPr>
        <w:t xml:space="preserve"> </w:t>
      </w:r>
      <w:r>
        <w:rPr>
          <w:w w:val="110"/>
        </w:rPr>
        <w:t>be</w:t>
      </w:r>
      <w:r>
        <w:rPr>
          <w:spacing w:val="-3"/>
          <w:w w:val="110"/>
        </w:rPr>
        <w:t xml:space="preserve"> </w:t>
      </w:r>
      <w:r>
        <w:rPr>
          <w:w w:val="110"/>
        </w:rPr>
        <w:t>used</w:t>
      </w:r>
      <w:r>
        <w:rPr>
          <w:spacing w:val="-8"/>
          <w:w w:val="110"/>
        </w:rPr>
        <w:t xml:space="preserve"> </w:t>
      </w:r>
      <w:r>
        <w:rPr>
          <w:w w:val="110"/>
        </w:rPr>
        <w:t>in consistency with these principles.</w:t>
      </w:r>
    </w:p>
    <w:p w:rsidR="00B84CED" w:rsidRDefault="00B84CED" w14:paraId="319A9C53" w14:textId="77777777">
      <w:pPr>
        <w:pStyle w:val="BodyText"/>
        <w:spacing w:before="131"/>
      </w:pPr>
    </w:p>
    <w:p w:rsidR="00B84CED" w:rsidRDefault="00794452" w14:paraId="136BEBCE" w14:textId="77777777">
      <w:pPr>
        <w:pStyle w:val="ListParagraph"/>
        <w:numPr>
          <w:ilvl w:val="0"/>
          <w:numId w:val="6"/>
        </w:numPr>
        <w:tabs>
          <w:tab w:val="left" w:pos="359"/>
          <w:tab w:val="left" w:pos="361"/>
        </w:tabs>
        <w:spacing w:line="357" w:lineRule="auto"/>
        <w:ind w:right="446" w:hanging="360"/>
      </w:pPr>
      <w:r>
        <w:rPr>
          <w:w w:val="110"/>
        </w:rPr>
        <w:t>The Committee is of the opinion that there is a significant conflict between the SAFE Regulation and Ireland’s Cluster Munitions and Anti-Personnel Mines Act, 2008</w:t>
      </w:r>
      <w:hyperlink w:history="1" w:anchor="_bookmark56">
        <w:r>
          <w:rPr>
            <w:w w:val="110"/>
            <w:position w:val="8"/>
            <w:sz w:val="13"/>
          </w:rPr>
          <w:t>35</w:t>
        </w:r>
      </w:hyperlink>
      <w:r>
        <w:rPr>
          <w:w w:val="110"/>
        </w:rPr>
        <w:t>, which prohibits the Irish State from “investing, either directly or indirectly, in the production, stockpiling</w:t>
      </w:r>
      <w:r>
        <w:rPr>
          <w:spacing w:val="-1"/>
          <w:w w:val="110"/>
        </w:rPr>
        <w:t xml:space="preserve"> </w:t>
      </w:r>
      <w:r>
        <w:rPr>
          <w:w w:val="110"/>
        </w:rPr>
        <w:t>or</w:t>
      </w:r>
      <w:r>
        <w:rPr>
          <w:spacing w:val="-1"/>
          <w:w w:val="110"/>
        </w:rPr>
        <w:t xml:space="preserve"> </w:t>
      </w:r>
      <w:r>
        <w:rPr>
          <w:w w:val="110"/>
        </w:rPr>
        <w:t>use</w:t>
      </w:r>
      <w:r>
        <w:rPr>
          <w:spacing w:val="-1"/>
          <w:w w:val="110"/>
        </w:rPr>
        <w:t xml:space="preserve"> </w:t>
      </w:r>
      <w:r>
        <w:rPr>
          <w:w w:val="110"/>
        </w:rPr>
        <w:t>of cluster munitions and</w:t>
      </w:r>
      <w:r>
        <w:rPr>
          <w:spacing w:val="-3"/>
          <w:w w:val="110"/>
        </w:rPr>
        <w:t xml:space="preserve"> </w:t>
      </w:r>
      <w:r>
        <w:rPr>
          <w:w w:val="110"/>
        </w:rPr>
        <w:t>anti-personnel mines”.</w:t>
      </w:r>
      <w:r>
        <w:rPr>
          <w:spacing w:val="-2"/>
          <w:w w:val="110"/>
        </w:rPr>
        <w:t xml:space="preserve"> </w:t>
      </w:r>
      <w:r>
        <w:rPr>
          <w:w w:val="110"/>
        </w:rPr>
        <w:t>The</w:t>
      </w:r>
      <w:r>
        <w:rPr>
          <w:spacing w:val="-1"/>
          <w:w w:val="110"/>
        </w:rPr>
        <w:t xml:space="preserve"> </w:t>
      </w:r>
      <w:r>
        <w:rPr>
          <w:w w:val="110"/>
        </w:rPr>
        <w:t>Committee notes with</w:t>
      </w:r>
      <w:r>
        <w:rPr>
          <w:spacing w:val="-11"/>
          <w:w w:val="110"/>
        </w:rPr>
        <w:t xml:space="preserve"> </w:t>
      </w:r>
      <w:r>
        <w:rPr>
          <w:w w:val="110"/>
        </w:rPr>
        <w:t>concern</w:t>
      </w:r>
      <w:r>
        <w:rPr>
          <w:spacing w:val="-11"/>
          <w:w w:val="110"/>
        </w:rPr>
        <w:t xml:space="preserve"> </w:t>
      </w:r>
      <w:r>
        <w:rPr>
          <w:w w:val="110"/>
        </w:rPr>
        <w:t>the</w:t>
      </w:r>
      <w:r>
        <w:rPr>
          <w:spacing w:val="-11"/>
          <w:w w:val="110"/>
        </w:rPr>
        <w:t xml:space="preserve"> </w:t>
      </w:r>
      <w:r>
        <w:rPr>
          <w:w w:val="110"/>
        </w:rPr>
        <w:t>recent</w:t>
      </w:r>
      <w:r>
        <w:rPr>
          <w:spacing w:val="-12"/>
          <w:w w:val="110"/>
        </w:rPr>
        <w:t xml:space="preserve"> </w:t>
      </w:r>
      <w:r>
        <w:rPr>
          <w:w w:val="110"/>
        </w:rPr>
        <w:t>departure</w:t>
      </w:r>
      <w:r>
        <w:rPr>
          <w:spacing w:val="-9"/>
          <w:w w:val="110"/>
        </w:rPr>
        <w:t xml:space="preserve"> </w:t>
      </w:r>
      <w:r>
        <w:rPr>
          <w:w w:val="110"/>
        </w:rPr>
        <w:t>from</w:t>
      </w:r>
      <w:r>
        <w:rPr>
          <w:spacing w:val="-13"/>
          <w:w w:val="110"/>
        </w:rPr>
        <w:t xml:space="preserve"> </w:t>
      </w:r>
      <w:r>
        <w:rPr>
          <w:w w:val="110"/>
        </w:rPr>
        <w:t>The</w:t>
      </w:r>
      <w:r>
        <w:rPr>
          <w:spacing w:val="-9"/>
          <w:w w:val="110"/>
        </w:rPr>
        <w:t xml:space="preserve"> </w:t>
      </w:r>
      <w:r>
        <w:rPr>
          <w:w w:val="110"/>
        </w:rPr>
        <w:t>Convention</w:t>
      </w:r>
      <w:r>
        <w:rPr>
          <w:spacing w:val="-12"/>
          <w:w w:val="110"/>
        </w:rPr>
        <w:t xml:space="preserve"> </w:t>
      </w:r>
      <w:r>
        <w:rPr>
          <w:w w:val="110"/>
        </w:rPr>
        <w:t>on</w:t>
      </w:r>
      <w:r>
        <w:rPr>
          <w:spacing w:val="-11"/>
          <w:w w:val="110"/>
        </w:rPr>
        <w:t xml:space="preserve"> </w:t>
      </w:r>
      <w:r>
        <w:rPr>
          <w:w w:val="110"/>
        </w:rPr>
        <w:t>Cluster</w:t>
      </w:r>
      <w:r>
        <w:rPr>
          <w:spacing w:val="-11"/>
          <w:w w:val="110"/>
        </w:rPr>
        <w:t xml:space="preserve"> </w:t>
      </w:r>
      <w:r>
        <w:rPr>
          <w:w w:val="110"/>
        </w:rPr>
        <w:t>Munitions</w:t>
      </w:r>
      <w:r>
        <w:rPr>
          <w:spacing w:val="-10"/>
          <w:w w:val="110"/>
        </w:rPr>
        <w:t xml:space="preserve"> </w:t>
      </w:r>
      <w:r>
        <w:rPr>
          <w:w w:val="110"/>
        </w:rPr>
        <w:t>and/or</w:t>
      </w:r>
      <w:r>
        <w:rPr>
          <w:spacing w:val="-10"/>
          <w:w w:val="110"/>
        </w:rPr>
        <w:t xml:space="preserve"> </w:t>
      </w:r>
      <w:r>
        <w:rPr>
          <w:w w:val="110"/>
        </w:rPr>
        <w:t>the Anti-Personnel Mine Ban Convention by several EU states such as Poland, Latvia, Lithuania and Finland. The Committee further highlights the evidence from Commission officials during the meeting of 15 October which confirmed that, if in alignment with national policy, a member state may choose to spend this money on cluster munitions and landmines.</w:t>
      </w:r>
    </w:p>
    <w:p w:rsidR="00B84CED" w:rsidRDefault="00794452" w14:paraId="2E41F489" w14:textId="77777777">
      <w:pPr>
        <w:pStyle w:val="BodyText"/>
        <w:spacing w:before="4" w:line="292" w:lineRule="auto"/>
        <w:ind w:left="361" w:right="591"/>
      </w:pPr>
      <w:r>
        <w:rPr>
          <w:w w:val="110"/>
        </w:rPr>
        <w:t>The Committee therefore believe there is an inherent legal risk that Irelands participation</w:t>
      </w:r>
      <w:r>
        <w:rPr>
          <w:spacing w:val="-8"/>
          <w:w w:val="110"/>
        </w:rPr>
        <w:t xml:space="preserve"> </w:t>
      </w:r>
      <w:r>
        <w:rPr>
          <w:w w:val="110"/>
        </w:rPr>
        <w:t>in</w:t>
      </w:r>
      <w:r>
        <w:rPr>
          <w:spacing w:val="-8"/>
          <w:w w:val="110"/>
        </w:rPr>
        <w:t xml:space="preserve"> </w:t>
      </w:r>
      <w:r>
        <w:rPr>
          <w:w w:val="110"/>
        </w:rPr>
        <w:t>this</w:t>
      </w:r>
      <w:r>
        <w:rPr>
          <w:spacing w:val="-9"/>
          <w:w w:val="110"/>
        </w:rPr>
        <w:t xml:space="preserve"> </w:t>
      </w:r>
      <w:r>
        <w:rPr>
          <w:w w:val="110"/>
        </w:rPr>
        <w:t>mechanism</w:t>
      </w:r>
      <w:r>
        <w:rPr>
          <w:spacing w:val="-8"/>
          <w:w w:val="110"/>
        </w:rPr>
        <w:t xml:space="preserve"> </w:t>
      </w:r>
      <w:r>
        <w:rPr>
          <w:w w:val="110"/>
        </w:rPr>
        <w:t>and</w:t>
      </w:r>
      <w:r>
        <w:rPr>
          <w:spacing w:val="-8"/>
          <w:w w:val="110"/>
        </w:rPr>
        <w:t xml:space="preserve"> </w:t>
      </w:r>
      <w:r>
        <w:rPr>
          <w:w w:val="110"/>
        </w:rPr>
        <w:t>underwriting</w:t>
      </w:r>
      <w:r>
        <w:rPr>
          <w:spacing w:val="-9"/>
          <w:w w:val="110"/>
        </w:rPr>
        <w:t xml:space="preserve"> </w:t>
      </w:r>
      <w:r>
        <w:rPr>
          <w:w w:val="110"/>
        </w:rPr>
        <w:t>of</w:t>
      </w:r>
      <w:r>
        <w:rPr>
          <w:spacing w:val="-9"/>
          <w:w w:val="110"/>
        </w:rPr>
        <w:t xml:space="preserve"> </w:t>
      </w:r>
      <w:r>
        <w:rPr>
          <w:w w:val="110"/>
        </w:rPr>
        <w:t>loans</w:t>
      </w:r>
      <w:r>
        <w:rPr>
          <w:spacing w:val="-7"/>
          <w:w w:val="110"/>
        </w:rPr>
        <w:t xml:space="preserve"> </w:t>
      </w:r>
      <w:r>
        <w:rPr>
          <w:w w:val="110"/>
        </w:rPr>
        <w:t>to</w:t>
      </w:r>
      <w:r>
        <w:rPr>
          <w:spacing w:val="-6"/>
          <w:w w:val="110"/>
        </w:rPr>
        <w:t xml:space="preserve"> </w:t>
      </w:r>
      <w:r>
        <w:rPr>
          <w:w w:val="110"/>
        </w:rPr>
        <w:t>countries</w:t>
      </w:r>
      <w:r>
        <w:rPr>
          <w:spacing w:val="-9"/>
          <w:w w:val="110"/>
        </w:rPr>
        <w:t xml:space="preserve"> </w:t>
      </w:r>
      <w:r>
        <w:rPr>
          <w:w w:val="110"/>
        </w:rPr>
        <w:t>who</w:t>
      </w:r>
      <w:r>
        <w:rPr>
          <w:spacing w:val="-6"/>
          <w:w w:val="110"/>
        </w:rPr>
        <w:t xml:space="preserve"> </w:t>
      </w:r>
      <w:r>
        <w:rPr>
          <w:w w:val="110"/>
        </w:rPr>
        <w:t>use</w:t>
      </w:r>
      <w:r>
        <w:rPr>
          <w:spacing w:val="-6"/>
          <w:w w:val="110"/>
        </w:rPr>
        <w:t xml:space="preserve"> </w:t>
      </w:r>
      <w:r>
        <w:rPr>
          <w:w w:val="110"/>
        </w:rPr>
        <w:t>that money to buy cluster munitions or landmines would be in breach of the 2008 Act.</w:t>
      </w:r>
    </w:p>
    <w:p w:rsidR="00B84CED" w:rsidRDefault="00B84CED" w14:paraId="334EF62D" w14:textId="77777777">
      <w:pPr>
        <w:pStyle w:val="BodyText"/>
        <w:spacing w:before="63"/>
      </w:pPr>
    </w:p>
    <w:p w:rsidR="00B84CED" w:rsidRDefault="00794452" w14:paraId="7746DDFB" w14:textId="77777777">
      <w:pPr>
        <w:pStyle w:val="ListParagraph"/>
        <w:numPr>
          <w:ilvl w:val="0"/>
          <w:numId w:val="6"/>
        </w:numPr>
        <w:tabs>
          <w:tab w:val="left" w:pos="358"/>
          <w:tab w:val="left" w:pos="361"/>
        </w:tabs>
        <w:spacing w:line="357" w:lineRule="auto"/>
        <w:ind w:right="660"/>
      </w:pPr>
      <w:r>
        <w:rPr>
          <w:w w:val="110"/>
        </w:rPr>
        <w:t>The</w:t>
      </w:r>
      <w:r>
        <w:rPr>
          <w:spacing w:val="-4"/>
          <w:w w:val="110"/>
        </w:rPr>
        <w:t xml:space="preserve"> </w:t>
      </w:r>
      <w:r>
        <w:rPr>
          <w:w w:val="110"/>
        </w:rPr>
        <w:t>Committee</w:t>
      </w:r>
      <w:r>
        <w:rPr>
          <w:spacing w:val="-4"/>
          <w:w w:val="110"/>
        </w:rPr>
        <w:t xml:space="preserve"> </w:t>
      </w:r>
      <w:r>
        <w:rPr>
          <w:w w:val="110"/>
        </w:rPr>
        <w:t>opposes</w:t>
      </w:r>
      <w:r>
        <w:rPr>
          <w:spacing w:val="-4"/>
          <w:w w:val="110"/>
        </w:rPr>
        <w:t xml:space="preserve"> </w:t>
      </w:r>
      <w:r>
        <w:rPr>
          <w:w w:val="110"/>
        </w:rPr>
        <w:t>the</w:t>
      </w:r>
      <w:r>
        <w:rPr>
          <w:spacing w:val="-1"/>
          <w:w w:val="110"/>
        </w:rPr>
        <w:t xml:space="preserve"> </w:t>
      </w:r>
      <w:r>
        <w:rPr>
          <w:w w:val="110"/>
        </w:rPr>
        <w:t>use</w:t>
      </w:r>
      <w:r>
        <w:rPr>
          <w:spacing w:val="-4"/>
          <w:w w:val="110"/>
        </w:rPr>
        <w:t xml:space="preserve"> </w:t>
      </w:r>
      <w:r>
        <w:rPr>
          <w:w w:val="110"/>
        </w:rPr>
        <w:t>of</w:t>
      </w:r>
      <w:r>
        <w:rPr>
          <w:spacing w:val="-4"/>
          <w:w w:val="110"/>
        </w:rPr>
        <w:t xml:space="preserve"> </w:t>
      </w:r>
      <w:r>
        <w:rPr>
          <w:w w:val="110"/>
        </w:rPr>
        <w:t>the</w:t>
      </w:r>
      <w:r>
        <w:rPr>
          <w:spacing w:val="-4"/>
          <w:w w:val="110"/>
        </w:rPr>
        <w:t xml:space="preserve"> </w:t>
      </w:r>
      <w:r>
        <w:rPr>
          <w:w w:val="110"/>
        </w:rPr>
        <w:t>EU</w:t>
      </w:r>
      <w:r>
        <w:rPr>
          <w:spacing w:val="-6"/>
          <w:w w:val="110"/>
        </w:rPr>
        <w:t xml:space="preserve"> </w:t>
      </w:r>
      <w:r>
        <w:rPr>
          <w:w w:val="110"/>
        </w:rPr>
        <w:t>general</w:t>
      </w:r>
      <w:r>
        <w:rPr>
          <w:spacing w:val="-2"/>
          <w:w w:val="110"/>
        </w:rPr>
        <w:t xml:space="preserve"> </w:t>
      </w:r>
      <w:r>
        <w:rPr>
          <w:w w:val="110"/>
        </w:rPr>
        <w:t>budget</w:t>
      </w:r>
      <w:r>
        <w:rPr>
          <w:spacing w:val="-6"/>
          <w:w w:val="110"/>
        </w:rPr>
        <w:t xml:space="preserve"> </w:t>
      </w:r>
      <w:r>
        <w:rPr>
          <w:w w:val="110"/>
        </w:rPr>
        <w:t>as</w:t>
      </w:r>
      <w:r>
        <w:rPr>
          <w:spacing w:val="-2"/>
          <w:w w:val="110"/>
        </w:rPr>
        <w:t xml:space="preserve"> </w:t>
      </w:r>
      <w:r>
        <w:rPr>
          <w:w w:val="110"/>
        </w:rPr>
        <w:t>a</w:t>
      </w:r>
      <w:r>
        <w:rPr>
          <w:spacing w:val="-5"/>
          <w:w w:val="110"/>
        </w:rPr>
        <w:t xml:space="preserve"> </w:t>
      </w:r>
      <w:r>
        <w:rPr>
          <w:w w:val="110"/>
        </w:rPr>
        <w:t>guarantee</w:t>
      </w:r>
      <w:r>
        <w:rPr>
          <w:spacing w:val="-4"/>
          <w:w w:val="110"/>
        </w:rPr>
        <w:t xml:space="preserve"> </w:t>
      </w:r>
      <w:r>
        <w:rPr>
          <w:w w:val="110"/>
        </w:rPr>
        <w:t>for</w:t>
      </w:r>
      <w:r>
        <w:rPr>
          <w:spacing w:val="-2"/>
          <w:w w:val="110"/>
        </w:rPr>
        <w:t xml:space="preserve"> </w:t>
      </w:r>
      <w:r>
        <w:rPr>
          <w:w w:val="110"/>
        </w:rPr>
        <w:t>the</w:t>
      </w:r>
      <w:r>
        <w:rPr>
          <w:spacing w:val="-4"/>
          <w:w w:val="110"/>
        </w:rPr>
        <w:t xml:space="preserve"> </w:t>
      </w:r>
      <w:r>
        <w:rPr>
          <w:w w:val="110"/>
        </w:rPr>
        <w:t>loans to be provided under the SAFE Regulation as this stands in contradiction to EU law prohibiting</w:t>
      </w:r>
      <w:r>
        <w:rPr>
          <w:spacing w:val="-2"/>
          <w:w w:val="110"/>
        </w:rPr>
        <w:t xml:space="preserve"> </w:t>
      </w:r>
      <w:r>
        <w:rPr>
          <w:w w:val="110"/>
        </w:rPr>
        <w:t>the</w:t>
      </w:r>
      <w:r>
        <w:rPr>
          <w:spacing w:val="-2"/>
          <w:w w:val="110"/>
        </w:rPr>
        <w:t xml:space="preserve"> </w:t>
      </w:r>
      <w:r>
        <w:rPr>
          <w:w w:val="110"/>
        </w:rPr>
        <w:t>EU</w:t>
      </w:r>
      <w:r>
        <w:rPr>
          <w:spacing w:val="-1"/>
          <w:w w:val="110"/>
        </w:rPr>
        <w:t xml:space="preserve"> </w:t>
      </w:r>
      <w:r>
        <w:rPr>
          <w:w w:val="110"/>
        </w:rPr>
        <w:t>General budget</w:t>
      </w:r>
      <w:r>
        <w:rPr>
          <w:spacing w:val="-4"/>
          <w:w w:val="110"/>
        </w:rPr>
        <w:t xml:space="preserve"> </w:t>
      </w:r>
      <w:r>
        <w:rPr>
          <w:w w:val="110"/>
        </w:rPr>
        <w:t>being used</w:t>
      </w:r>
      <w:r>
        <w:rPr>
          <w:spacing w:val="-1"/>
          <w:w w:val="110"/>
        </w:rPr>
        <w:t xml:space="preserve"> </w:t>
      </w:r>
      <w:r>
        <w:rPr>
          <w:w w:val="110"/>
        </w:rPr>
        <w:t>for</w:t>
      </w:r>
      <w:r>
        <w:rPr>
          <w:spacing w:val="-5"/>
          <w:w w:val="110"/>
        </w:rPr>
        <w:t xml:space="preserve"> </w:t>
      </w:r>
      <w:r>
        <w:rPr>
          <w:w w:val="110"/>
        </w:rPr>
        <w:t>the procurement</w:t>
      </w:r>
      <w:r>
        <w:rPr>
          <w:spacing w:val="-4"/>
          <w:w w:val="110"/>
        </w:rPr>
        <w:t xml:space="preserve"> </w:t>
      </w:r>
      <w:r>
        <w:rPr>
          <w:w w:val="110"/>
        </w:rPr>
        <w:t>of</w:t>
      </w:r>
      <w:r>
        <w:rPr>
          <w:spacing w:val="-2"/>
          <w:w w:val="110"/>
        </w:rPr>
        <w:t xml:space="preserve"> </w:t>
      </w:r>
      <w:r>
        <w:rPr>
          <w:w w:val="110"/>
        </w:rPr>
        <w:t>lethal</w:t>
      </w:r>
      <w:r>
        <w:rPr>
          <w:spacing w:val="-1"/>
          <w:w w:val="110"/>
        </w:rPr>
        <w:t xml:space="preserve"> </w:t>
      </w:r>
      <w:r>
        <w:rPr>
          <w:w w:val="110"/>
        </w:rPr>
        <w:t>weapons. Further,</w:t>
      </w:r>
      <w:r>
        <w:rPr>
          <w:spacing w:val="-5"/>
          <w:w w:val="110"/>
        </w:rPr>
        <w:t xml:space="preserve"> </w:t>
      </w:r>
      <w:r>
        <w:rPr>
          <w:w w:val="110"/>
        </w:rPr>
        <w:t>the</w:t>
      </w:r>
      <w:r>
        <w:rPr>
          <w:spacing w:val="-4"/>
          <w:w w:val="110"/>
        </w:rPr>
        <w:t xml:space="preserve"> </w:t>
      </w:r>
      <w:r>
        <w:rPr>
          <w:w w:val="110"/>
        </w:rPr>
        <w:t>Committee</w:t>
      </w:r>
      <w:r>
        <w:rPr>
          <w:spacing w:val="-4"/>
          <w:w w:val="110"/>
        </w:rPr>
        <w:t xml:space="preserve"> </w:t>
      </w:r>
      <w:r>
        <w:rPr>
          <w:w w:val="110"/>
        </w:rPr>
        <w:t>is</w:t>
      </w:r>
      <w:r>
        <w:rPr>
          <w:spacing w:val="-5"/>
          <w:w w:val="110"/>
        </w:rPr>
        <w:t xml:space="preserve"> </w:t>
      </w:r>
      <w:r>
        <w:rPr>
          <w:w w:val="110"/>
        </w:rPr>
        <w:t>concerned</w:t>
      </w:r>
      <w:r>
        <w:rPr>
          <w:spacing w:val="-6"/>
          <w:w w:val="110"/>
        </w:rPr>
        <w:t xml:space="preserve"> </w:t>
      </w:r>
      <w:r>
        <w:rPr>
          <w:w w:val="110"/>
        </w:rPr>
        <w:t>that</w:t>
      </w:r>
      <w:r>
        <w:rPr>
          <w:spacing w:val="-6"/>
          <w:w w:val="110"/>
        </w:rPr>
        <w:t xml:space="preserve"> </w:t>
      </w:r>
      <w:r>
        <w:rPr>
          <w:w w:val="110"/>
        </w:rPr>
        <w:t>to</w:t>
      </w:r>
      <w:r>
        <w:rPr>
          <w:spacing w:val="-7"/>
          <w:w w:val="110"/>
        </w:rPr>
        <w:t xml:space="preserve"> </w:t>
      </w:r>
      <w:r>
        <w:rPr>
          <w:w w:val="110"/>
        </w:rPr>
        <w:t>repay</w:t>
      </w:r>
      <w:r>
        <w:rPr>
          <w:spacing w:val="-5"/>
          <w:w w:val="110"/>
        </w:rPr>
        <w:t xml:space="preserve"> </w:t>
      </w:r>
      <w:r>
        <w:rPr>
          <w:w w:val="110"/>
        </w:rPr>
        <w:t>such</w:t>
      </w:r>
      <w:r>
        <w:rPr>
          <w:spacing w:val="-6"/>
          <w:w w:val="110"/>
        </w:rPr>
        <w:t xml:space="preserve"> </w:t>
      </w:r>
      <w:r>
        <w:rPr>
          <w:w w:val="110"/>
        </w:rPr>
        <w:t>large</w:t>
      </w:r>
      <w:r>
        <w:rPr>
          <w:spacing w:val="-4"/>
          <w:w w:val="110"/>
        </w:rPr>
        <w:t xml:space="preserve"> </w:t>
      </w:r>
      <w:r>
        <w:rPr>
          <w:w w:val="110"/>
        </w:rPr>
        <w:t>loans,</w:t>
      </w:r>
      <w:r>
        <w:rPr>
          <w:spacing w:val="-8"/>
          <w:w w:val="110"/>
        </w:rPr>
        <w:t xml:space="preserve"> </w:t>
      </w:r>
      <w:r>
        <w:rPr>
          <w:w w:val="110"/>
        </w:rPr>
        <w:t>indebted</w:t>
      </w:r>
      <w:r>
        <w:rPr>
          <w:spacing w:val="-6"/>
          <w:w w:val="110"/>
        </w:rPr>
        <w:t xml:space="preserve"> </w:t>
      </w:r>
      <w:r>
        <w:rPr>
          <w:w w:val="110"/>
        </w:rPr>
        <w:t>member states may be obliged to implement fiscal austerity measures.</w:t>
      </w:r>
    </w:p>
    <w:p w:rsidR="00B84CED" w:rsidRDefault="00B84CED" w14:paraId="74BEEAE1" w14:textId="77777777">
      <w:pPr>
        <w:pStyle w:val="BodyText"/>
        <w:spacing w:before="133"/>
      </w:pPr>
    </w:p>
    <w:p w:rsidR="00B84CED" w:rsidRDefault="00794452" w14:paraId="5B45ADF3" w14:textId="77777777">
      <w:pPr>
        <w:pStyle w:val="ListParagraph"/>
        <w:numPr>
          <w:ilvl w:val="0"/>
          <w:numId w:val="6"/>
        </w:numPr>
        <w:tabs>
          <w:tab w:val="left" w:pos="358"/>
          <w:tab w:val="left" w:pos="361"/>
        </w:tabs>
        <w:spacing w:line="357" w:lineRule="auto"/>
        <w:ind w:right="619"/>
      </w:pPr>
      <w:r>
        <w:rPr>
          <w:w w:val="110"/>
        </w:rPr>
        <w:t>Further,</w:t>
      </w:r>
      <w:r>
        <w:rPr>
          <w:spacing w:val="-3"/>
          <w:w w:val="110"/>
        </w:rPr>
        <w:t xml:space="preserve"> </w:t>
      </w:r>
      <w:r>
        <w:rPr>
          <w:w w:val="110"/>
        </w:rPr>
        <w:t>significant</w:t>
      </w:r>
      <w:r>
        <w:rPr>
          <w:spacing w:val="-1"/>
          <w:w w:val="110"/>
        </w:rPr>
        <w:t xml:space="preserve"> </w:t>
      </w:r>
      <w:r>
        <w:rPr>
          <w:w w:val="110"/>
        </w:rPr>
        <w:t>concerns</w:t>
      </w:r>
      <w:r>
        <w:rPr>
          <w:spacing w:val="-2"/>
          <w:w w:val="110"/>
        </w:rPr>
        <w:t xml:space="preserve"> </w:t>
      </w:r>
      <w:r>
        <w:rPr>
          <w:w w:val="110"/>
        </w:rPr>
        <w:t>arise</w:t>
      </w:r>
      <w:r>
        <w:rPr>
          <w:spacing w:val="-2"/>
          <w:w w:val="110"/>
        </w:rPr>
        <w:t xml:space="preserve"> </w:t>
      </w:r>
      <w:r>
        <w:rPr>
          <w:w w:val="110"/>
        </w:rPr>
        <w:t>with</w:t>
      </w:r>
      <w:r>
        <w:rPr>
          <w:spacing w:val="-1"/>
          <w:w w:val="110"/>
        </w:rPr>
        <w:t xml:space="preserve"> </w:t>
      </w:r>
      <w:r>
        <w:rPr>
          <w:w w:val="110"/>
        </w:rPr>
        <w:t>the lack</w:t>
      </w:r>
      <w:r>
        <w:rPr>
          <w:spacing w:val="-2"/>
          <w:w w:val="110"/>
        </w:rPr>
        <w:t xml:space="preserve"> </w:t>
      </w:r>
      <w:r>
        <w:rPr>
          <w:w w:val="110"/>
        </w:rPr>
        <w:t>of measures to</w:t>
      </w:r>
      <w:r>
        <w:rPr>
          <w:spacing w:val="-2"/>
          <w:w w:val="110"/>
        </w:rPr>
        <w:t xml:space="preserve"> </w:t>
      </w:r>
      <w:r>
        <w:rPr>
          <w:w w:val="110"/>
        </w:rPr>
        <w:t>ensure</w:t>
      </w:r>
      <w:r>
        <w:rPr>
          <w:spacing w:val="-2"/>
          <w:w w:val="110"/>
        </w:rPr>
        <w:t xml:space="preserve"> </w:t>
      </w:r>
      <w:r>
        <w:rPr>
          <w:w w:val="110"/>
        </w:rPr>
        <w:t>transparency</w:t>
      </w:r>
      <w:r>
        <w:rPr>
          <w:spacing w:val="-3"/>
          <w:w w:val="110"/>
        </w:rPr>
        <w:t xml:space="preserve"> </w:t>
      </w:r>
      <w:r>
        <w:rPr>
          <w:w w:val="110"/>
        </w:rPr>
        <w:t>of expenditure. That strong conditionality is not attached to the disbursement of loans secured by the EU general budget is considered unusual in the extreme.</w:t>
      </w:r>
    </w:p>
    <w:p w:rsidR="00B84CED" w:rsidRDefault="00B84CED" w14:paraId="1B2F38FE" w14:textId="77777777">
      <w:pPr>
        <w:pStyle w:val="BodyText"/>
        <w:spacing w:before="131"/>
      </w:pPr>
    </w:p>
    <w:p w:rsidR="00B84CED" w:rsidRDefault="00794452" w14:paraId="7DAA2975" w14:textId="77777777">
      <w:pPr>
        <w:pStyle w:val="ListParagraph"/>
        <w:numPr>
          <w:ilvl w:val="0"/>
          <w:numId w:val="6"/>
        </w:numPr>
        <w:tabs>
          <w:tab w:val="left" w:pos="361"/>
          <w:tab w:val="left" w:pos="411"/>
        </w:tabs>
        <w:spacing w:before="1" w:line="357" w:lineRule="auto"/>
        <w:ind w:right="454"/>
      </w:pPr>
      <w:r>
        <w:rPr>
          <w:w w:val="110"/>
        </w:rPr>
        <w:t>The</w:t>
      </w:r>
      <w:r>
        <w:rPr>
          <w:spacing w:val="40"/>
          <w:w w:val="110"/>
        </w:rPr>
        <w:t xml:space="preserve"> </w:t>
      </w:r>
      <w:r>
        <w:rPr>
          <w:w w:val="110"/>
        </w:rPr>
        <w:t>Committee accepts that strong safeguards related to fraud and financial management are features of the SAFE Regulation but seriously regrets the lack of consideration</w:t>
      </w:r>
      <w:r>
        <w:rPr>
          <w:spacing w:val="-3"/>
          <w:w w:val="110"/>
        </w:rPr>
        <w:t xml:space="preserve"> </w:t>
      </w:r>
      <w:r>
        <w:rPr>
          <w:w w:val="110"/>
        </w:rPr>
        <w:t>towards</w:t>
      </w:r>
      <w:r>
        <w:rPr>
          <w:spacing w:val="-2"/>
          <w:w w:val="110"/>
        </w:rPr>
        <w:t xml:space="preserve"> </w:t>
      </w:r>
      <w:r>
        <w:rPr>
          <w:w w:val="110"/>
        </w:rPr>
        <w:t>issues</w:t>
      </w:r>
      <w:r>
        <w:rPr>
          <w:spacing w:val="-2"/>
          <w:w w:val="110"/>
        </w:rPr>
        <w:t xml:space="preserve"> </w:t>
      </w:r>
      <w:r>
        <w:rPr>
          <w:w w:val="110"/>
        </w:rPr>
        <w:t>of human</w:t>
      </w:r>
      <w:r>
        <w:rPr>
          <w:spacing w:val="-4"/>
          <w:w w:val="110"/>
        </w:rPr>
        <w:t xml:space="preserve"> </w:t>
      </w:r>
      <w:r>
        <w:rPr>
          <w:w w:val="110"/>
        </w:rPr>
        <w:t>rights</w:t>
      </w:r>
      <w:r>
        <w:rPr>
          <w:spacing w:val="-2"/>
          <w:w w:val="110"/>
        </w:rPr>
        <w:t xml:space="preserve"> </w:t>
      </w:r>
      <w:r>
        <w:rPr>
          <w:w w:val="110"/>
        </w:rPr>
        <w:t>norms as</w:t>
      </w:r>
      <w:r>
        <w:rPr>
          <w:spacing w:val="-2"/>
          <w:w w:val="110"/>
        </w:rPr>
        <w:t xml:space="preserve"> </w:t>
      </w:r>
      <w:r>
        <w:rPr>
          <w:w w:val="110"/>
        </w:rPr>
        <w:t>a</w:t>
      </w:r>
      <w:r>
        <w:rPr>
          <w:spacing w:val="-1"/>
          <w:w w:val="110"/>
        </w:rPr>
        <w:t xml:space="preserve"> </w:t>
      </w:r>
      <w:r>
        <w:rPr>
          <w:w w:val="110"/>
        </w:rPr>
        <w:t>feature</w:t>
      </w:r>
      <w:r>
        <w:rPr>
          <w:spacing w:val="-2"/>
          <w:w w:val="110"/>
        </w:rPr>
        <w:t xml:space="preserve"> </w:t>
      </w:r>
      <w:r>
        <w:rPr>
          <w:w w:val="110"/>
        </w:rPr>
        <w:t>of the SAFE Regulation and is concerned about the potential for weaponry produced as a result of the</w:t>
      </w:r>
    </w:p>
    <w:p w:rsidR="00B84CED" w:rsidRDefault="00794452" w14:paraId="04056EC2" w14:textId="77777777">
      <w:pPr>
        <w:pStyle w:val="BodyText"/>
        <w:rPr>
          <w:sz w:val="18"/>
        </w:rPr>
      </w:pPr>
      <w:r>
        <w:rPr>
          <w:noProof/>
          <w:sz w:val="18"/>
        </w:rPr>
        <mc:AlternateContent>
          <mc:Choice Requires="wps">
            <w:drawing>
              <wp:anchor distT="0" distB="0" distL="0" distR="0" simplePos="0" relativeHeight="487597568" behindDoc="1" locked="0" layoutInCell="1" allowOverlap="1" wp14:editId="0EFD70FF" wp14:anchorId="574862A6">
                <wp:simplePos x="0" y="0"/>
                <wp:positionH relativeFrom="page">
                  <wp:posOffset>900683</wp:posOffset>
                </wp:positionH>
                <wp:positionV relativeFrom="paragraph">
                  <wp:posOffset>155127</wp:posOffset>
                </wp:positionV>
                <wp:extent cx="1828800" cy="9525"/>
                <wp:effectExtent l="0" t="0" r="0" b="0"/>
                <wp:wrapTopAndBottom/>
                <wp:docPr id="21"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18" style="position:absolute;margin-left:70.9pt;margin-top:12.2pt;width:2in;height:.75pt;z-index:-15718912;visibility:visible;mso-wrap-style:square;mso-wrap-distance-left:0;mso-wrap-distance-top:0;mso-wrap-distance-right:0;mso-wrap-distance-bottom:0;mso-position-horizontal:absolute;mso-position-horizontal-relative:page;mso-position-vertical:absolute;mso-position-vertical-relative:text;v-text-anchor:top" coordsize="1828800,9525" o:spid="_x0000_s1026" fillcolor="black" stroked="f" path="m1828800,l,,,9143r1828800,l1828800,xe" w14:anchorId="270695E4">
                <v:path arrowok="t"/>
                <w10:wrap type="topAndBottom" anchorx="page"/>
              </v:shape>
            </w:pict>
          </mc:Fallback>
        </mc:AlternateContent>
      </w:r>
    </w:p>
    <w:p w:rsidR="00B84CED" w:rsidRDefault="00B84CED" w14:paraId="5F76C8B0" w14:textId="77777777">
      <w:pPr>
        <w:pStyle w:val="BodyText"/>
        <w:spacing w:before="23"/>
        <w:rPr>
          <w:sz w:val="16"/>
        </w:rPr>
      </w:pPr>
    </w:p>
    <w:p w:rsidR="00B84CED" w:rsidRDefault="00794452" w14:paraId="6AFDFB53" w14:textId="77777777">
      <w:pPr>
        <w:ind w:left="219"/>
        <w:rPr>
          <w:sz w:val="16"/>
        </w:rPr>
      </w:pPr>
      <w:bookmarkStart w:name="_bookmark56" w:id="86"/>
      <w:bookmarkEnd w:id="86"/>
      <w:r>
        <w:rPr>
          <w:w w:val="110"/>
          <w:position w:val="8"/>
          <w:sz w:val="13"/>
        </w:rPr>
        <w:t>35</w:t>
      </w:r>
      <w:r>
        <w:rPr>
          <w:spacing w:val="13"/>
          <w:w w:val="110"/>
          <w:position w:val="8"/>
          <w:sz w:val="13"/>
        </w:rPr>
        <w:t xml:space="preserve"> </w:t>
      </w:r>
      <w:hyperlink r:id="rId56">
        <w:r>
          <w:rPr>
            <w:color w:val="0000FF"/>
            <w:w w:val="110"/>
            <w:sz w:val="16"/>
            <w:u w:val="single" w:color="0000FF"/>
          </w:rPr>
          <w:t>Cluster</w:t>
        </w:r>
        <w:r>
          <w:rPr>
            <w:color w:val="0000FF"/>
            <w:spacing w:val="-5"/>
            <w:w w:val="110"/>
            <w:sz w:val="16"/>
            <w:u w:val="single" w:color="0000FF"/>
          </w:rPr>
          <w:t xml:space="preserve"> </w:t>
        </w:r>
        <w:r>
          <w:rPr>
            <w:color w:val="0000FF"/>
            <w:w w:val="110"/>
            <w:sz w:val="16"/>
            <w:u w:val="single" w:color="0000FF"/>
          </w:rPr>
          <w:t>Munitions</w:t>
        </w:r>
        <w:r>
          <w:rPr>
            <w:color w:val="0000FF"/>
            <w:spacing w:val="-8"/>
            <w:w w:val="110"/>
            <w:sz w:val="16"/>
            <w:u w:val="single" w:color="0000FF"/>
          </w:rPr>
          <w:t xml:space="preserve"> </w:t>
        </w:r>
        <w:r>
          <w:rPr>
            <w:color w:val="0000FF"/>
            <w:w w:val="110"/>
            <w:sz w:val="16"/>
            <w:u w:val="single" w:color="0000FF"/>
          </w:rPr>
          <w:t>And</w:t>
        </w:r>
        <w:r>
          <w:rPr>
            <w:color w:val="0000FF"/>
            <w:spacing w:val="-7"/>
            <w:w w:val="110"/>
            <w:sz w:val="16"/>
            <w:u w:val="single" w:color="0000FF"/>
          </w:rPr>
          <w:t xml:space="preserve"> </w:t>
        </w:r>
        <w:r>
          <w:rPr>
            <w:color w:val="0000FF"/>
            <w:w w:val="110"/>
            <w:sz w:val="16"/>
            <w:u w:val="single" w:color="0000FF"/>
          </w:rPr>
          <w:t>Anti-Personnel</w:t>
        </w:r>
        <w:r>
          <w:rPr>
            <w:color w:val="0000FF"/>
            <w:spacing w:val="-7"/>
            <w:w w:val="110"/>
            <w:sz w:val="16"/>
            <w:u w:val="single" w:color="0000FF"/>
          </w:rPr>
          <w:t xml:space="preserve"> </w:t>
        </w:r>
        <w:r>
          <w:rPr>
            <w:color w:val="0000FF"/>
            <w:w w:val="110"/>
            <w:sz w:val="16"/>
            <w:u w:val="single" w:color="0000FF"/>
          </w:rPr>
          <w:t>Mines</w:t>
        </w:r>
        <w:r>
          <w:rPr>
            <w:color w:val="0000FF"/>
            <w:spacing w:val="-8"/>
            <w:w w:val="110"/>
            <w:sz w:val="16"/>
            <w:u w:val="single" w:color="0000FF"/>
          </w:rPr>
          <w:t xml:space="preserve"> </w:t>
        </w:r>
        <w:r>
          <w:rPr>
            <w:color w:val="0000FF"/>
            <w:w w:val="110"/>
            <w:sz w:val="16"/>
            <w:u w:val="single" w:color="0000FF"/>
          </w:rPr>
          <w:t>Act</w:t>
        </w:r>
        <w:r>
          <w:rPr>
            <w:color w:val="0000FF"/>
            <w:spacing w:val="-5"/>
            <w:w w:val="110"/>
            <w:sz w:val="16"/>
            <w:u w:val="single" w:color="0000FF"/>
          </w:rPr>
          <w:t xml:space="preserve"> </w:t>
        </w:r>
        <w:r>
          <w:rPr>
            <w:color w:val="0000FF"/>
            <w:spacing w:val="-4"/>
            <w:w w:val="110"/>
            <w:sz w:val="16"/>
            <w:u w:val="single" w:color="0000FF"/>
          </w:rPr>
          <w:t>2008</w:t>
        </w:r>
      </w:hyperlink>
    </w:p>
    <w:p w:rsidR="00B84CED" w:rsidRDefault="00B84CED" w14:paraId="2C9F94DE" w14:textId="77777777">
      <w:pPr>
        <w:rPr>
          <w:sz w:val="16"/>
        </w:rPr>
        <w:sectPr w:rsidR="00B84CED" w:rsidSect="00196DB0">
          <w:footerReference w:type="even" r:id="R7463ca5bdb114546"/>
          <w:footerReference w:type="first" r:id="Rdbbe6bf9aa954774"/>
          <w:headerReference w:type="even" r:id="R01161e80a2514011"/>
          <w:headerReference w:type="first" r:id="R7074a4da42034a7f"/>
          <w:pgSz w:w="11907" w:h="16839"/>
          <w:pgMar w:top="1134" w:right="1134" w:bottom="1134" w:left="1134" w:header="567" w:footer="567" w:gutter="0"/>
          <w:cols w:space="720"/>
          <w:docGrid w:linePitch="299"/>
        </w:sectPr>
      </w:pPr>
    </w:p>
    <w:p w:rsidR="00B84CED" w:rsidRDefault="00794452" w14:paraId="011EC9EA" w14:textId="77777777">
      <w:pPr>
        <w:pStyle w:val="BodyText"/>
        <w:spacing w:before="109" w:line="357" w:lineRule="auto"/>
        <w:ind w:left="361" w:right="591"/>
      </w:pPr>
      <w:r>
        <w:rPr>
          <w:w w:val="110"/>
        </w:rPr>
        <w:lastRenderedPageBreak/>
        <w:t>Regulation</w:t>
      </w:r>
      <w:r>
        <w:rPr>
          <w:spacing w:val="-6"/>
          <w:w w:val="110"/>
        </w:rPr>
        <w:t xml:space="preserve"> </w:t>
      </w:r>
      <w:r>
        <w:rPr>
          <w:w w:val="110"/>
        </w:rPr>
        <w:t>to</w:t>
      </w:r>
      <w:r>
        <w:rPr>
          <w:spacing w:val="-5"/>
          <w:w w:val="110"/>
        </w:rPr>
        <w:t xml:space="preserve"> </w:t>
      </w:r>
      <w:r>
        <w:rPr>
          <w:w w:val="110"/>
        </w:rPr>
        <w:t>find</w:t>
      </w:r>
      <w:r>
        <w:rPr>
          <w:spacing w:val="-4"/>
          <w:w w:val="110"/>
        </w:rPr>
        <w:t xml:space="preserve"> </w:t>
      </w:r>
      <w:r>
        <w:rPr>
          <w:w w:val="110"/>
        </w:rPr>
        <w:t>its</w:t>
      </w:r>
      <w:r>
        <w:rPr>
          <w:spacing w:val="-5"/>
          <w:w w:val="110"/>
        </w:rPr>
        <w:t xml:space="preserve"> </w:t>
      </w:r>
      <w:r>
        <w:rPr>
          <w:w w:val="110"/>
        </w:rPr>
        <w:t>way</w:t>
      </w:r>
      <w:r>
        <w:rPr>
          <w:spacing w:val="-3"/>
          <w:w w:val="110"/>
        </w:rPr>
        <w:t xml:space="preserve"> </w:t>
      </w:r>
      <w:r>
        <w:rPr>
          <w:w w:val="110"/>
        </w:rPr>
        <w:t>to</w:t>
      </w:r>
      <w:r>
        <w:rPr>
          <w:spacing w:val="-2"/>
          <w:w w:val="110"/>
        </w:rPr>
        <w:t xml:space="preserve"> </w:t>
      </w:r>
      <w:r>
        <w:rPr>
          <w:w w:val="110"/>
        </w:rPr>
        <w:t>third</w:t>
      </w:r>
      <w:r>
        <w:rPr>
          <w:spacing w:val="-4"/>
          <w:w w:val="110"/>
        </w:rPr>
        <w:t xml:space="preserve"> </w:t>
      </w:r>
      <w:r>
        <w:rPr>
          <w:w w:val="110"/>
        </w:rPr>
        <w:t>countries</w:t>
      </w:r>
      <w:r>
        <w:rPr>
          <w:spacing w:val="-3"/>
          <w:w w:val="110"/>
        </w:rPr>
        <w:t xml:space="preserve"> </w:t>
      </w:r>
      <w:r>
        <w:rPr>
          <w:w w:val="110"/>
        </w:rPr>
        <w:t>including</w:t>
      </w:r>
      <w:r>
        <w:rPr>
          <w:spacing w:val="-2"/>
          <w:w w:val="110"/>
        </w:rPr>
        <w:t xml:space="preserve"> </w:t>
      </w:r>
      <w:r>
        <w:rPr>
          <w:w w:val="110"/>
        </w:rPr>
        <w:t>Israel</w:t>
      </w:r>
      <w:r>
        <w:rPr>
          <w:spacing w:val="-4"/>
          <w:w w:val="110"/>
        </w:rPr>
        <w:t xml:space="preserve"> </w:t>
      </w:r>
      <w:r>
        <w:rPr>
          <w:w w:val="110"/>
        </w:rPr>
        <w:t>that</w:t>
      </w:r>
      <w:r>
        <w:rPr>
          <w:spacing w:val="-4"/>
          <w:w w:val="110"/>
        </w:rPr>
        <w:t xml:space="preserve"> </w:t>
      </w:r>
      <w:r>
        <w:rPr>
          <w:w w:val="110"/>
        </w:rPr>
        <w:t>could</w:t>
      </w:r>
      <w:r>
        <w:rPr>
          <w:spacing w:val="-4"/>
          <w:w w:val="110"/>
        </w:rPr>
        <w:t xml:space="preserve"> </w:t>
      </w:r>
      <w:r>
        <w:rPr>
          <w:w w:val="110"/>
        </w:rPr>
        <w:t>potentially</w:t>
      </w:r>
      <w:r>
        <w:rPr>
          <w:spacing w:val="-3"/>
          <w:w w:val="110"/>
        </w:rPr>
        <w:t xml:space="preserve"> </w:t>
      </w:r>
      <w:r>
        <w:rPr>
          <w:w w:val="110"/>
        </w:rPr>
        <w:t>be used in the ongoing genocide against the Palestinian people.</w:t>
      </w:r>
    </w:p>
    <w:p w:rsidR="00B84CED" w:rsidRDefault="00B84CED" w14:paraId="1534D181" w14:textId="77777777">
      <w:pPr>
        <w:pStyle w:val="BodyText"/>
        <w:spacing w:before="131"/>
      </w:pPr>
    </w:p>
    <w:p w:rsidR="00B84CED" w:rsidRDefault="00794452" w14:paraId="2655FDE2" w14:textId="77777777">
      <w:pPr>
        <w:pStyle w:val="ListParagraph"/>
        <w:numPr>
          <w:ilvl w:val="0"/>
          <w:numId w:val="6"/>
        </w:numPr>
        <w:tabs>
          <w:tab w:val="left" w:pos="361"/>
          <w:tab w:val="left" w:pos="411"/>
        </w:tabs>
        <w:spacing w:line="357" w:lineRule="auto"/>
        <w:ind w:right="520"/>
      </w:pPr>
      <w:r>
        <w:rPr>
          <w:w w:val="110"/>
        </w:rPr>
        <w:t>The</w:t>
      </w:r>
      <w:r>
        <w:rPr>
          <w:spacing w:val="40"/>
          <w:w w:val="110"/>
        </w:rPr>
        <w:t xml:space="preserve"> </w:t>
      </w:r>
      <w:r>
        <w:rPr>
          <w:w w:val="110"/>
        </w:rPr>
        <w:t>Committee is also concerned that the SAFE mechanism will facilitate a significant increase of military expenditure by countries who are found to be in breach of the Charter</w:t>
      </w:r>
      <w:r>
        <w:rPr>
          <w:spacing w:val="-2"/>
          <w:w w:val="110"/>
        </w:rPr>
        <w:t xml:space="preserve"> </w:t>
      </w:r>
      <w:r>
        <w:rPr>
          <w:w w:val="110"/>
        </w:rPr>
        <w:t>of Fundamental</w:t>
      </w:r>
      <w:r>
        <w:rPr>
          <w:spacing w:val="-3"/>
          <w:w w:val="110"/>
        </w:rPr>
        <w:t xml:space="preserve"> </w:t>
      </w:r>
      <w:r>
        <w:rPr>
          <w:w w:val="110"/>
        </w:rPr>
        <w:t>Rights</w:t>
      </w:r>
      <w:r>
        <w:rPr>
          <w:spacing w:val="-2"/>
          <w:w w:val="110"/>
        </w:rPr>
        <w:t xml:space="preserve"> </w:t>
      </w:r>
      <w:r>
        <w:rPr>
          <w:w w:val="110"/>
        </w:rPr>
        <w:t>and</w:t>
      </w:r>
      <w:r>
        <w:rPr>
          <w:spacing w:val="-1"/>
          <w:w w:val="110"/>
        </w:rPr>
        <w:t xml:space="preserve"> </w:t>
      </w:r>
      <w:r>
        <w:rPr>
          <w:w w:val="110"/>
        </w:rPr>
        <w:t>involved</w:t>
      </w:r>
      <w:r>
        <w:rPr>
          <w:spacing w:val="-1"/>
          <w:w w:val="110"/>
        </w:rPr>
        <w:t xml:space="preserve"> </w:t>
      </w:r>
      <w:r>
        <w:rPr>
          <w:w w:val="110"/>
        </w:rPr>
        <w:t>in</w:t>
      </w:r>
      <w:r>
        <w:rPr>
          <w:spacing w:val="-1"/>
          <w:w w:val="110"/>
        </w:rPr>
        <w:t xml:space="preserve"> </w:t>
      </w:r>
      <w:r>
        <w:rPr>
          <w:w w:val="110"/>
        </w:rPr>
        <w:t>the suppression</w:t>
      </w:r>
      <w:r>
        <w:rPr>
          <w:spacing w:val="-3"/>
          <w:w w:val="110"/>
        </w:rPr>
        <w:t xml:space="preserve"> </w:t>
      </w:r>
      <w:r>
        <w:rPr>
          <w:w w:val="110"/>
        </w:rPr>
        <w:t>of civil</w:t>
      </w:r>
      <w:r>
        <w:rPr>
          <w:spacing w:val="-3"/>
          <w:w w:val="110"/>
        </w:rPr>
        <w:t xml:space="preserve"> </w:t>
      </w:r>
      <w:r>
        <w:rPr>
          <w:w w:val="110"/>
        </w:rPr>
        <w:t>society.</w:t>
      </w:r>
      <w:r>
        <w:rPr>
          <w:spacing w:val="-1"/>
          <w:w w:val="110"/>
        </w:rPr>
        <w:t xml:space="preserve"> </w:t>
      </w:r>
      <w:r>
        <w:rPr>
          <w:w w:val="110"/>
        </w:rPr>
        <w:t>We</w:t>
      </w:r>
      <w:r>
        <w:rPr>
          <w:spacing w:val="-2"/>
          <w:w w:val="110"/>
        </w:rPr>
        <w:t xml:space="preserve"> </w:t>
      </w:r>
      <w:r>
        <w:rPr>
          <w:w w:val="110"/>
        </w:rPr>
        <w:t>note that the potential for a shift towards authoritarianism is some EU member states represents</w:t>
      </w:r>
      <w:r>
        <w:rPr>
          <w:spacing w:val="-5"/>
          <w:w w:val="110"/>
        </w:rPr>
        <w:t xml:space="preserve"> </w:t>
      </w:r>
      <w:r>
        <w:rPr>
          <w:w w:val="110"/>
        </w:rPr>
        <w:t>its</w:t>
      </w:r>
      <w:r>
        <w:rPr>
          <w:spacing w:val="-7"/>
          <w:w w:val="110"/>
        </w:rPr>
        <w:t xml:space="preserve"> </w:t>
      </w:r>
      <w:r>
        <w:rPr>
          <w:w w:val="110"/>
        </w:rPr>
        <w:t>own</w:t>
      </w:r>
      <w:r>
        <w:rPr>
          <w:spacing w:val="-7"/>
          <w:w w:val="110"/>
        </w:rPr>
        <w:t xml:space="preserve"> </w:t>
      </w:r>
      <w:r>
        <w:rPr>
          <w:w w:val="110"/>
        </w:rPr>
        <w:t>security</w:t>
      </w:r>
      <w:r>
        <w:rPr>
          <w:spacing w:val="-5"/>
          <w:w w:val="110"/>
        </w:rPr>
        <w:t xml:space="preserve"> </w:t>
      </w:r>
      <w:r>
        <w:rPr>
          <w:w w:val="110"/>
        </w:rPr>
        <w:t>risks</w:t>
      </w:r>
      <w:r>
        <w:rPr>
          <w:spacing w:val="-7"/>
          <w:w w:val="110"/>
        </w:rPr>
        <w:t xml:space="preserve"> </w:t>
      </w:r>
      <w:r>
        <w:rPr>
          <w:w w:val="110"/>
        </w:rPr>
        <w:t>and</w:t>
      </w:r>
      <w:r>
        <w:rPr>
          <w:spacing w:val="-6"/>
          <w:w w:val="110"/>
        </w:rPr>
        <w:t xml:space="preserve"> </w:t>
      </w:r>
      <w:r>
        <w:rPr>
          <w:w w:val="110"/>
        </w:rPr>
        <w:t>question</w:t>
      </w:r>
      <w:r>
        <w:rPr>
          <w:spacing w:val="-7"/>
          <w:w w:val="110"/>
        </w:rPr>
        <w:t xml:space="preserve"> </w:t>
      </w:r>
      <w:r>
        <w:rPr>
          <w:w w:val="110"/>
        </w:rPr>
        <w:t>whether</w:t>
      </w:r>
      <w:r>
        <w:rPr>
          <w:spacing w:val="-7"/>
          <w:w w:val="110"/>
        </w:rPr>
        <w:t xml:space="preserve"> </w:t>
      </w:r>
      <w:r>
        <w:rPr>
          <w:w w:val="110"/>
        </w:rPr>
        <w:t>prioritising</w:t>
      </w:r>
      <w:r>
        <w:rPr>
          <w:spacing w:val="-4"/>
          <w:w w:val="110"/>
        </w:rPr>
        <w:t xml:space="preserve"> </w:t>
      </w:r>
      <w:r>
        <w:rPr>
          <w:w w:val="110"/>
        </w:rPr>
        <w:t>and</w:t>
      </w:r>
      <w:r>
        <w:rPr>
          <w:spacing w:val="-8"/>
          <w:w w:val="110"/>
        </w:rPr>
        <w:t xml:space="preserve"> </w:t>
      </w:r>
      <w:r>
        <w:rPr>
          <w:w w:val="110"/>
        </w:rPr>
        <w:t>underwriting</w:t>
      </w:r>
      <w:r>
        <w:rPr>
          <w:spacing w:val="-7"/>
          <w:w w:val="110"/>
        </w:rPr>
        <w:t xml:space="preserve"> </w:t>
      </w:r>
      <w:r>
        <w:rPr>
          <w:w w:val="110"/>
        </w:rPr>
        <w:t>the military strength of such states is a wise or appropriate step.</w:t>
      </w:r>
    </w:p>
    <w:p w:rsidR="00B84CED" w:rsidRDefault="00B84CED" w14:paraId="4BF99909" w14:textId="77777777">
      <w:pPr>
        <w:pStyle w:val="BodyText"/>
        <w:spacing w:before="133"/>
      </w:pPr>
    </w:p>
    <w:p w:rsidR="00B84CED" w:rsidRDefault="00794452" w14:paraId="4170CCDE" w14:textId="77777777">
      <w:pPr>
        <w:pStyle w:val="ListParagraph"/>
        <w:numPr>
          <w:ilvl w:val="0"/>
          <w:numId w:val="6"/>
        </w:numPr>
        <w:tabs>
          <w:tab w:val="left" w:pos="358"/>
          <w:tab w:val="left" w:pos="361"/>
        </w:tabs>
        <w:spacing w:line="357" w:lineRule="auto"/>
        <w:ind w:right="506"/>
      </w:pPr>
      <w:r>
        <w:rPr>
          <w:w w:val="110"/>
        </w:rPr>
        <w:t>The notes concern in relation to the legality of the SAFE programme, and how it may potentially breach Article 41(2) of the Treaty on European Union (TEU) which prohibits ‘expenditure</w:t>
      </w:r>
      <w:r>
        <w:rPr>
          <w:spacing w:val="-9"/>
          <w:w w:val="110"/>
        </w:rPr>
        <w:t xml:space="preserve"> </w:t>
      </w:r>
      <w:r>
        <w:rPr>
          <w:w w:val="110"/>
        </w:rPr>
        <w:t>arising</w:t>
      </w:r>
      <w:r>
        <w:rPr>
          <w:spacing w:val="-9"/>
          <w:w w:val="110"/>
        </w:rPr>
        <w:t xml:space="preserve"> </w:t>
      </w:r>
      <w:r>
        <w:rPr>
          <w:w w:val="110"/>
        </w:rPr>
        <w:t>from</w:t>
      </w:r>
      <w:r>
        <w:rPr>
          <w:spacing w:val="-8"/>
          <w:w w:val="110"/>
        </w:rPr>
        <w:t xml:space="preserve"> </w:t>
      </w:r>
      <w:r>
        <w:rPr>
          <w:w w:val="110"/>
        </w:rPr>
        <w:t>operations</w:t>
      </w:r>
      <w:r>
        <w:rPr>
          <w:spacing w:val="-7"/>
          <w:w w:val="110"/>
        </w:rPr>
        <w:t xml:space="preserve"> </w:t>
      </w:r>
      <w:r>
        <w:rPr>
          <w:w w:val="110"/>
        </w:rPr>
        <w:t>having</w:t>
      </w:r>
      <w:r>
        <w:rPr>
          <w:spacing w:val="-6"/>
          <w:w w:val="110"/>
        </w:rPr>
        <w:t xml:space="preserve"> </w:t>
      </w:r>
      <w:r>
        <w:rPr>
          <w:w w:val="110"/>
        </w:rPr>
        <w:t>military</w:t>
      </w:r>
      <w:r>
        <w:rPr>
          <w:spacing w:val="-10"/>
          <w:w w:val="110"/>
        </w:rPr>
        <w:t xml:space="preserve"> </w:t>
      </w:r>
      <w:r>
        <w:rPr>
          <w:w w:val="110"/>
        </w:rPr>
        <w:t>or</w:t>
      </w:r>
      <w:r>
        <w:rPr>
          <w:spacing w:val="-7"/>
          <w:w w:val="110"/>
        </w:rPr>
        <w:t xml:space="preserve"> </w:t>
      </w:r>
      <w:r>
        <w:rPr>
          <w:w w:val="110"/>
        </w:rPr>
        <w:t>defence</w:t>
      </w:r>
      <w:r>
        <w:rPr>
          <w:spacing w:val="-9"/>
          <w:w w:val="110"/>
        </w:rPr>
        <w:t xml:space="preserve"> </w:t>
      </w:r>
      <w:r>
        <w:rPr>
          <w:w w:val="110"/>
        </w:rPr>
        <w:t>implications'</w:t>
      </w:r>
      <w:r>
        <w:rPr>
          <w:spacing w:val="-8"/>
          <w:w w:val="110"/>
        </w:rPr>
        <w:t xml:space="preserve"> </w:t>
      </w:r>
      <w:r>
        <w:rPr>
          <w:w w:val="110"/>
        </w:rPr>
        <w:t>from</w:t>
      </w:r>
      <w:r>
        <w:rPr>
          <w:spacing w:val="-11"/>
          <w:w w:val="110"/>
        </w:rPr>
        <w:t xml:space="preserve"> </w:t>
      </w:r>
      <w:r>
        <w:rPr>
          <w:w w:val="110"/>
        </w:rPr>
        <w:t>being charged to the EU budget.</w:t>
      </w:r>
    </w:p>
    <w:p w:rsidR="00B84CED" w:rsidRDefault="00B84CED" w14:paraId="1F7033AC" w14:textId="77777777">
      <w:pPr>
        <w:pStyle w:val="BodyText"/>
        <w:spacing w:before="132"/>
      </w:pPr>
    </w:p>
    <w:p w:rsidR="00B84CED" w:rsidRDefault="00794452" w14:paraId="2E7B0ADA" w14:textId="77777777">
      <w:pPr>
        <w:pStyle w:val="ListParagraph"/>
        <w:numPr>
          <w:ilvl w:val="0"/>
          <w:numId w:val="6"/>
        </w:numPr>
        <w:tabs>
          <w:tab w:val="left" w:pos="359"/>
          <w:tab w:val="left" w:pos="362"/>
        </w:tabs>
        <w:spacing w:line="357" w:lineRule="auto"/>
        <w:ind w:left="362" w:right="470"/>
      </w:pPr>
      <w:r>
        <w:rPr>
          <w:w w:val="110"/>
        </w:rPr>
        <w:t>The Committee is deeply concerned by the provisions within the SAFE measure which allow states to spend up to 35% of the value of loans received on components from third countries without any safeguards in relation to human rights concerns arising in those</w:t>
      </w:r>
      <w:r>
        <w:rPr>
          <w:spacing w:val="-6"/>
          <w:w w:val="110"/>
        </w:rPr>
        <w:t xml:space="preserve"> </w:t>
      </w:r>
      <w:r>
        <w:rPr>
          <w:w w:val="110"/>
        </w:rPr>
        <w:t>countries.</w:t>
      </w:r>
      <w:r>
        <w:rPr>
          <w:spacing w:val="-5"/>
          <w:w w:val="110"/>
        </w:rPr>
        <w:t xml:space="preserve"> </w:t>
      </w:r>
      <w:r>
        <w:rPr>
          <w:w w:val="110"/>
        </w:rPr>
        <w:t>We</w:t>
      </w:r>
      <w:r>
        <w:rPr>
          <w:spacing w:val="-3"/>
          <w:w w:val="110"/>
        </w:rPr>
        <w:t xml:space="preserve"> </w:t>
      </w:r>
      <w:r>
        <w:rPr>
          <w:w w:val="110"/>
        </w:rPr>
        <w:t>note</w:t>
      </w:r>
      <w:r>
        <w:rPr>
          <w:spacing w:val="-3"/>
          <w:w w:val="110"/>
        </w:rPr>
        <w:t xml:space="preserve"> </w:t>
      </w:r>
      <w:r>
        <w:rPr>
          <w:w w:val="110"/>
        </w:rPr>
        <w:t>for</w:t>
      </w:r>
      <w:r>
        <w:rPr>
          <w:spacing w:val="-6"/>
          <w:w w:val="110"/>
        </w:rPr>
        <w:t xml:space="preserve"> </w:t>
      </w:r>
      <w:r>
        <w:rPr>
          <w:w w:val="110"/>
        </w:rPr>
        <w:t>example</w:t>
      </w:r>
      <w:r>
        <w:rPr>
          <w:spacing w:val="-3"/>
          <w:w w:val="110"/>
        </w:rPr>
        <w:t xml:space="preserve"> </w:t>
      </w:r>
      <w:r>
        <w:rPr>
          <w:w w:val="110"/>
        </w:rPr>
        <w:t>the</w:t>
      </w:r>
      <w:r>
        <w:rPr>
          <w:spacing w:val="-6"/>
          <w:w w:val="110"/>
        </w:rPr>
        <w:t xml:space="preserve"> </w:t>
      </w:r>
      <w:r>
        <w:rPr>
          <w:w w:val="110"/>
        </w:rPr>
        <w:t>risk</w:t>
      </w:r>
      <w:r>
        <w:rPr>
          <w:spacing w:val="-6"/>
          <w:w w:val="110"/>
        </w:rPr>
        <w:t xml:space="preserve"> </w:t>
      </w:r>
      <w:r>
        <w:rPr>
          <w:w w:val="110"/>
        </w:rPr>
        <w:t>that</w:t>
      </w:r>
      <w:r>
        <w:rPr>
          <w:spacing w:val="-5"/>
          <w:w w:val="110"/>
        </w:rPr>
        <w:t xml:space="preserve"> </w:t>
      </w:r>
      <w:r>
        <w:rPr>
          <w:w w:val="110"/>
        </w:rPr>
        <w:t>these</w:t>
      </w:r>
      <w:r>
        <w:rPr>
          <w:spacing w:val="-3"/>
          <w:w w:val="110"/>
        </w:rPr>
        <w:t xml:space="preserve"> </w:t>
      </w:r>
      <w:r>
        <w:rPr>
          <w:w w:val="110"/>
        </w:rPr>
        <w:t>funds</w:t>
      </w:r>
      <w:r>
        <w:rPr>
          <w:spacing w:val="-6"/>
          <w:w w:val="110"/>
        </w:rPr>
        <w:t xml:space="preserve"> </w:t>
      </w:r>
      <w:r>
        <w:rPr>
          <w:w w:val="110"/>
        </w:rPr>
        <w:t>may</w:t>
      </w:r>
      <w:r>
        <w:rPr>
          <w:spacing w:val="-4"/>
          <w:w w:val="110"/>
        </w:rPr>
        <w:t xml:space="preserve"> </w:t>
      </w:r>
      <w:r>
        <w:rPr>
          <w:w w:val="110"/>
        </w:rPr>
        <w:t>be</w:t>
      </w:r>
      <w:r>
        <w:rPr>
          <w:spacing w:val="-3"/>
          <w:w w:val="110"/>
        </w:rPr>
        <w:t xml:space="preserve"> </w:t>
      </w:r>
      <w:r>
        <w:rPr>
          <w:w w:val="110"/>
        </w:rPr>
        <w:t>used</w:t>
      </w:r>
      <w:r>
        <w:rPr>
          <w:spacing w:val="-5"/>
          <w:w w:val="110"/>
        </w:rPr>
        <w:t xml:space="preserve"> </w:t>
      </w:r>
      <w:r>
        <w:rPr>
          <w:w w:val="110"/>
        </w:rPr>
        <w:t>to</w:t>
      </w:r>
      <w:r>
        <w:rPr>
          <w:spacing w:val="-3"/>
          <w:w w:val="110"/>
        </w:rPr>
        <w:t xml:space="preserve"> </w:t>
      </w:r>
      <w:r>
        <w:rPr>
          <w:w w:val="110"/>
        </w:rPr>
        <w:t>purchase military components from Israel which have been developed or ‘tested’ through war-</w:t>
      </w:r>
      <w:r>
        <w:rPr>
          <w:spacing w:val="-2"/>
          <w:w w:val="110"/>
        </w:rPr>
        <w:t>crimes.</w:t>
      </w:r>
    </w:p>
    <w:p w:rsidR="00B84CED" w:rsidRDefault="00B84CED" w14:paraId="415C1DF8" w14:textId="77777777">
      <w:pPr>
        <w:pStyle w:val="BodyText"/>
        <w:spacing w:before="134"/>
      </w:pPr>
    </w:p>
    <w:p w:rsidR="00B84CED" w:rsidRDefault="00794452" w14:paraId="05F68598" w14:textId="77777777">
      <w:pPr>
        <w:pStyle w:val="ListParagraph"/>
        <w:numPr>
          <w:ilvl w:val="0"/>
          <w:numId w:val="6"/>
        </w:numPr>
        <w:tabs>
          <w:tab w:val="left" w:pos="359"/>
          <w:tab w:val="left" w:pos="362"/>
        </w:tabs>
        <w:spacing w:line="357" w:lineRule="auto"/>
        <w:ind w:left="362" w:right="468"/>
      </w:pPr>
      <w:r>
        <w:rPr>
          <w:w w:val="110"/>
        </w:rPr>
        <w:t>The Committee is concerned by the inequitable and potentially negative economic effects of this mechanism on the Union as a whole, as investment is redirected away from broader regional investment spread across all member states, into an industry dominated</w:t>
      </w:r>
      <w:r>
        <w:rPr>
          <w:spacing w:val="-7"/>
          <w:w w:val="110"/>
        </w:rPr>
        <w:t xml:space="preserve"> </w:t>
      </w:r>
      <w:r>
        <w:rPr>
          <w:w w:val="110"/>
        </w:rPr>
        <w:t>by</w:t>
      </w:r>
      <w:r>
        <w:rPr>
          <w:spacing w:val="-8"/>
          <w:w w:val="110"/>
        </w:rPr>
        <w:t xml:space="preserve"> </w:t>
      </w:r>
      <w:r>
        <w:rPr>
          <w:w w:val="110"/>
        </w:rPr>
        <w:t>a</w:t>
      </w:r>
      <w:r>
        <w:rPr>
          <w:spacing w:val="-7"/>
          <w:w w:val="110"/>
        </w:rPr>
        <w:t xml:space="preserve"> </w:t>
      </w:r>
      <w:r>
        <w:rPr>
          <w:w w:val="110"/>
        </w:rPr>
        <w:t>handful</w:t>
      </w:r>
      <w:r>
        <w:rPr>
          <w:spacing w:val="-8"/>
          <w:w w:val="110"/>
        </w:rPr>
        <w:t xml:space="preserve"> </w:t>
      </w:r>
      <w:r>
        <w:rPr>
          <w:w w:val="110"/>
        </w:rPr>
        <w:t>of</w:t>
      </w:r>
      <w:r>
        <w:rPr>
          <w:spacing w:val="-6"/>
          <w:w w:val="110"/>
        </w:rPr>
        <w:t xml:space="preserve"> </w:t>
      </w:r>
      <w:r>
        <w:rPr>
          <w:w w:val="110"/>
        </w:rPr>
        <w:t>larger</w:t>
      </w:r>
      <w:r>
        <w:rPr>
          <w:spacing w:val="-8"/>
          <w:w w:val="110"/>
        </w:rPr>
        <w:t xml:space="preserve"> </w:t>
      </w:r>
      <w:r>
        <w:rPr>
          <w:w w:val="110"/>
        </w:rPr>
        <w:t>member</w:t>
      </w:r>
      <w:r>
        <w:rPr>
          <w:spacing w:val="-8"/>
          <w:w w:val="110"/>
        </w:rPr>
        <w:t xml:space="preserve"> </w:t>
      </w:r>
      <w:r>
        <w:rPr>
          <w:w w:val="110"/>
        </w:rPr>
        <w:t>states.</w:t>
      </w:r>
      <w:r>
        <w:rPr>
          <w:spacing w:val="-8"/>
          <w:w w:val="110"/>
        </w:rPr>
        <w:t xml:space="preserve"> </w:t>
      </w:r>
      <w:r>
        <w:rPr>
          <w:w w:val="110"/>
        </w:rPr>
        <w:t>The</w:t>
      </w:r>
      <w:r>
        <w:rPr>
          <w:spacing w:val="-5"/>
          <w:w w:val="110"/>
        </w:rPr>
        <w:t xml:space="preserve"> </w:t>
      </w:r>
      <w:r>
        <w:rPr>
          <w:w w:val="110"/>
        </w:rPr>
        <w:t>Committee</w:t>
      </w:r>
      <w:r>
        <w:rPr>
          <w:spacing w:val="-5"/>
          <w:w w:val="110"/>
        </w:rPr>
        <w:t xml:space="preserve"> </w:t>
      </w:r>
      <w:r>
        <w:rPr>
          <w:w w:val="110"/>
        </w:rPr>
        <w:t>further</w:t>
      </w:r>
      <w:r>
        <w:rPr>
          <w:spacing w:val="-10"/>
          <w:w w:val="110"/>
        </w:rPr>
        <w:t xml:space="preserve"> </w:t>
      </w:r>
      <w:r>
        <w:rPr>
          <w:w w:val="110"/>
        </w:rPr>
        <w:t>notes</w:t>
      </w:r>
      <w:r>
        <w:rPr>
          <w:spacing w:val="-8"/>
          <w:w w:val="110"/>
        </w:rPr>
        <w:t xml:space="preserve"> </w:t>
      </w:r>
      <w:r>
        <w:rPr>
          <w:w w:val="110"/>
        </w:rPr>
        <w:t>evidence that defence spending of this type has a very limited scope for economic growth and return on investment.</w:t>
      </w:r>
    </w:p>
    <w:p w:rsidR="00B84CED" w:rsidRDefault="00B84CED" w14:paraId="5D6FCB2B" w14:textId="77777777">
      <w:pPr>
        <w:pStyle w:val="BodyText"/>
        <w:spacing w:before="133"/>
      </w:pPr>
    </w:p>
    <w:p w:rsidR="00B84CED" w:rsidRDefault="00794452" w14:paraId="24D21E3E" w14:textId="77777777">
      <w:pPr>
        <w:pStyle w:val="ListParagraph"/>
        <w:numPr>
          <w:ilvl w:val="0"/>
          <w:numId w:val="6"/>
        </w:numPr>
        <w:tabs>
          <w:tab w:val="left" w:pos="359"/>
          <w:tab w:val="left" w:pos="362"/>
        </w:tabs>
        <w:spacing w:line="357" w:lineRule="auto"/>
        <w:ind w:left="362" w:right="667"/>
      </w:pPr>
      <w:r>
        <w:rPr>
          <w:w w:val="110"/>
        </w:rPr>
        <w:t>The</w:t>
      </w:r>
      <w:r>
        <w:rPr>
          <w:spacing w:val="-5"/>
          <w:w w:val="110"/>
        </w:rPr>
        <w:t xml:space="preserve"> </w:t>
      </w:r>
      <w:r>
        <w:rPr>
          <w:w w:val="110"/>
        </w:rPr>
        <w:t>Committee</w:t>
      </w:r>
      <w:r>
        <w:rPr>
          <w:spacing w:val="-5"/>
          <w:w w:val="110"/>
        </w:rPr>
        <w:t xml:space="preserve"> </w:t>
      </w:r>
      <w:r>
        <w:rPr>
          <w:w w:val="110"/>
        </w:rPr>
        <w:t>notes</w:t>
      </w:r>
      <w:r>
        <w:rPr>
          <w:spacing w:val="-3"/>
          <w:w w:val="110"/>
        </w:rPr>
        <w:t xml:space="preserve"> </w:t>
      </w:r>
      <w:r>
        <w:rPr>
          <w:w w:val="110"/>
        </w:rPr>
        <w:t>that</w:t>
      </w:r>
      <w:r>
        <w:rPr>
          <w:spacing w:val="-4"/>
          <w:w w:val="110"/>
        </w:rPr>
        <w:t xml:space="preserve"> </w:t>
      </w:r>
      <w:r>
        <w:rPr>
          <w:w w:val="110"/>
        </w:rPr>
        <w:t>as</w:t>
      </w:r>
      <w:r>
        <w:rPr>
          <w:spacing w:val="-3"/>
          <w:w w:val="110"/>
        </w:rPr>
        <w:t xml:space="preserve"> </w:t>
      </w:r>
      <w:r>
        <w:rPr>
          <w:w w:val="110"/>
        </w:rPr>
        <w:t>a</w:t>
      </w:r>
      <w:r>
        <w:rPr>
          <w:spacing w:val="-4"/>
          <w:w w:val="110"/>
        </w:rPr>
        <w:t xml:space="preserve"> </w:t>
      </w:r>
      <w:r>
        <w:rPr>
          <w:w w:val="110"/>
        </w:rPr>
        <w:t>neutral</w:t>
      </w:r>
      <w:r>
        <w:rPr>
          <w:spacing w:val="-6"/>
          <w:w w:val="110"/>
        </w:rPr>
        <w:t xml:space="preserve"> </w:t>
      </w:r>
      <w:r>
        <w:rPr>
          <w:w w:val="110"/>
        </w:rPr>
        <w:t>country,</w:t>
      </w:r>
      <w:r>
        <w:rPr>
          <w:spacing w:val="-4"/>
          <w:w w:val="110"/>
        </w:rPr>
        <w:t xml:space="preserve"> </w:t>
      </w:r>
      <w:r>
        <w:rPr>
          <w:w w:val="110"/>
        </w:rPr>
        <w:t>there</w:t>
      </w:r>
      <w:r>
        <w:rPr>
          <w:spacing w:val="-2"/>
          <w:w w:val="110"/>
        </w:rPr>
        <w:t xml:space="preserve"> </w:t>
      </w:r>
      <w:r>
        <w:rPr>
          <w:w w:val="110"/>
        </w:rPr>
        <w:t>are</w:t>
      </w:r>
      <w:r>
        <w:rPr>
          <w:spacing w:val="-2"/>
          <w:w w:val="110"/>
        </w:rPr>
        <w:t xml:space="preserve"> </w:t>
      </w:r>
      <w:r>
        <w:rPr>
          <w:w w:val="110"/>
        </w:rPr>
        <w:t>concerns</w:t>
      </w:r>
      <w:r>
        <w:rPr>
          <w:spacing w:val="-3"/>
          <w:w w:val="110"/>
        </w:rPr>
        <w:t xml:space="preserve"> </w:t>
      </w:r>
      <w:r>
        <w:rPr>
          <w:w w:val="110"/>
        </w:rPr>
        <w:t>that</w:t>
      </w:r>
      <w:r>
        <w:rPr>
          <w:spacing w:val="-6"/>
          <w:w w:val="110"/>
        </w:rPr>
        <w:t xml:space="preserve"> </w:t>
      </w:r>
      <w:r>
        <w:rPr>
          <w:w w:val="110"/>
        </w:rPr>
        <w:t>Ireland</w:t>
      </w:r>
      <w:r>
        <w:rPr>
          <w:spacing w:val="-7"/>
          <w:w w:val="110"/>
        </w:rPr>
        <w:t xml:space="preserve"> </w:t>
      </w:r>
      <w:r>
        <w:rPr>
          <w:w w:val="110"/>
        </w:rPr>
        <w:t>will</w:t>
      </w:r>
      <w:r>
        <w:rPr>
          <w:spacing w:val="-4"/>
          <w:w w:val="110"/>
        </w:rPr>
        <w:t xml:space="preserve"> </w:t>
      </w:r>
      <w:r>
        <w:rPr>
          <w:w w:val="110"/>
        </w:rPr>
        <w:t>be contributing to the procurement of, and the underwriting of loans for weapons and military hardware that may be inconsistent with that stated neutral position.</w:t>
      </w:r>
    </w:p>
    <w:p w:rsidR="00B84CED" w:rsidRDefault="00B84CED" w14:paraId="2BDF0066" w14:textId="77777777">
      <w:pPr>
        <w:pStyle w:val="ListParagraph"/>
        <w:spacing w:line="357" w:lineRule="auto"/>
        <w:sectPr w:rsidR="00B84CED" w:rsidSect="00196DB0">
          <w:footerReference w:type="even" r:id="R2bcd36204edd40c1"/>
          <w:footerReference w:type="first" r:id="R58a85d79f321401c"/>
          <w:headerReference w:type="even" r:id="R38d413e4bcbf46db"/>
          <w:headerReference w:type="first" r:id="R872ab638c2824e41"/>
          <w:pgSz w:w="11907" w:h="16839"/>
          <w:pgMar w:top="1134" w:right="1134" w:bottom="1134" w:left="1134" w:header="567" w:footer="567" w:gutter="0"/>
          <w:cols w:space="720"/>
          <w:docGrid w:linePitch="299"/>
        </w:sectPr>
      </w:pPr>
    </w:p>
    <w:p w:rsidR="00B84CED" w:rsidRDefault="00794452" w14:paraId="251F14A9" w14:textId="77777777">
      <w:pPr>
        <w:pStyle w:val="ListParagraph"/>
        <w:numPr>
          <w:ilvl w:val="0"/>
          <w:numId w:val="6"/>
        </w:numPr>
        <w:tabs>
          <w:tab w:val="left" w:pos="361"/>
          <w:tab w:val="left" w:pos="411"/>
        </w:tabs>
        <w:spacing w:before="109" w:line="357" w:lineRule="auto"/>
        <w:ind w:right="710"/>
      </w:pPr>
      <w:r>
        <w:rPr>
          <w:w w:val="110"/>
        </w:rPr>
        <w:lastRenderedPageBreak/>
        <w:t>The</w:t>
      </w:r>
      <w:r>
        <w:rPr>
          <w:spacing w:val="40"/>
          <w:w w:val="110"/>
        </w:rPr>
        <w:t xml:space="preserve"> </w:t>
      </w:r>
      <w:r>
        <w:rPr>
          <w:w w:val="110"/>
        </w:rPr>
        <w:t>Committee recognises the overwhelming value of social cohesion to a peaceful Europe,</w:t>
      </w:r>
      <w:r>
        <w:rPr>
          <w:spacing w:val="-8"/>
          <w:w w:val="110"/>
        </w:rPr>
        <w:t xml:space="preserve"> </w:t>
      </w:r>
      <w:r>
        <w:rPr>
          <w:w w:val="110"/>
        </w:rPr>
        <w:t>noting</w:t>
      </w:r>
      <w:r>
        <w:rPr>
          <w:spacing w:val="-9"/>
          <w:w w:val="110"/>
        </w:rPr>
        <w:t xml:space="preserve"> </w:t>
      </w:r>
      <w:r>
        <w:rPr>
          <w:w w:val="110"/>
        </w:rPr>
        <w:t>our</w:t>
      </w:r>
      <w:r>
        <w:rPr>
          <w:spacing w:val="-9"/>
          <w:w w:val="110"/>
        </w:rPr>
        <w:t xml:space="preserve"> </w:t>
      </w:r>
      <w:r>
        <w:rPr>
          <w:w w:val="110"/>
        </w:rPr>
        <w:t>own</w:t>
      </w:r>
      <w:r>
        <w:rPr>
          <w:spacing w:val="-12"/>
          <w:w w:val="110"/>
        </w:rPr>
        <w:t xml:space="preserve"> </w:t>
      </w:r>
      <w:r>
        <w:rPr>
          <w:w w:val="110"/>
        </w:rPr>
        <w:t>history</w:t>
      </w:r>
      <w:r>
        <w:rPr>
          <w:spacing w:val="-10"/>
          <w:w w:val="110"/>
        </w:rPr>
        <w:t xml:space="preserve"> </w:t>
      </w:r>
      <w:r>
        <w:rPr>
          <w:w w:val="110"/>
        </w:rPr>
        <w:t>and</w:t>
      </w:r>
      <w:r>
        <w:rPr>
          <w:spacing w:val="-8"/>
          <w:w w:val="110"/>
        </w:rPr>
        <w:t xml:space="preserve"> </w:t>
      </w:r>
      <w:r>
        <w:rPr>
          <w:w w:val="110"/>
        </w:rPr>
        <w:t>the</w:t>
      </w:r>
      <w:r>
        <w:rPr>
          <w:spacing w:val="-9"/>
          <w:w w:val="110"/>
        </w:rPr>
        <w:t xml:space="preserve"> </w:t>
      </w:r>
      <w:r>
        <w:rPr>
          <w:w w:val="110"/>
        </w:rPr>
        <w:t>contributions</w:t>
      </w:r>
      <w:r>
        <w:rPr>
          <w:spacing w:val="-7"/>
          <w:w w:val="110"/>
        </w:rPr>
        <w:t xml:space="preserve"> </w:t>
      </w:r>
      <w:r>
        <w:rPr>
          <w:w w:val="110"/>
        </w:rPr>
        <w:t>that</w:t>
      </w:r>
      <w:r>
        <w:rPr>
          <w:spacing w:val="-10"/>
          <w:w w:val="110"/>
        </w:rPr>
        <w:t xml:space="preserve"> </w:t>
      </w:r>
      <w:r>
        <w:rPr>
          <w:w w:val="110"/>
        </w:rPr>
        <w:t>social</w:t>
      </w:r>
      <w:r>
        <w:rPr>
          <w:spacing w:val="-10"/>
          <w:w w:val="110"/>
        </w:rPr>
        <w:t xml:space="preserve"> </w:t>
      </w:r>
      <w:r>
        <w:rPr>
          <w:w w:val="110"/>
        </w:rPr>
        <w:t>cohesion</w:t>
      </w:r>
      <w:r>
        <w:rPr>
          <w:spacing w:val="-10"/>
          <w:w w:val="110"/>
        </w:rPr>
        <w:t xml:space="preserve"> </w:t>
      </w:r>
      <w:r>
        <w:rPr>
          <w:w w:val="110"/>
        </w:rPr>
        <w:t>funding</w:t>
      </w:r>
      <w:r>
        <w:rPr>
          <w:spacing w:val="-6"/>
          <w:w w:val="110"/>
        </w:rPr>
        <w:t xml:space="preserve"> </w:t>
      </w:r>
      <w:r>
        <w:rPr>
          <w:w w:val="110"/>
        </w:rPr>
        <w:t>and the involvement of the EU has made to peaceful and prosperous communities in Ireland. The Committee believes that the effects of the dilution of social cohesion funding will be felt the hardest those communities shaped by conflict.</w:t>
      </w:r>
    </w:p>
    <w:p w:rsidR="00B84CED" w:rsidRDefault="00B84CED" w14:paraId="34685570" w14:textId="77777777">
      <w:pPr>
        <w:pStyle w:val="ListParagraph"/>
        <w:spacing w:line="357" w:lineRule="auto"/>
        <w:sectPr w:rsidR="00B84CED" w:rsidSect="00196DB0">
          <w:footerReference w:type="even" r:id="R799f0612f3444b76"/>
          <w:footerReference w:type="first" r:id="R98ea5322ca1c4242"/>
          <w:headerReference w:type="even" r:id="R3fa7649cdd9044f0"/>
          <w:headerReference w:type="first" r:id="Rda785ad46b324fda"/>
          <w:pgSz w:w="11907" w:h="16839"/>
          <w:pgMar w:top="1134" w:right="1134" w:bottom="1134" w:left="1134" w:header="567" w:footer="567" w:gutter="0"/>
          <w:cols w:space="720"/>
          <w:docGrid w:linePitch="299"/>
        </w:sectPr>
      </w:pPr>
    </w:p>
    <w:p w:rsidR="00B84CED" w:rsidRDefault="00794452" w14:paraId="21A26C73" w14:textId="77777777">
      <w:pPr>
        <w:pStyle w:val="Heading1"/>
        <w:spacing w:before="95"/>
      </w:pPr>
      <w:bookmarkStart w:name="Appendix_A:_Links_to_submissions_from_Pu" w:id="87"/>
      <w:bookmarkEnd w:id="87"/>
      <w:r>
        <w:rPr>
          <w:color w:val="395C66"/>
        </w:rPr>
        <w:lastRenderedPageBreak/>
        <w:t>Appendix</w:t>
      </w:r>
      <w:r>
        <w:rPr>
          <w:color w:val="395C66"/>
          <w:spacing w:val="-13"/>
        </w:rPr>
        <w:t xml:space="preserve"> </w:t>
      </w:r>
      <w:r>
        <w:rPr>
          <w:color w:val="395C66"/>
        </w:rPr>
        <w:t>A:</w:t>
      </w:r>
      <w:r>
        <w:rPr>
          <w:color w:val="395C66"/>
          <w:spacing w:val="-12"/>
        </w:rPr>
        <w:t xml:space="preserve"> </w:t>
      </w:r>
      <w:r>
        <w:rPr>
          <w:color w:val="395C66"/>
        </w:rPr>
        <w:t>Links</w:t>
      </w:r>
      <w:r>
        <w:rPr>
          <w:color w:val="395C66"/>
          <w:spacing w:val="-12"/>
        </w:rPr>
        <w:t xml:space="preserve"> </w:t>
      </w:r>
      <w:r>
        <w:rPr>
          <w:color w:val="395C66"/>
        </w:rPr>
        <w:t>to</w:t>
      </w:r>
      <w:r>
        <w:rPr>
          <w:color w:val="395C66"/>
          <w:spacing w:val="-14"/>
        </w:rPr>
        <w:t xml:space="preserve"> </w:t>
      </w:r>
      <w:r>
        <w:rPr>
          <w:color w:val="395C66"/>
        </w:rPr>
        <w:t>submissions</w:t>
      </w:r>
      <w:r>
        <w:rPr>
          <w:color w:val="395C66"/>
          <w:spacing w:val="-14"/>
        </w:rPr>
        <w:t xml:space="preserve"> </w:t>
      </w:r>
      <w:r>
        <w:rPr>
          <w:color w:val="395C66"/>
        </w:rPr>
        <w:t>from</w:t>
      </w:r>
      <w:r>
        <w:rPr>
          <w:color w:val="395C66"/>
          <w:spacing w:val="-16"/>
        </w:rPr>
        <w:t xml:space="preserve"> </w:t>
      </w:r>
      <w:r>
        <w:rPr>
          <w:color w:val="395C66"/>
        </w:rPr>
        <w:t>Public</w:t>
      </w:r>
      <w:r>
        <w:rPr>
          <w:color w:val="395C66"/>
          <w:spacing w:val="-13"/>
        </w:rPr>
        <w:t xml:space="preserve"> </w:t>
      </w:r>
      <w:r>
        <w:rPr>
          <w:color w:val="395C66"/>
          <w:spacing w:val="-2"/>
        </w:rPr>
        <w:t>Consultation</w:t>
      </w:r>
    </w:p>
    <w:p w:rsidR="00B84CED" w:rsidRDefault="00794452" w14:paraId="6F274B8B" w14:textId="77777777">
      <w:pPr>
        <w:pStyle w:val="ListParagraph"/>
        <w:numPr>
          <w:ilvl w:val="1"/>
          <w:numId w:val="6"/>
        </w:numPr>
        <w:tabs>
          <w:tab w:val="left" w:pos="939"/>
        </w:tabs>
        <w:spacing w:before="145" w:line="376" w:lineRule="auto"/>
        <w:ind w:right="1293"/>
      </w:pPr>
      <w:r>
        <w:rPr>
          <w:w w:val="110"/>
        </w:rPr>
        <w:t>Submission</w:t>
      </w:r>
      <w:r>
        <w:rPr>
          <w:spacing w:val="-1"/>
          <w:w w:val="110"/>
        </w:rPr>
        <w:t xml:space="preserve"> </w:t>
      </w:r>
      <w:r>
        <w:rPr>
          <w:w w:val="110"/>
        </w:rPr>
        <w:t>received from Centre of Full Employment and Equity</w:t>
      </w:r>
      <w:r>
        <w:rPr>
          <w:spacing w:val="-1"/>
          <w:w w:val="110"/>
        </w:rPr>
        <w:t xml:space="preserve"> </w:t>
      </w:r>
      <w:r>
        <w:rPr>
          <w:w w:val="110"/>
        </w:rPr>
        <w:t xml:space="preserve">(CofFEE) available </w:t>
      </w:r>
      <w:hyperlink r:id="rId57">
        <w:r>
          <w:rPr>
            <w:color w:val="0000FF"/>
            <w:w w:val="110"/>
            <w:u w:val="single" w:color="0000FF"/>
          </w:rPr>
          <w:t>here</w:t>
        </w:r>
      </w:hyperlink>
    </w:p>
    <w:p w:rsidR="00B84CED" w:rsidRDefault="00794452" w14:paraId="518A168C" w14:textId="77777777">
      <w:pPr>
        <w:pStyle w:val="ListParagraph"/>
        <w:numPr>
          <w:ilvl w:val="1"/>
          <w:numId w:val="6"/>
        </w:numPr>
        <w:tabs>
          <w:tab w:val="left" w:pos="939"/>
        </w:tabs>
        <w:spacing w:before="1"/>
        <w:ind w:hanging="362"/>
      </w:pPr>
      <w:r>
        <w:rPr>
          <w:w w:val="110"/>
        </w:rPr>
        <w:t>Submission</w:t>
      </w:r>
      <w:r>
        <w:rPr>
          <w:spacing w:val="-7"/>
          <w:w w:val="110"/>
        </w:rPr>
        <w:t xml:space="preserve"> </w:t>
      </w:r>
      <w:r>
        <w:rPr>
          <w:w w:val="110"/>
        </w:rPr>
        <w:t>received</w:t>
      </w:r>
      <w:r>
        <w:rPr>
          <w:spacing w:val="-4"/>
          <w:w w:val="110"/>
        </w:rPr>
        <w:t xml:space="preserve"> </w:t>
      </w:r>
      <w:r>
        <w:rPr>
          <w:w w:val="110"/>
        </w:rPr>
        <w:t>from</w:t>
      </w:r>
      <w:r>
        <w:rPr>
          <w:spacing w:val="-5"/>
          <w:w w:val="110"/>
        </w:rPr>
        <w:t xml:space="preserve"> </w:t>
      </w:r>
      <w:r>
        <w:rPr>
          <w:w w:val="110"/>
        </w:rPr>
        <w:t>Clare</w:t>
      </w:r>
      <w:r>
        <w:rPr>
          <w:spacing w:val="-3"/>
          <w:w w:val="110"/>
        </w:rPr>
        <w:t xml:space="preserve"> </w:t>
      </w:r>
      <w:r>
        <w:rPr>
          <w:w w:val="110"/>
        </w:rPr>
        <w:t>Daly</w:t>
      </w:r>
      <w:r>
        <w:rPr>
          <w:spacing w:val="-3"/>
          <w:w w:val="110"/>
        </w:rPr>
        <w:t xml:space="preserve"> </w:t>
      </w:r>
      <w:r>
        <w:rPr>
          <w:w w:val="110"/>
        </w:rPr>
        <w:t>and</w:t>
      </w:r>
      <w:r>
        <w:rPr>
          <w:spacing w:val="-8"/>
          <w:w w:val="110"/>
        </w:rPr>
        <w:t xml:space="preserve"> </w:t>
      </w:r>
      <w:r>
        <w:rPr>
          <w:w w:val="110"/>
        </w:rPr>
        <w:t>Mick</w:t>
      </w:r>
      <w:r>
        <w:rPr>
          <w:spacing w:val="-2"/>
          <w:w w:val="110"/>
        </w:rPr>
        <w:t xml:space="preserve"> </w:t>
      </w:r>
      <w:r>
        <w:rPr>
          <w:w w:val="110"/>
        </w:rPr>
        <w:t>Wallace</w:t>
      </w:r>
      <w:r>
        <w:rPr>
          <w:spacing w:val="-3"/>
          <w:w w:val="110"/>
        </w:rPr>
        <w:t xml:space="preserve"> </w:t>
      </w:r>
      <w:r>
        <w:rPr>
          <w:w w:val="110"/>
        </w:rPr>
        <w:t>available</w:t>
      </w:r>
      <w:r>
        <w:rPr>
          <w:spacing w:val="-7"/>
          <w:w w:val="110"/>
        </w:rPr>
        <w:t xml:space="preserve"> </w:t>
      </w:r>
      <w:hyperlink r:id="rId58">
        <w:r>
          <w:rPr>
            <w:color w:val="0000FF"/>
            <w:spacing w:val="-4"/>
            <w:w w:val="110"/>
            <w:u w:val="single" w:color="0000FF"/>
          </w:rPr>
          <w:t>here</w:t>
        </w:r>
      </w:hyperlink>
    </w:p>
    <w:p w:rsidR="00B84CED" w:rsidRDefault="00794452" w14:paraId="398FC6DC" w14:textId="77777777">
      <w:pPr>
        <w:pStyle w:val="ListParagraph"/>
        <w:numPr>
          <w:ilvl w:val="1"/>
          <w:numId w:val="6"/>
        </w:numPr>
        <w:tabs>
          <w:tab w:val="left" w:pos="939"/>
        </w:tabs>
        <w:spacing w:before="150" w:line="376" w:lineRule="auto"/>
        <w:ind w:right="1289"/>
      </w:pPr>
      <w:r>
        <w:rPr>
          <w:w w:val="110"/>
        </w:rPr>
        <w:t>Submission</w:t>
      </w:r>
      <w:r>
        <w:rPr>
          <w:spacing w:val="-1"/>
          <w:w w:val="110"/>
        </w:rPr>
        <w:t xml:space="preserve"> </w:t>
      </w:r>
      <w:r>
        <w:rPr>
          <w:w w:val="110"/>
        </w:rPr>
        <w:t>received from Conflict</w:t>
      </w:r>
      <w:r>
        <w:rPr>
          <w:spacing w:val="-2"/>
          <w:w w:val="110"/>
        </w:rPr>
        <w:t xml:space="preserve"> </w:t>
      </w:r>
      <w:r>
        <w:rPr>
          <w:w w:val="110"/>
        </w:rPr>
        <w:t>and Environment Observatory</w:t>
      </w:r>
      <w:r>
        <w:rPr>
          <w:spacing w:val="-1"/>
          <w:w w:val="110"/>
        </w:rPr>
        <w:t xml:space="preserve"> </w:t>
      </w:r>
      <w:r>
        <w:rPr>
          <w:w w:val="110"/>
        </w:rPr>
        <w:t xml:space="preserve">(CEOBS) available </w:t>
      </w:r>
      <w:hyperlink r:id="rId59">
        <w:r>
          <w:rPr>
            <w:color w:val="0000FF"/>
            <w:w w:val="110"/>
            <w:u w:val="single" w:color="0000FF"/>
          </w:rPr>
          <w:t>here</w:t>
        </w:r>
      </w:hyperlink>
    </w:p>
    <w:p w:rsidR="00B84CED" w:rsidRDefault="00794452" w14:paraId="5BCCC322" w14:textId="77777777">
      <w:pPr>
        <w:pStyle w:val="ListParagraph"/>
        <w:numPr>
          <w:ilvl w:val="1"/>
          <w:numId w:val="6"/>
        </w:numPr>
        <w:tabs>
          <w:tab w:val="left" w:pos="939"/>
        </w:tabs>
        <w:spacing w:before="1"/>
        <w:ind w:hanging="362"/>
      </w:pPr>
      <w:r>
        <w:rPr>
          <w:w w:val="110"/>
        </w:rPr>
        <w:t>Submission</w:t>
      </w:r>
      <w:r>
        <w:rPr>
          <w:spacing w:val="-6"/>
          <w:w w:val="110"/>
        </w:rPr>
        <w:t xml:space="preserve"> </w:t>
      </w:r>
      <w:r>
        <w:rPr>
          <w:w w:val="110"/>
        </w:rPr>
        <w:t>received</w:t>
      </w:r>
      <w:r>
        <w:rPr>
          <w:spacing w:val="-3"/>
          <w:w w:val="110"/>
        </w:rPr>
        <w:t xml:space="preserve"> </w:t>
      </w:r>
      <w:r>
        <w:rPr>
          <w:w w:val="110"/>
        </w:rPr>
        <w:t>from</w:t>
      </w:r>
      <w:r>
        <w:rPr>
          <w:spacing w:val="-4"/>
          <w:w w:val="110"/>
        </w:rPr>
        <w:t xml:space="preserve"> </w:t>
      </w:r>
      <w:r>
        <w:rPr>
          <w:w w:val="110"/>
        </w:rPr>
        <w:t>Dr</w:t>
      </w:r>
      <w:r>
        <w:rPr>
          <w:spacing w:val="-4"/>
          <w:w w:val="110"/>
        </w:rPr>
        <w:t xml:space="preserve"> </w:t>
      </w:r>
      <w:r>
        <w:rPr>
          <w:w w:val="110"/>
        </w:rPr>
        <w:t>Karen</w:t>
      </w:r>
      <w:r>
        <w:rPr>
          <w:spacing w:val="-4"/>
          <w:w w:val="110"/>
        </w:rPr>
        <w:t xml:space="preserve"> </w:t>
      </w:r>
      <w:r>
        <w:rPr>
          <w:w w:val="110"/>
        </w:rPr>
        <w:t>Devine</w:t>
      </w:r>
      <w:r>
        <w:rPr>
          <w:spacing w:val="-2"/>
          <w:w w:val="110"/>
        </w:rPr>
        <w:t xml:space="preserve"> </w:t>
      </w:r>
      <w:r>
        <w:rPr>
          <w:w w:val="110"/>
        </w:rPr>
        <w:t>available</w:t>
      </w:r>
      <w:r>
        <w:rPr>
          <w:spacing w:val="-4"/>
          <w:w w:val="110"/>
        </w:rPr>
        <w:t xml:space="preserve"> </w:t>
      </w:r>
      <w:hyperlink r:id="rId60">
        <w:r>
          <w:rPr>
            <w:color w:val="0000FF"/>
            <w:spacing w:val="-4"/>
            <w:w w:val="110"/>
            <w:u w:val="single" w:color="0000FF"/>
          </w:rPr>
          <w:t>here</w:t>
        </w:r>
      </w:hyperlink>
    </w:p>
    <w:p w:rsidR="00B84CED" w:rsidRDefault="00794452" w14:paraId="5966C7B1" w14:textId="77777777">
      <w:pPr>
        <w:pStyle w:val="ListParagraph"/>
        <w:numPr>
          <w:ilvl w:val="1"/>
          <w:numId w:val="6"/>
        </w:numPr>
        <w:tabs>
          <w:tab w:val="left" w:pos="939"/>
        </w:tabs>
        <w:spacing w:before="149"/>
        <w:ind w:hanging="362"/>
      </w:pPr>
      <w:r>
        <w:rPr>
          <w:w w:val="110"/>
        </w:rPr>
        <w:t>Submission</w:t>
      </w:r>
      <w:r>
        <w:rPr>
          <w:spacing w:val="-3"/>
          <w:w w:val="110"/>
        </w:rPr>
        <w:t xml:space="preserve"> </w:t>
      </w:r>
      <w:r>
        <w:rPr>
          <w:w w:val="110"/>
        </w:rPr>
        <w:t>received from Dr</w:t>
      </w:r>
      <w:r>
        <w:rPr>
          <w:spacing w:val="-1"/>
          <w:w w:val="110"/>
        </w:rPr>
        <w:t xml:space="preserve"> </w:t>
      </w:r>
      <w:r>
        <w:rPr>
          <w:w w:val="110"/>
        </w:rPr>
        <w:t>Thomas</w:t>
      </w:r>
      <w:r>
        <w:rPr>
          <w:spacing w:val="-1"/>
          <w:w w:val="110"/>
        </w:rPr>
        <w:t xml:space="preserve"> </w:t>
      </w:r>
      <w:r>
        <w:rPr>
          <w:w w:val="110"/>
        </w:rPr>
        <w:t>Palley</w:t>
      </w:r>
      <w:r>
        <w:rPr>
          <w:spacing w:val="1"/>
          <w:w w:val="110"/>
        </w:rPr>
        <w:t xml:space="preserve"> </w:t>
      </w:r>
      <w:r>
        <w:rPr>
          <w:w w:val="110"/>
        </w:rPr>
        <w:t>available</w:t>
      </w:r>
      <w:r>
        <w:rPr>
          <w:spacing w:val="-3"/>
          <w:w w:val="110"/>
        </w:rPr>
        <w:t xml:space="preserve"> </w:t>
      </w:r>
      <w:hyperlink r:id="rId61">
        <w:r>
          <w:rPr>
            <w:color w:val="0000FF"/>
            <w:spacing w:val="-4"/>
            <w:w w:val="110"/>
            <w:u w:val="single" w:color="0000FF"/>
          </w:rPr>
          <w:t>here</w:t>
        </w:r>
      </w:hyperlink>
    </w:p>
    <w:p w:rsidR="00B84CED" w:rsidRDefault="00794452" w14:paraId="5707B10F" w14:textId="77777777">
      <w:pPr>
        <w:pStyle w:val="ListParagraph"/>
        <w:numPr>
          <w:ilvl w:val="1"/>
          <w:numId w:val="6"/>
        </w:numPr>
        <w:tabs>
          <w:tab w:val="left" w:pos="939"/>
        </w:tabs>
        <w:spacing w:before="150"/>
        <w:ind w:hanging="362"/>
      </w:pPr>
      <w:r>
        <w:rPr>
          <w:w w:val="110"/>
        </w:rPr>
        <w:t>Submission</w:t>
      </w:r>
      <w:r>
        <w:rPr>
          <w:spacing w:val="-2"/>
          <w:w w:val="110"/>
        </w:rPr>
        <w:t xml:space="preserve"> </w:t>
      </w:r>
      <w:r>
        <w:rPr>
          <w:w w:val="110"/>
        </w:rPr>
        <w:t>received from</w:t>
      </w:r>
      <w:r>
        <w:rPr>
          <w:spacing w:val="1"/>
          <w:w w:val="110"/>
        </w:rPr>
        <w:t xml:space="preserve"> </w:t>
      </w:r>
      <w:r>
        <w:rPr>
          <w:w w:val="110"/>
        </w:rPr>
        <w:t>Elizabeth Cullen</w:t>
      </w:r>
      <w:r>
        <w:rPr>
          <w:spacing w:val="1"/>
          <w:w w:val="110"/>
        </w:rPr>
        <w:t xml:space="preserve"> </w:t>
      </w:r>
      <w:r>
        <w:rPr>
          <w:w w:val="110"/>
        </w:rPr>
        <w:t>available</w:t>
      </w:r>
      <w:r>
        <w:rPr>
          <w:spacing w:val="-3"/>
          <w:w w:val="110"/>
        </w:rPr>
        <w:t xml:space="preserve"> </w:t>
      </w:r>
      <w:hyperlink r:id="rId62">
        <w:r>
          <w:rPr>
            <w:color w:val="0000FF"/>
            <w:spacing w:val="-4"/>
            <w:w w:val="110"/>
            <w:u w:val="single" w:color="0000FF"/>
          </w:rPr>
          <w:t>here</w:t>
        </w:r>
      </w:hyperlink>
    </w:p>
    <w:p w:rsidR="00B84CED" w:rsidRDefault="00794452" w14:paraId="5D206B88" w14:textId="77777777">
      <w:pPr>
        <w:pStyle w:val="ListParagraph"/>
        <w:numPr>
          <w:ilvl w:val="1"/>
          <w:numId w:val="6"/>
        </w:numPr>
        <w:tabs>
          <w:tab w:val="left" w:pos="939"/>
        </w:tabs>
        <w:spacing w:before="149"/>
        <w:ind w:hanging="362"/>
      </w:pPr>
      <w:r>
        <w:rPr>
          <w:w w:val="110"/>
        </w:rPr>
        <w:t>Submission</w:t>
      </w:r>
      <w:r>
        <w:rPr>
          <w:spacing w:val="-2"/>
          <w:w w:val="110"/>
        </w:rPr>
        <w:t xml:space="preserve"> </w:t>
      </w:r>
      <w:r>
        <w:rPr>
          <w:w w:val="110"/>
        </w:rPr>
        <w:t>received from Frank</w:t>
      </w:r>
      <w:r>
        <w:rPr>
          <w:spacing w:val="2"/>
          <w:w w:val="110"/>
        </w:rPr>
        <w:t xml:space="preserve"> </w:t>
      </w:r>
      <w:r>
        <w:rPr>
          <w:w w:val="110"/>
        </w:rPr>
        <w:t>Keoghan</w:t>
      </w:r>
      <w:r>
        <w:rPr>
          <w:spacing w:val="-2"/>
          <w:w w:val="110"/>
        </w:rPr>
        <w:t xml:space="preserve"> </w:t>
      </w:r>
      <w:r>
        <w:rPr>
          <w:w w:val="110"/>
        </w:rPr>
        <w:t>available</w:t>
      </w:r>
      <w:r>
        <w:rPr>
          <w:spacing w:val="-3"/>
          <w:w w:val="110"/>
        </w:rPr>
        <w:t xml:space="preserve"> </w:t>
      </w:r>
      <w:hyperlink r:id="rId63">
        <w:r>
          <w:rPr>
            <w:color w:val="0000FF"/>
            <w:spacing w:val="-4"/>
            <w:w w:val="110"/>
            <w:u w:val="single" w:color="0000FF"/>
          </w:rPr>
          <w:t>here</w:t>
        </w:r>
      </w:hyperlink>
    </w:p>
    <w:p w:rsidR="00B84CED" w:rsidRDefault="00794452" w14:paraId="3FCA2D81" w14:textId="77777777">
      <w:pPr>
        <w:pStyle w:val="ListParagraph"/>
        <w:numPr>
          <w:ilvl w:val="1"/>
          <w:numId w:val="6"/>
        </w:numPr>
        <w:tabs>
          <w:tab w:val="left" w:pos="939"/>
        </w:tabs>
        <w:spacing w:before="147"/>
        <w:ind w:hanging="362"/>
      </w:pPr>
      <w:r>
        <w:rPr>
          <w:w w:val="110"/>
        </w:rPr>
        <w:t>Submission</w:t>
      </w:r>
      <w:r>
        <w:rPr>
          <w:spacing w:val="-5"/>
          <w:w w:val="110"/>
        </w:rPr>
        <w:t xml:space="preserve"> </w:t>
      </w:r>
      <w:r>
        <w:rPr>
          <w:w w:val="110"/>
        </w:rPr>
        <w:t>received</w:t>
      </w:r>
      <w:r>
        <w:rPr>
          <w:spacing w:val="-3"/>
          <w:w w:val="110"/>
        </w:rPr>
        <w:t xml:space="preserve"> </w:t>
      </w:r>
      <w:r>
        <w:rPr>
          <w:w w:val="110"/>
        </w:rPr>
        <w:t>from</w:t>
      </w:r>
      <w:r>
        <w:rPr>
          <w:spacing w:val="-3"/>
          <w:w w:val="110"/>
        </w:rPr>
        <w:t xml:space="preserve"> </w:t>
      </w:r>
      <w:r>
        <w:rPr>
          <w:w w:val="110"/>
        </w:rPr>
        <w:t>Galway</w:t>
      </w:r>
      <w:r>
        <w:rPr>
          <w:spacing w:val="-2"/>
          <w:w w:val="110"/>
        </w:rPr>
        <w:t xml:space="preserve"> </w:t>
      </w:r>
      <w:r>
        <w:rPr>
          <w:w w:val="110"/>
        </w:rPr>
        <w:t>Alliance</w:t>
      </w:r>
      <w:r>
        <w:rPr>
          <w:spacing w:val="-3"/>
          <w:w w:val="110"/>
        </w:rPr>
        <w:t xml:space="preserve"> </w:t>
      </w:r>
      <w:r>
        <w:rPr>
          <w:w w:val="110"/>
        </w:rPr>
        <w:t>Against</w:t>
      </w:r>
      <w:r>
        <w:rPr>
          <w:spacing w:val="-3"/>
          <w:w w:val="110"/>
        </w:rPr>
        <w:t xml:space="preserve"> </w:t>
      </w:r>
      <w:r>
        <w:rPr>
          <w:w w:val="110"/>
        </w:rPr>
        <w:t>War</w:t>
      </w:r>
      <w:r>
        <w:rPr>
          <w:spacing w:val="-4"/>
          <w:w w:val="110"/>
        </w:rPr>
        <w:t xml:space="preserve"> </w:t>
      </w:r>
      <w:r>
        <w:rPr>
          <w:w w:val="110"/>
        </w:rPr>
        <w:t>available</w:t>
      </w:r>
      <w:r>
        <w:rPr>
          <w:spacing w:val="-11"/>
          <w:w w:val="110"/>
        </w:rPr>
        <w:t xml:space="preserve"> </w:t>
      </w:r>
      <w:hyperlink r:id="rId64">
        <w:r>
          <w:rPr>
            <w:color w:val="0000FF"/>
            <w:spacing w:val="-4"/>
            <w:w w:val="110"/>
            <w:u w:val="single" w:color="0000FF"/>
          </w:rPr>
          <w:t>here</w:t>
        </w:r>
      </w:hyperlink>
    </w:p>
    <w:p w:rsidR="00B84CED" w:rsidRDefault="00794452" w14:paraId="4A407352" w14:textId="77777777">
      <w:pPr>
        <w:pStyle w:val="ListParagraph"/>
        <w:numPr>
          <w:ilvl w:val="1"/>
          <w:numId w:val="6"/>
        </w:numPr>
        <w:tabs>
          <w:tab w:val="left" w:pos="939"/>
        </w:tabs>
        <w:spacing w:before="149"/>
        <w:ind w:hanging="360"/>
      </w:pPr>
      <w:r>
        <w:rPr>
          <w:w w:val="110"/>
        </w:rPr>
        <w:t>Submission</w:t>
      </w:r>
      <w:r>
        <w:rPr>
          <w:spacing w:val="-5"/>
          <w:w w:val="110"/>
        </w:rPr>
        <w:t xml:space="preserve"> </w:t>
      </w:r>
      <w:r>
        <w:rPr>
          <w:w w:val="110"/>
        </w:rPr>
        <w:t>received</w:t>
      </w:r>
      <w:r>
        <w:rPr>
          <w:spacing w:val="-3"/>
          <w:w w:val="110"/>
        </w:rPr>
        <w:t xml:space="preserve"> </w:t>
      </w:r>
      <w:r>
        <w:rPr>
          <w:w w:val="110"/>
        </w:rPr>
        <w:t>from</w:t>
      </w:r>
      <w:r>
        <w:rPr>
          <w:spacing w:val="-3"/>
          <w:w w:val="110"/>
        </w:rPr>
        <w:t xml:space="preserve"> </w:t>
      </w:r>
      <w:r>
        <w:rPr>
          <w:w w:val="110"/>
        </w:rPr>
        <w:t>Lynn</w:t>
      </w:r>
      <w:r>
        <w:rPr>
          <w:spacing w:val="-3"/>
          <w:w w:val="110"/>
        </w:rPr>
        <w:t xml:space="preserve"> </w:t>
      </w:r>
      <w:r>
        <w:rPr>
          <w:w w:val="110"/>
        </w:rPr>
        <w:t>Boylan</w:t>
      </w:r>
      <w:r>
        <w:rPr>
          <w:spacing w:val="-4"/>
          <w:w w:val="110"/>
        </w:rPr>
        <w:t xml:space="preserve"> </w:t>
      </w:r>
      <w:r>
        <w:rPr>
          <w:w w:val="110"/>
        </w:rPr>
        <w:t>MEP</w:t>
      </w:r>
      <w:r>
        <w:rPr>
          <w:spacing w:val="-2"/>
          <w:w w:val="110"/>
        </w:rPr>
        <w:t xml:space="preserve"> </w:t>
      </w:r>
      <w:r>
        <w:rPr>
          <w:w w:val="110"/>
        </w:rPr>
        <w:t>and</w:t>
      </w:r>
      <w:r>
        <w:rPr>
          <w:spacing w:val="-6"/>
          <w:w w:val="110"/>
        </w:rPr>
        <w:t xml:space="preserve"> </w:t>
      </w:r>
      <w:r>
        <w:rPr>
          <w:w w:val="110"/>
        </w:rPr>
        <w:t>Kathleen</w:t>
      </w:r>
      <w:r>
        <w:rPr>
          <w:spacing w:val="-3"/>
          <w:w w:val="110"/>
        </w:rPr>
        <w:t xml:space="preserve"> </w:t>
      </w:r>
      <w:r>
        <w:rPr>
          <w:w w:val="110"/>
        </w:rPr>
        <w:t>Funchion</w:t>
      </w:r>
      <w:r>
        <w:rPr>
          <w:spacing w:val="-3"/>
          <w:w w:val="110"/>
        </w:rPr>
        <w:t xml:space="preserve"> </w:t>
      </w:r>
      <w:r>
        <w:rPr>
          <w:spacing w:val="-5"/>
          <w:w w:val="110"/>
        </w:rPr>
        <w:t>MEP</w:t>
      </w:r>
    </w:p>
    <w:p w:rsidR="00B84CED" w:rsidRDefault="00794452" w14:paraId="2594F93E" w14:textId="77777777">
      <w:pPr>
        <w:pStyle w:val="BodyText"/>
        <w:spacing w:before="161"/>
        <w:ind w:left="939"/>
      </w:pPr>
      <w:r>
        <w:rPr>
          <w:w w:val="110"/>
        </w:rPr>
        <w:t>(122)</w:t>
      </w:r>
      <w:r>
        <w:rPr>
          <w:spacing w:val="10"/>
          <w:w w:val="110"/>
        </w:rPr>
        <w:t xml:space="preserve"> </w:t>
      </w:r>
      <w:r>
        <w:rPr>
          <w:w w:val="110"/>
        </w:rPr>
        <w:t>available</w:t>
      </w:r>
      <w:r>
        <w:rPr>
          <w:spacing w:val="11"/>
          <w:w w:val="110"/>
        </w:rPr>
        <w:t xml:space="preserve"> </w:t>
      </w:r>
      <w:hyperlink r:id="rId65">
        <w:r>
          <w:rPr>
            <w:color w:val="0000FF"/>
            <w:spacing w:val="-4"/>
            <w:w w:val="110"/>
            <w:u w:val="single" w:color="0000FF"/>
          </w:rPr>
          <w:t>here</w:t>
        </w:r>
      </w:hyperlink>
    </w:p>
    <w:p w:rsidR="00B84CED" w:rsidRDefault="00794452" w14:paraId="5F2A7AF1" w14:textId="77777777">
      <w:pPr>
        <w:pStyle w:val="ListParagraph"/>
        <w:numPr>
          <w:ilvl w:val="1"/>
          <w:numId w:val="6"/>
        </w:numPr>
        <w:tabs>
          <w:tab w:val="left" w:pos="939"/>
        </w:tabs>
        <w:spacing w:before="150"/>
        <w:ind w:hanging="360"/>
      </w:pPr>
      <w:r>
        <w:rPr>
          <w:w w:val="110"/>
        </w:rPr>
        <w:t>Submission</w:t>
      </w:r>
      <w:r>
        <w:rPr>
          <w:spacing w:val="-5"/>
          <w:w w:val="110"/>
        </w:rPr>
        <w:t xml:space="preserve"> </w:t>
      </w:r>
      <w:r>
        <w:rPr>
          <w:w w:val="110"/>
        </w:rPr>
        <w:t>received</w:t>
      </w:r>
      <w:r>
        <w:rPr>
          <w:spacing w:val="-3"/>
          <w:w w:val="110"/>
        </w:rPr>
        <w:t xml:space="preserve"> </w:t>
      </w:r>
      <w:r>
        <w:rPr>
          <w:w w:val="110"/>
        </w:rPr>
        <w:t>from</w:t>
      </w:r>
      <w:r>
        <w:rPr>
          <w:spacing w:val="-3"/>
          <w:w w:val="110"/>
        </w:rPr>
        <w:t xml:space="preserve"> </w:t>
      </w:r>
      <w:r>
        <w:rPr>
          <w:w w:val="110"/>
        </w:rPr>
        <w:t>Lynn</w:t>
      </w:r>
      <w:r>
        <w:rPr>
          <w:spacing w:val="-3"/>
          <w:w w:val="110"/>
        </w:rPr>
        <w:t xml:space="preserve"> </w:t>
      </w:r>
      <w:r>
        <w:rPr>
          <w:w w:val="110"/>
        </w:rPr>
        <w:t>Boylan</w:t>
      </w:r>
      <w:r>
        <w:rPr>
          <w:spacing w:val="-4"/>
          <w:w w:val="110"/>
        </w:rPr>
        <w:t xml:space="preserve"> </w:t>
      </w:r>
      <w:r>
        <w:rPr>
          <w:w w:val="110"/>
        </w:rPr>
        <w:t>MEP</w:t>
      </w:r>
      <w:r>
        <w:rPr>
          <w:spacing w:val="-2"/>
          <w:w w:val="110"/>
        </w:rPr>
        <w:t xml:space="preserve"> </w:t>
      </w:r>
      <w:r>
        <w:rPr>
          <w:w w:val="110"/>
        </w:rPr>
        <w:t>and</w:t>
      </w:r>
      <w:r>
        <w:rPr>
          <w:spacing w:val="-6"/>
          <w:w w:val="110"/>
        </w:rPr>
        <w:t xml:space="preserve"> </w:t>
      </w:r>
      <w:r>
        <w:rPr>
          <w:w w:val="110"/>
        </w:rPr>
        <w:t>Kathleen</w:t>
      </w:r>
      <w:r>
        <w:rPr>
          <w:spacing w:val="-3"/>
          <w:w w:val="110"/>
        </w:rPr>
        <w:t xml:space="preserve"> </w:t>
      </w:r>
      <w:r>
        <w:rPr>
          <w:w w:val="110"/>
        </w:rPr>
        <w:t>Funchion</w:t>
      </w:r>
      <w:r>
        <w:rPr>
          <w:spacing w:val="-3"/>
          <w:w w:val="110"/>
        </w:rPr>
        <w:t xml:space="preserve"> </w:t>
      </w:r>
      <w:r>
        <w:rPr>
          <w:spacing w:val="-5"/>
          <w:w w:val="110"/>
        </w:rPr>
        <w:t>MEP</w:t>
      </w:r>
    </w:p>
    <w:p w:rsidR="00B84CED" w:rsidRDefault="00794452" w14:paraId="7BBB4AF6" w14:textId="77777777">
      <w:pPr>
        <w:pStyle w:val="BodyText"/>
        <w:spacing w:before="158"/>
        <w:ind w:left="939"/>
      </w:pPr>
      <w:r>
        <w:rPr>
          <w:w w:val="110"/>
        </w:rPr>
        <w:t>(123)</w:t>
      </w:r>
      <w:r>
        <w:rPr>
          <w:spacing w:val="10"/>
          <w:w w:val="110"/>
        </w:rPr>
        <w:t xml:space="preserve"> </w:t>
      </w:r>
      <w:r>
        <w:rPr>
          <w:w w:val="110"/>
        </w:rPr>
        <w:t>available</w:t>
      </w:r>
      <w:r>
        <w:rPr>
          <w:spacing w:val="11"/>
          <w:w w:val="110"/>
        </w:rPr>
        <w:t xml:space="preserve"> </w:t>
      </w:r>
      <w:hyperlink r:id="rId66">
        <w:r>
          <w:rPr>
            <w:color w:val="0000FF"/>
            <w:spacing w:val="-4"/>
            <w:w w:val="110"/>
            <w:u w:val="single" w:color="0000FF"/>
          </w:rPr>
          <w:t>here</w:t>
        </w:r>
      </w:hyperlink>
    </w:p>
    <w:p w:rsidR="00B84CED" w:rsidRDefault="00794452" w14:paraId="5B37B048" w14:textId="77777777">
      <w:pPr>
        <w:pStyle w:val="ListParagraph"/>
        <w:numPr>
          <w:ilvl w:val="1"/>
          <w:numId w:val="6"/>
        </w:numPr>
        <w:tabs>
          <w:tab w:val="left" w:pos="939"/>
        </w:tabs>
        <w:spacing w:before="150"/>
        <w:ind w:hanging="362"/>
      </w:pPr>
      <w:r>
        <w:rPr>
          <w:w w:val="110"/>
        </w:rPr>
        <w:t>Submission</w:t>
      </w:r>
      <w:r>
        <w:rPr>
          <w:spacing w:val="-14"/>
          <w:w w:val="110"/>
        </w:rPr>
        <w:t xml:space="preserve"> </w:t>
      </w:r>
      <w:r>
        <w:rPr>
          <w:w w:val="110"/>
        </w:rPr>
        <w:t>received</w:t>
      </w:r>
      <w:r>
        <w:rPr>
          <w:spacing w:val="-12"/>
          <w:w w:val="110"/>
        </w:rPr>
        <w:t xml:space="preserve"> </w:t>
      </w:r>
      <w:r>
        <w:rPr>
          <w:w w:val="110"/>
        </w:rPr>
        <w:t>from</w:t>
      </w:r>
      <w:r>
        <w:rPr>
          <w:spacing w:val="-11"/>
          <w:w w:val="110"/>
        </w:rPr>
        <w:t xml:space="preserve"> </w:t>
      </w:r>
      <w:r>
        <w:rPr>
          <w:w w:val="110"/>
        </w:rPr>
        <w:t>Marian</w:t>
      </w:r>
      <w:r>
        <w:rPr>
          <w:spacing w:val="-13"/>
          <w:w w:val="110"/>
        </w:rPr>
        <w:t xml:space="preserve"> </w:t>
      </w:r>
      <w:r>
        <w:rPr>
          <w:w w:val="110"/>
        </w:rPr>
        <w:t>Naughton</w:t>
      </w:r>
      <w:r>
        <w:rPr>
          <w:spacing w:val="-11"/>
          <w:w w:val="110"/>
        </w:rPr>
        <w:t xml:space="preserve"> </w:t>
      </w:r>
      <w:r>
        <w:rPr>
          <w:w w:val="110"/>
        </w:rPr>
        <w:t>available</w:t>
      </w:r>
      <w:r>
        <w:rPr>
          <w:spacing w:val="-14"/>
          <w:w w:val="110"/>
        </w:rPr>
        <w:t xml:space="preserve"> </w:t>
      </w:r>
      <w:hyperlink r:id="rId67">
        <w:r>
          <w:rPr>
            <w:color w:val="0000FF"/>
            <w:spacing w:val="-4"/>
            <w:w w:val="110"/>
            <w:u w:val="single" w:color="0000FF"/>
          </w:rPr>
          <w:t>here</w:t>
        </w:r>
      </w:hyperlink>
    </w:p>
    <w:p w:rsidR="00B84CED" w:rsidRDefault="00794452" w14:paraId="0272B02C" w14:textId="77777777">
      <w:pPr>
        <w:pStyle w:val="ListParagraph"/>
        <w:numPr>
          <w:ilvl w:val="1"/>
          <w:numId w:val="6"/>
        </w:numPr>
        <w:tabs>
          <w:tab w:val="left" w:pos="939"/>
        </w:tabs>
        <w:spacing w:before="149" w:line="376" w:lineRule="auto"/>
        <w:ind w:right="1239"/>
      </w:pPr>
      <w:r>
        <w:rPr>
          <w:w w:val="110"/>
        </w:rPr>
        <w:t>Submission</w:t>
      </w:r>
      <w:r>
        <w:rPr>
          <w:spacing w:val="-2"/>
          <w:w w:val="110"/>
        </w:rPr>
        <w:t xml:space="preserve"> </w:t>
      </w:r>
      <w:r>
        <w:rPr>
          <w:w w:val="110"/>
        </w:rPr>
        <w:t>received from National</w:t>
      </w:r>
      <w:r>
        <w:rPr>
          <w:spacing w:val="-2"/>
          <w:w w:val="110"/>
        </w:rPr>
        <w:t xml:space="preserve"> </w:t>
      </w:r>
      <w:r>
        <w:rPr>
          <w:w w:val="110"/>
        </w:rPr>
        <w:t>Platform</w:t>
      </w:r>
      <w:r>
        <w:rPr>
          <w:spacing w:val="-3"/>
          <w:w w:val="110"/>
        </w:rPr>
        <w:t xml:space="preserve"> </w:t>
      </w:r>
      <w:r>
        <w:rPr>
          <w:w w:val="110"/>
        </w:rPr>
        <w:t>EU</w:t>
      </w:r>
      <w:r>
        <w:rPr>
          <w:spacing w:val="-3"/>
          <w:w w:val="110"/>
        </w:rPr>
        <w:t xml:space="preserve"> </w:t>
      </w:r>
      <w:r>
        <w:rPr>
          <w:w w:val="110"/>
        </w:rPr>
        <w:t>Research</w:t>
      </w:r>
      <w:r>
        <w:rPr>
          <w:spacing w:val="-2"/>
          <w:w w:val="110"/>
        </w:rPr>
        <w:t xml:space="preserve"> </w:t>
      </w:r>
      <w:r>
        <w:rPr>
          <w:w w:val="110"/>
        </w:rPr>
        <w:t xml:space="preserve">and Information Centre available </w:t>
      </w:r>
      <w:hyperlink r:id="rId68">
        <w:r>
          <w:rPr>
            <w:color w:val="0000FF"/>
            <w:w w:val="110"/>
            <w:u w:val="single" w:color="0000FF"/>
          </w:rPr>
          <w:t>here</w:t>
        </w:r>
      </w:hyperlink>
    </w:p>
    <w:p w:rsidR="00B84CED" w:rsidRDefault="00794452" w14:paraId="04DD3EB0" w14:textId="77777777">
      <w:pPr>
        <w:pStyle w:val="ListParagraph"/>
        <w:numPr>
          <w:ilvl w:val="1"/>
          <w:numId w:val="6"/>
        </w:numPr>
        <w:tabs>
          <w:tab w:val="left" w:pos="939"/>
        </w:tabs>
        <w:spacing w:before="1"/>
        <w:ind w:hanging="362"/>
      </w:pPr>
      <w:r>
        <w:rPr>
          <w:w w:val="110"/>
        </w:rPr>
        <w:t>Submission</w:t>
      </w:r>
      <w:r>
        <w:rPr>
          <w:spacing w:val="-5"/>
          <w:w w:val="110"/>
        </w:rPr>
        <w:t xml:space="preserve"> </w:t>
      </w:r>
      <w:r>
        <w:rPr>
          <w:w w:val="110"/>
        </w:rPr>
        <w:t>received</w:t>
      </w:r>
      <w:r>
        <w:rPr>
          <w:spacing w:val="-3"/>
          <w:w w:val="110"/>
        </w:rPr>
        <w:t xml:space="preserve"> </w:t>
      </w:r>
      <w:r>
        <w:rPr>
          <w:w w:val="110"/>
        </w:rPr>
        <w:t>from</w:t>
      </w:r>
      <w:r>
        <w:rPr>
          <w:spacing w:val="-2"/>
          <w:w w:val="110"/>
        </w:rPr>
        <w:t xml:space="preserve"> </w:t>
      </w:r>
      <w:r>
        <w:rPr>
          <w:w w:val="110"/>
        </w:rPr>
        <w:t>Uplift</w:t>
      </w:r>
      <w:r>
        <w:rPr>
          <w:spacing w:val="-3"/>
          <w:w w:val="110"/>
        </w:rPr>
        <w:t xml:space="preserve"> </w:t>
      </w:r>
      <w:r>
        <w:rPr>
          <w:w w:val="110"/>
        </w:rPr>
        <w:t>available</w:t>
      </w:r>
      <w:r>
        <w:rPr>
          <w:spacing w:val="-9"/>
          <w:w w:val="110"/>
        </w:rPr>
        <w:t xml:space="preserve"> </w:t>
      </w:r>
      <w:hyperlink r:id="rId69">
        <w:r>
          <w:rPr>
            <w:color w:val="0000FF"/>
            <w:spacing w:val="-4"/>
            <w:w w:val="110"/>
            <w:u w:val="single" w:color="0000FF"/>
          </w:rPr>
          <w:t>here</w:t>
        </w:r>
      </w:hyperlink>
    </w:p>
    <w:p w:rsidR="00B84CED" w:rsidRDefault="00B84CED" w14:paraId="36BA89FB" w14:textId="77777777">
      <w:pPr>
        <w:pStyle w:val="ListParagraph"/>
        <w:sectPr w:rsidR="00B84CED" w:rsidSect="00196DB0">
          <w:footerReference w:type="even" r:id="R5e481a492b284910"/>
          <w:footerReference w:type="first" r:id="R4a7d169dcd3d404f"/>
          <w:headerReference w:type="even" r:id="Rac23ce9c025647f2"/>
          <w:headerReference w:type="first" r:id="Rbe0316c31b8246db"/>
          <w:pgSz w:w="11907" w:h="16839"/>
          <w:pgMar w:top="1134" w:right="1134" w:bottom="1134" w:left="1134" w:header="567" w:footer="567" w:gutter="0"/>
          <w:cols w:space="720"/>
          <w:docGrid w:linePitch="299"/>
        </w:sectPr>
      </w:pPr>
    </w:p>
    <w:p w:rsidR="00B84CED" w:rsidRDefault="00794452" w14:paraId="2D4C3AD1" w14:textId="77777777">
      <w:pPr>
        <w:spacing w:before="98"/>
        <w:ind w:left="1"/>
        <w:rPr>
          <w:rFonts w:ascii="Century Gothic"/>
          <w:b/>
          <w:sz w:val="31"/>
        </w:rPr>
      </w:pPr>
      <w:bookmarkStart w:name="Appendix_B:_Witness,_transcripts_and_cor" w:id="88"/>
      <w:bookmarkEnd w:id="88"/>
      <w:r>
        <w:rPr>
          <w:rFonts w:ascii="Century Gothic"/>
          <w:b/>
          <w:color w:val="395C66"/>
          <w:sz w:val="31"/>
        </w:rPr>
        <w:lastRenderedPageBreak/>
        <w:t>Appendix</w:t>
      </w:r>
      <w:r>
        <w:rPr>
          <w:rFonts w:ascii="Century Gothic"/>
          <w:b/>
          <w:color w:val="395C66"/>
          <w:spacing w:val="-4"/>
          <w:sz w:val="31"/>
        </w:rPr>
        <w:t xml:space="preserve"> </w:t>
      </w:r>
      <w:r>
        <w:rPr>
          <w:rFonts w:ascii="Century Gothic"/>
          <w:b/>
          <w:color w:val="395C66"/>
          <w:sz w:val="31"/>
        </w:rPr>
        <w:t>B:</w:t>
      </w:r>
      <w:r>
        <w:rPr>
          <w:rFonts w:ascii="Century Gothic"/>
          <w:b/>
          <w:color w:val="395C66"/>
          <w:spacing w:val="-5"/>
          <w:sz w:val="31"/>
        </w:rPr>
        <w:t xml:space="preserve"> </w:t>
      </w:r>
      <w:r>
        <w:rPr>
          <w:rFonts w:ascii="Century Gothic"/>
          <w:b/>
          <w:color w:val="395C66"/>
          <w:sz w:val="31"/>
        </w:rPr>
        <w:t>Witness,</w:t>
      </w:r>
      <w:r>
        <w:rPr>
          <w:rFonts w:ascii="Century Gothic"/>
          <w:b/>
          <w:color w:val="395C66"/>
          <w:spacing w:val="-6"/>
          <w:sz w:val="31"/>
        </w:rPr>
        <w:t xml:space="preserve"> </w:t>
      </w:r>
      <w:r>
        <w:rPr>
          <w:rFonts w:ascii="Century Gothic"/>
          <w:b/>
          <w:color w:val="395C66"/>
          <w:sz w:val="31"/>
        </w:rPr>
        <w:t>transcripts</w:t>
      </w:r>
      <w:r>
        <w:rPr>
          <w:rFonts w:ascii="Century Gothic"/>
          <w:b/>
          <w:color w:val="395C66"/>
          <w:spacing w:val="-4"/>
          <w:sz w:val="31"/>
        </w:rPr>
        <w:t xml:space="preserve"> </w:t>
      </w:r>
      <w:r>
        <w:rPr>
          <w:rFonts w:ascii="Century Gothic"/>
          <w:b/>
          <w:color w:val="395C66"/>
          <w:sz w:val="31"/>
        </w:rPr>
        <w:t>and</w:t>
      </w:r>
      <w:r>
        <w:rPr>
          <w:rFonts w:ascii="Century Gothic"/>
          <w:b/>
          <w:color w:val="395C66"/>
          <w:spacing w:val="-7"/>
          <w:sz w:val="31"/>
        </w:rPr>
        <w:t xml:space="preserve"> </w:t>
      </w:r>
      <w:r>
        <w:rPr>
          <w:rFonts w:ascii="Century Gothic"/>
          <w:b/>
          <w:color w:val="395C66"/>
          <w:spacing w:val="-2"/>
          <w:sz w:val="31"/>
        </w:rPr>
        <w:t>correspondence</w:t>
      </w:r>
    </w:p>
    <w:p w:rsidR="00B84CED" w:rsidRDefault="00B84CED" w14:paraId="607929E8" w14:textId="77777777">
      <w:pPr>
        <w:pStyle w:val="BodyText"/>
        <w:spacing w:before="8"/>
        <w:rPr>
          <w:rFonts w:ascii="Century Gothic"/>
          <w:b/>
          <w:sz w:val="20"/>
        </w:rPr>
      </w:pPr>
    </w:p>
    <w:tbl>
      <w:tblPr>
        <w:tblW w:w="0" w:type="auto"/>
        <w:tblInd w:w="1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234"/>
        <w:gridCol w:w="7046"/>
      </w:tblGrid>
      <w:tr w:rsidR="00B84CED" w14:paraId="492AA6EE" w14:textId="77777777">
        <w:trPr>
          <w:trHeight w:val="798"/>
        </w:trPr>
        <w:tc>
          <w:tcPr>
            <w:tcW w:w="2234" w:type="dxa"/>
          </w:tcPr>
          <w:p w:rsidR="00B84CED" w:rsidRDefault="00794452" w14:paraId="23499C26" w14:textId="77777777">
            <w:pPr>
              <w:pStyle w:val="TableParagraph"/>
              <w:spacing w:before="6"/>
              <w:ind w:left="112" w:firstLine="0"/>
              <w:rPr>
                <w:rFonts w:ascii="Century Gothic"/>
                <w:b/>
              </w:rPr>
            </w:pPr>
            <w:r>
              <w:rPr>
                <w:rFonts w:ascii="Century Gothic"/>
                <w:b/>
                <w:spacing w:val="-6"/>
              </w:rPr>
              <w:t>Date</w:t>
            </w:r>
            <w:r>
              <w:rPr>
                <w:rFonts w:ascii="Century Gothic"/>
                <w:b/>
                <w:spacing w:val="-9"/>
              </w:rPr>
              <w:t xml:space="preserve"> </w:t>
            </w:r>
            <w:r>
              <w:rPr>
                <w:rFonts w:ascii="Century Gothic"/>
                <w:b/>
                <w:spacing w:val="-5"/>
              </w:rPr>
              <w:t>and</w:t>
            </w:r>
          </w:p>
          <w:p w:rsidR="00B84CED" w:rsidRDefault="00794452" w14:paraId="59F822BD" w14:textId="77777777">
            <w:pPr>
              <w:pStyle w:val="TableParagraph"/>
              <w:spacing w:before="129"/>
              <w:ind w:left="112" w:firstLine="0"/>
              <w:rPr>
                <w:rFonts w:ascii="Century Gothic"/>
                <w:b/>
              </w:rPr>
            </w:pPr>
            <w:r>
              <w:rPr>
                <w:rFonts w:ascii="Century Gothic"/>
                <w:b/>
                <w:spacing w:val="-2"/>
                <w:w w:val="110"/>
              </w:rPr>
              <w:t>Transcript</w:t>
            </w:r>
          </w:p>
        </w:tc>
        <w:tc>
          <w:tcPr>
            <w:tcW w:w="7046" w:type="dxa"/>
          </w:tcPr>
          <w:p w:rsidR="00B84CED" w:rsidRDefault="00794452" w14:paraId="1F598AB3" w14:textId="77777777">
            <w:pPr>
              <w:pStyle w:val="TableParagraph"/>
              <w:spacing w:before="6"/>
              <w:ind w:left="113" w:firstLine="0"/>
              <w:rPr>
                <w:rFonts w:ascii="Century Gothic"/>
                <w:b/>
              </w:rPr>
            </w:pPr>
            <w:r>
              <w:rPr>
                <w:rFonts w:ascii="Century Gothic"/>
                <w:b/>
                <w:spacing w:val="-2"/>
                <w:w w:val="105"/>
              </w:rPr>
              <w:t>Witnesses</w:t>
            </w:r>
          </w:p>
        </w:tc>
      </w:tr>
      <w:tr w:rsidR="00B84CED" w14:paraId="63621C57" w14:textId="77777777">
        <w:trPr>
          <w:trHeight w:val="801"/>
        </w:trPr>
        <w:tc>
          <w:tcPr>
            <w:tcW w:w="2234" w:type="dxa"/>
          </w:tcPr>
          <w:p w:rsidR="00B84CED" w:rsidRDefault="00794452" w14:paraId="0452D141" w14:textId="77777777">
            <w:pPr>
              <w:pStyle w:val="TableParagraph"/>
              <w:spacing w:before="18"/>
              <w:ind w:left="0" w:right="19" w:firstLine="0"/>
              <w:jc w:val="center"/>
            </w:pPr>
            <w:hyperlink r:id="rId70">
              <w:r>
                <w:rPr>
                  <w:color w:val="0000FF"/>
                  <w:w w:val="110"/>
                  <w:u w:val="single" w:color="0000FF"/>
                </w:rPr>
                <w:t>Transcript</w:t>
              </w:r>
              <w:r>
                <w:rPr>
                  <w:color w:val="0000FF"/>
                  <w:spacing w:val="3"/>
                  <w:w w:val="115"/>
                  <w:u w:val="single" w:color="0000FF"/>
                </w:rPr>
                <w:t xml:space="preserve"> </w:t>
              </w:r>
              <w:r>
                <w:rPr>
                  <w:color w:val="0000FF"/>
                  <w:spacing w:val="-2"/>
                  <w:w w:val="115"/>
                  <w:u w:val="single" w:color="0000FF"/>
                </w:rPr>
                <w:t>24.09.25</w:t>
              </w:r>
            </w:hyperlink>
          </w:p>
        </w:tc>
        <w:tc>
          <w:tcPr>
            <w:tcW w:w="7046" w:type="dxa"/>
          </w:tcPr>
          <w:p w:rsidR="00B84CED" w:rsidRDefault="00794452" w14:paraId="78326774" w14:textId="77777777">
            <w:pPr>
              <w:pStyle w:val="TableParagraph"/>
              <w:numPr>
                <w:ilvl w:val="0"/>
                <w:numId w:val="7"/>
              </w:numPr>
              <w:tabs>
                <w:tab w:val="left" w:pos="832"/>
              </w:tabs>
              <w:spacing w:before="6"/>
              <w:ind w:left="832" w:hanging="359"/>
            </w:pPr>
            <w:r>
              <w:rPr>
                <w:w w:val="110"/>
              </w:rPr>
              <w:t>Ms</w:t>
            </w:r>
            <w:r>
              <w:rPr>
                <w:spacing w:val="-12"/>
                <w:w w:val="110"/>
              </w:rPr>
              <w:t xml:space="preserve"> </w:t>
            </w:r>
            <w:r>
              <w:rPr>
                <w:w w:val="110"/>
              </w:rPr>
              <w:t>Ellie</w:t>
            </w:r>
            <w:r>
              <w:rPr>
                <w:spacing w:val="-6"/>
                <w:w w:val="110"/>
              </w:rPr>
              <w:t xml:space="preserve"> </w:t>
            </w:r>
            <w:r>
              <w:rPr>
                <w:w w:val="110"/>
              </w:rPr>
              <w:t>Kinney,</w:t>
            </w:r>
            <w:r>
              <w:rPr>
                <w:spacing w:val="-8"/>
                <w:w w:val="110"/>
              </w:rPr>
              <w:t xml:space="preserve"> </w:t>
            </w:r>
            <w:r>
              <w:rPr>
                <w:w w:val="110"/>
              </w:rPr>
              <w:t>the</w:t>
            </w:r>
            <w:r>
              <w:rPr>
                <w:spacing w:val="-6"/>
                <w:w w:val="110"/>
              </w:rPr>
              <w:t xml:space="preserve"> </w:t>
            </w:r>
            <w:r>
              <w:rPr>
                <w:w w:val="110"/>
              </w:rPr>
              <w:t>Conflict</w:t>
            </w:r>
            <w:r>
              <w:rPr>
                <w:spacing w:val="-8"/>
                <w:w w:val="110"/>
              </w:rPr>
              <w:t xml:space="preserve"> </w:t>
            </w:r>
            <w:r>
              <w:rPr>
                <w:w w:val="110"/>
              </w:rPr>
              <w:t>and</w:t>
            </w:r>
            <w:r>
              <w:rPr>
                <w:spacing w:val="-8"/>
                <w:w w:val="110"/>
              </w:rPr>
              <w:t xml:space="preserve"> </w:t>
            </w:r>
            <w:r>
              <w:rPr>
                <w:w w:val="110"/>
              </w:rPr>
              <w:t>Environment</w:t>
            </w:r>
            <w:r>
              <w:rPr>
                <w:spacing w:val="-13"/>
                <w:w w:val="110"/>
              </w:rPr>
              <w:t xml:space="preserve"> </w:t>
            </w:r>
            <w:r>
              <w:rPr>
                <w:spacing w:val="-2"/>
                <w:w w:val="110"/>
              </w:rPr>
              <w:t>Observatory</w:t>
            </w:r>
          </w:p>
          <w:p w:rsidR="00B84CED" w:rsidRDefault="00794452" w14:paraId="40B7B9DD" w14:textId="77777777">
            <w:pPr>
              <w:pStyle w:val="TableParagraph"/>
              <w:numPr>
                <w:ilvl w:val="0"/>
                <w:numId w:val="7"/>
              </w:numPr>
              <w:tabs>
                <w:tab w:val="left" w:pos="833"/>
              </w:tabs>
              <w:spacing w:before="118"/>
            </w:pPr>
            <w:r>
              <w:rPr>
                <w:w w:val="110"/>
              </w:rPr>
              <w:t>Ms</w:t>
            </w:r>
            <w:r>
              <w:rPr>
                <w:spacing w:val="-12"/>
                <w:w w:val="110"/>
              </w:rPr>
              <w:t xml:space="preserve"> </w:t>
            </w:r>
            <w:r>
              <w:rPr>
                <w:w w:val="110"/>
              </w:rPr>
              <w:t>Niamh</w:t>
            </w:r>
            <w:r>
              <w:rPr>
                <w:spacing w:val="-10"/>
                <w:w w:val="110"/>
              </w:rPr>
              <w:t xml:space="preserve"> </w:t>
            </w:r>
            <w:r>
              <w:rPr>
                <w:w w:val="110"/>
              </w:rPr>
              <w:t>Ní</w:t>
            </w:r>
            <w:r>
              <w:rPr>
                <w:spacing w:val="-11"/>
                <w:w w:val="110"/>
              </w:rPr>
              <w:t xml:space="preserve"> </w:t>
            </w:r>
            <w:r>
              <w:rPr>
                <w:w w:val="110"/>
              </w:rPr>
              <w:t>Bhriain,</w:t>
            </w:r>
            <w:r>
              <w:rPr>
                <w:spacing w:val="-11"/>
                <w:w w:val="110"/>
              </w:rPr>
              <w:t xml:space="preserve"> </w:t>
            </w:r>
            <w:r>
              <w:rPr>
                <w:w w:val="110"/>
              </w:rPr>
              <w:t>the</w:t>
            </w:r>
            <w:r>
              <w:rPr>
                <w:spacing w:val="-10"/>
                <w:w w:val="110"/>
              </w:rPr>
              <w:t xml:space="preserve"> </w:t>
            </w:r>
            <w:r>
              <w:rPr>
                <w:w w:val="110"/>
              </w:rPr>
              <w:t>Transnational</w:t>
            </w:r>
            <w:r>
              <w:rPr>
                <w:spacing w:val="-13"/>
                <w:w w:val="110"/>
              </w:rPr>
              <w:t xml:space="preserve"> </w:t>
            </w:r>
            <w:r>
              <w:rPr>
                <w:spacing w:val="-2"/>
                <w:w w:val="110"/>
              </w:rPr>
              <w:t>Institute</w:t>
            </w:r>
          </w:p>
        </w:tc>
      </w:tr>
      <w:tr w:rsidR="00B84CED" w14:paraId="4CAA1FB0" w14:textId="77777777">
        <w:trPr>
          <w:trHeight w:val="6407"/>
        </w:trPr>
        <w:tc>
          <w:tcPr>
            <w:tcW w:w="2234" w:type="dxa"/>
          </w:tcPr>
          <w:p w:rsidR="00B84CED" w:rsidRDefault="00794452" w14:paraId="45E61344" w14:textId="77777777">
            <w:pPr>
              <w:pStyle w:val="TableParagraph"/>
              <w:spacing w:before="16"/>
              <w:ind w:left="0" w:right="19" w:firstLine="0"/>
              <w:jc w:val="center"/>
            </w:pPr>
            <w:hyperlink r:id="rId71">
              <w:r>
                <w:rPr>
                  <w:color w:val="0000FF"/>
                  <w:w w:val="110"/>
                  <w:u w:val="single" w:color="0000FF"/>
                </w:rPr>
                <w:t>Transcript</w:t>
              </w:r>
              <w:r>
                <w:rPr>
                  <w:color w:val="0000FF"/>
                  <w:spacing w:val="3"/>
                  <w:w w:val="115"/>
                  <w:u w:val="single" w:color="0000FF"/>
                </w:rPr>
                <w:t xml:space="preserve"> </w:t>
              </w:r>
              <w:r>
                <w:rPr>
                  <w:color w:val="0000FF"/>
                  <w:spacing w:val="-2"/>
                  <w:w w:val="115"/>
                  <w:u w:val="single" w:color="0000FF"/>
                </w:rPr>
                <w:t>15.10.25</w:t>
              </w:r>
            </w:hyperlink>
          </w:p>
        </w:tc>
        <w:tc>
          <w:tcPr>
            <w:tcW w:w="7046" w:type="dxa"/>
          </w:tcPr>
          <w:p w:rsidR="00B84CED" w:rsidRDefault="00794452" w14:paraId="267DF37E" w14:textId="77777777">
            <w:pPr>
              <w:pStyle w:val="TableParagraph"/>
              <w:numPr>
                <w:ilvl w:val="0"/>
                <w:numId w:val="8"/>
              </w:numPr>
              <w:tabs>
                <w:tab w:val="left" w:pos="832"/>
              </w:tabs>
              <w:spacing w:before="4"/>
              <w:ind w:left="832" w:hanging="359"/>
            </w:pPr>
            <w:r>
              <w:rPr>
                <w:w w:val="110"/>
              </w:rPr>
              <w:t>Ms</w:t>
            </w:r>
            <w:r>
              <w:rPr>
                <w:spacing w:val="-14"/>
                <w:w w:val="110"/>
              </w:rPr>
              <w:t xml:space="preserve"> </w:t>
            </w:r>
            <w:r>
              <w:rPr>
                <w:w w:val="110"/>
              </w:rPr>
              <w:t>Dinka</w:t>
            </w:r>
            <w:r>
              <w:rPr>
                <w:spacing w:val="-12"/>
                <w:w w:val="110"/>
              </w:rPr>
              <w:t xml:space="preserve"> </w:t>
            </w:r>
            <w:r>
              <w:rPr>
                <w:w w:val="110"/>
              </w:rPr>
              <w:t>Dinkova,</w:t>
            </w:r>
            <w:r>
              <w:rPr>
                <w:spacing w:val="-13"/>
                <w:w w:val="110"/>
              </w:rPr>
              <w:t xml:space="preserve"> </w:t>
            </w:r>
            <w:r>
              <w:rPr>
                <w:w w:val="110"/>
              </w:rPr>
              <w:t>European</w:t>
            </w:r>
            <w:r>
              <w:rPr>
                <w:spacing w:val="-13"/>
                <w:w w:val="110"/>
              </w:rPr>
              <w:t xml:space="preserve"> </w:t>
            </w:r>
            <w:r>
              <w:rPr>
                <w:spacing w:val="-2"/>
                <w:w w:val="110"/>
              </w:rPr>
              <w:t>Commission</w:t>
            </w:r>
          </w:p>
          <w:p w:rsidR="00B84CED" w:rsidRDefault="00794452" w14:paraId="48F2EFCE" w14:textId="77777777">
            <w:pPr>
              <w:pStyle w:val="TableParagraph"/>
              <w:numPr>
                <w:ilvl w:val="0"/>
                <w:numId w:val="8"/>
              </w:numPr>
              <w:tabs>
                <w:tab w:val="left" w:pos="833"/>
              </w:tabs>
              <w:spacing w:before="120"/>
            </w:pPr>
            <w:r>
              <w:rPr>
                <w:w w:val="110"/>
              </w:rPr>
              <w:t>Mr</w:t>
            </w:r>
            <w:r>
              <w:rPr>
                <w:spacing w:val="-5"/>
                <w:w w:val="110"/>
              </w:rPr>
              <w:t xml:space="preserve"> </w:t>
            </w:r>
            <w:r>
              <w:rPr>
                <w:w w:val="110"/>
              </w:rPr>
              <w:t>Jannik</w:t>
            </w:r>
            <w:r>
              <w:rPr>
                <w:spacing w:val="-5"/>
                <w:w w:val="110"/>
              </w:rPr>
              <w:t xml:space="preserve"> </w:t>
            </w:r>
            <w:r>
              <w:rPr>
                <w:w w:val="110"/>
              </w:rPr>
              <w:t>Knauer,</w:t>
            </w:r>
            <w:r>
              <w:rPr>
                <w:spacing w:val="-6"/>
                <w:w w:val="110"/>
              </w:rPr>
              <w:t xml:space="preserve"> </w:t>
            </w:r>
            <w:r>
              <w:rPr>
                <w:w w:val="110"/>
              </w:rPr>
              <w:t>European</w:t>
            </w:r>
            <w:r>
              <w:rPr>
                <w:spacing w:val="-10"/>
                <w:w w:val="110"/>
              </w:rPr>
              <w:t xml:space="preserve"> </w:t>
            </w:r>
            <w:r>
              <w:rPr>
                <w:spacing w:val="-2"/>
                <w:w w:val="110"/>
              </w:rPr>
              <w:t>Commission</w:t>
            </w:r>
          </w:p>
          <w:p w:rsidRPr="00794452" w:rsidR="00B84CED" w:rsidRDefault="00794452" w14:paraId="2AE6932B" w14:textId="77777777">
            <w:pPr>
              <w:pStyle w:val="TableParagraph"/>
              <w:numPr>
                <w:ilvl w:val="0"/>
                <w:numId w:val="8"/>
              </w:numPr>
              <w:tabs>
                <w:tab w:val="left" w:pos="833"/>
              </w:tabs>
              <w:spacing w:before="121"/>
              <w:ind w:hanging="361"/>
              <w:rPr>
                <w:lang w:val="it-IT"/>
              </w:rPr>
            </w:pPr>
            <w:r w:rsidRPr="00794452">
              <w:rPr>
                <w:w w:val="110"/>
                <w:lang w:val="it-IT"/>
              </w:rPr>
              <w:t>Ms</w:t>
            </w:r>
            <w:r w:rsidRPr="00794452">
              <w:rPr>
                <w:spacing w:val="-9"/>
                <w:w w:val="110"/>
                <w:lang w:val="it-IT"/>
              </w:rPr>
              <w:t xml:space="preserve"> </w:t>
            </w:r>
            <w:r w:rsidRPr="00794452">
              <w:rPr>
                <w:w w:val="110"/>
                <w:lang w:val="it-IT"/>
              </w:rPr>
              <w:t>Paola</w:t>
            </w:r>
            <w:r w:rsidRPr="00794452">
              <w:rPr>
                <w:spacing w:val="-7"/>
                <w:w w:val="110"/>
                <w:lang w:val="it-IT"/>
              </w:rPr>
              <w:t xml:space="preserve"> </w:t>
            </w:r>
            <w:r w:rsidRPr="00794452">
              <w:rPr>
                <w:w w:val="110"/>
                <w:lang w:val="it-IT"/>
              </w:rPr>
              <w:t>Lo</w:t>
            </w:r>
            <w:r w:rsidRPr="00794452">
              <w:rPr>
                <w:spacing w:val="-6"/>
                <w:w w:val="110"/>
                <w:lang w:val="it-IT"/>
              </w:rPr>
              <w:t xml:space="preserve"> </w:t>
            </w:r>
            <w:r w:rsidRPr="00794452">
              <w:rPr>
                <w:w w:val="110"/>
                <w:lang w:val="it-IT"/>
              </w:rPr>
              <w:t>Bue</w:t>
            </w:r>
            <w:r w:rsidRPr="00794452">
              <w:rPr>
                <w:spacing w:val="-5"/>
                <w:w w:val="110"/>
                <w:lang w:val="it-IT"/>
              </w:rPr>
              <w:t xml:space="preserve"> </w:t>
            </w:r>
            <w:r w:rsidRPr="00794452">
              <w:rPr>
                <w:w w:val="110"/>
                <w:lang w:val="it-IT"/>
              </w:rPr>
              <w:t>Oddo,</w:t>
            </w:r>
            <w:r w:rsidRPr="00794452">
              <w:rPr>
                <w:spacing w:val="-9"/>
                <w:w w:val="110"/>
                <w:lang w:val="it-IT"/>
              </w:rPr>
              <w:t xml:space="preserve"> </w:t>
            </w:r>
            <w:r w:rsidRPr="00794452">
              <w:rPr>
                <w:w w:val="110"/>
                <w:lang w:val="it-IT"/>
              </w:rPr>
              <w:t>European</w:t>
            </w:r>
            <w:r w:rsidRPr="00794452">
              <w:rPr>
                <w:spacing w:val="-12"/>
                <w:w w:val="110"/>
                <w:lang w:val="it-IT"/>
              </w:rPr>
              <w:t xml:space="preserve"> </w:t>
            </w:r>
            <w:r w:rsidRPr="00794452">
              <w:rPr>
                <w:spacing w:val="-2"/>
                <w:w w:val="110"/>
                <w:lang w:val="it-IT"/>
              </w:rPr>
              <w:t>Commission</w:t>
            </w:r>
          </w:p>
          <w:p w:rsidR="00B84CED" w:rsidRDefault="00794452" w14:paraId="6AA8B096" w14:textId="77777777">
            <w:pPr>
              <w:pStyle w:val="TableParagraph"/>
              <w:numPr>
                <w:ilvl w:val="0"/>
                <w:numId w:val="8"/>
              </w:numPr>
              <w:tabs>
                <w:tab w:val="left" w:pos="833"/>
              </w:tabs>
              <w:spacing w:before="120"/>
              <w:ind w:hanging="361"/>
            </w:pPr>
            <w:r>
              <w:rPr>
                <w:w w:val="110"/>
              </w:rPr>
              <w:t>Mr</w:t>
            </w:r>
            <w:r>
              <w:rPr>
                <w:spacing w:val="-7"/>
                <w:w w:val="110"/>
              </w:rPr>
              <w:t xml:space="preserve"> </w:t>
            </w:r>
            <w:r>
              <w:rPr>
                <w:w w:val="110"/>
              </w:rPr>
              <w:t>Guillame</w:t>
            </w:r>
            <w:r>
              <w:rPr>
                <w:spacing w:val="-5"/>
                <w:w w:val="110"/>
              </w:rPr>
              <w:t xml:space="preserve"> </w:t>
            </w:r>
            <w:r>
              <w:rPr>
                <w:w w:val="110"/>
              </w:rPr>
              <w:t>de</w:t>
            </w:r>
            <w:r>
              <w:rPr>
                <w:spacing w:val="-6"/>
                <w:w w:val="110"/>
              </w:rPr>
              <w:t xml:space="preserve"> </w:t>
            </w:r>
            <w:r>
              <w:rPr>
                <w:w w:val="110"/>
              </w:rPr>
              <w:t>la</w:t>
            </w:r>
            <w:r>
              <w:rPr>
                <w:spacing w:val="-4"/>
                <w:w w:val="110"/>
              </w:rPr>
              <w:t xml:space="preserve"> </w:t>
            </w:r>
            <w:r>
              <w:rPr>
                <w:w w:val="110"/>
              </w:rPr>
              <w:t>Brosse,</w:t>
            </w:r>
            <w:r>
              <w:rPr>
                <w:spacing w:val="-6"/>
                <w:w w:val="110"/>
              </w:rPr>
              <w:t xml:space="preserve"> </w:t>
            </w:r>
            <w:r>
              <w:rPr>
                <w:w w:val="110"/>
              </w:rPr>
              <w:t>European</w:t>
            </w:r>
            <w:r>
              <w:rPr>
                <w:spacing w:val="-15"/>
                <w:w w:val="110"/>
              </w:rPr>
              <w:t xml:space="preserve"> </w:t>
            </w:r>
            <w:r>
              <w:rPr>
                <w:spacing w:val="-2"/>
                <w:w w:val="110"/>
              </w:rPr>
              <w:t>Commission</w:t>
            </w:r>
          </w:p>
          <w:p w:rsidR="00B84CED" w:rsidRDefault="00794452" w14:paraId="648B4DC5" w14:textId="77777777">
            <w:pPr>
              <w:pStyle w:val="TableParagraph"/>
              <w:numPr>
                <w:ilvl w:val="0"/>
                <w:numId w:val="8"/>
              </w:numPr>
              <w:tabs>
                <w:tab w:val="left" w:pos="833"/>
              </w:tabs>
              <w:spacing w:before="121" w:line="352" w:lineRule="auto"/>
              <w:ind w:right="549" w:hanging="361"/>
            </w:pPr>
            <w:r>
              <w:rPr>
                <w:spacing w:val="-2"/>
                <w:w w:val="110"/>
              </w:rPr>
              <w:t>Mr</w:t>
            </w:r>
            <w:r>
              <w:rPr>
                <w:spacing w:val="-10"/>
                <w:w w:val="110"/>
              </w:rPr>
              <w:t xml:space="preserve"> </w:t>
            </w:r>
            <w:r>
              <w:rPr>
                <w:spacing w:val="-2"/>
                <w:w w:val="110"/>
              </w:rPr>
              <w:t>Matthew</w:t>
            </w:r>
            <w:r>
              <w:rPr>
                <w:spacing w:val="-10"/>
                <w:w w:val="110"/>
              </w:rPr>
              <w:t xml:space="preserve"> </w:t>
            </w:r>
            <w:r>
              <w:rPr>
                <w:spacing w:val="-2"/>
                <w:w w:val="110"/>
              </w:rPr>
              <w:t>McGann,</w:t>
            </w:r>
            <w:r>
              <w:rPr>
                <w:spacing w:val="-11"/>
                <w:w w:val="110"/>
              </w:rPr>
              <w:t xml:space="preserve"> </w:t>
            </w:r>
            <w:r>
              <w:rPr>
                <w:spacing w:val="-2"/>
                <w:w w:val="110"/>
              </w:rPr>
              <w:t>PO</w:t>
            </w:r>
            <w:r>
              <w:rPr>
                <w:spacing w:val="-11"/>
                <w:w w:val="110"/>
              </w:rPr>
              <w:t xml:space="preserve"> </w:t>
            </w:r>
            <w:r>
              <w:rPr>
                <w:spacing w:val="-2"/>
                <w:w w:val="110"/>
              </w:rPr>
              <w:t>EU</w:t>
            </w:r>
            <w:r>
              <w:rPr>
                <w:spacing w:val="-10"/>
                <w:w w:val="110"/>
              </w:rPr>
              <w:t xml:space="preserve"> </w:t>
            </w:r>
            <w:r>
              <w:rPr>
                <w:spacing w:val="-2"/>
                <w:w w:val="110"/>
              </w:rPr>
              <w:t>Strategy</w:t>
            </w:r>
            <w:r>
              <w:rPr>
                <w:spacing w:val="-11"/>
                <w:w w:val="110"/>
              </w:rPr>
              <w:t xml:space="preserve"> </w:t>
            </w:r>
            <w:r>
              <w:rPr>
                <w:spacing w:val="-2"/>
                <w:w w:val="110"/>
              </w:rPr>
              <w:t>Unit,</w:t>
            </w:r>
            <w:r>
              <w:rPr>
                <w:spacing w:val="-10"/>
                <w:w w:val="110"/>
              </w:rPr>
              <w:t xml:space="preserve"> </w:t>
            </w:r>
            <w:r>
              <w:rPr>
                <w:spacing w:val="-2"/>
                <w:w w:val="110"/>
              </w:rPr>
              <w:t>Department</w:t>
            </w:r>
            <w:r>
              <w:rPr>
                <w:spacing w:val="-10"/>
                <w:w w:val="110"/>
              </w:rPr>
              <w:t xml:space="preserve"> </w:t>
            </w:r>
            <w:r>
              <w:rPr>
                <w:spacing w:val="-2"/>
                <w:w w:val="110"/>
              </w:rPr>
              <w:t>of Finance</w:t>
            </w:r>
          </w:p>
          <w:p w:rsidR="00B84CED" w:rsidRDefault="00794452" w14:paraId="4F337241" w14:textId="77777777">
            <w:pPr>
              <w:pStyle w:val="TableParagraph"/>
              <w:numPr>
                <w:ilvl w:val="0"/>
                <w:numId w:val="8"/>
              </w:numPr>
              <w:tabs>
                <w:tab w:val="left" w:pos="833"/>
              </w:tabs>
              <w:spacing w:before="2"/>
            </w:pPr>
            <w:r>
              <w:rPr>
                <w:w w:val="110"/>
              </w:rPr>
              <w:t>Ms</w:t>
            </w:r>
            <w:r>
              <w:rPr>
                <w:spacing w:val="-13"/>
                <w:w w:val="110"/>
              </w:rPr>
              <w:t xml:space="preserve"> </w:t>
            </w:r>
            <w:r>
              <w:rPr>
                <w:w w:val="110"/>
              </w:rPr>
              <w:t>Fiona</w:t>
            </w:r>
            <w:r>
              <w:rPr>
                <w:spacing w:val="-8"/>
                <w:w w:val="110"/>
              </w:rPr>
              <w:t xml:space="preserve"> </w:t>
            </w:r>
            <w:r>
              <w:rPr>
                <w:w w:val="110"/>
              </w:rPr>
              <w:t>Ralph,</w:t>
            </w:r>
            <w:r>
              <w:rPr>
                <w:spacing w:val="-7"/>
                <w:w w:val="110"/>
              </w:rPr>
              <w:t xml:space="preserve"> </w:t>
            </w:r>
            <w:r>
              <w:rPr>
                <w:w w:val="110"/>
              </w:rPr>
              <w:t>PO</w:t>
            </w:r>
            <w:r>
              <w:rPr>
                <w:spacing w:val="-10"/>
                <w:w w:val="110"/>
              </w:rPr>
              <w:t xml:space="preserve"> </w:t>
            </w:r>
            <w:r>
              <w:rPr>
                <w:w w:val="110"/>
              </w:rPr>
              <w:t>EU</w:t>
            </w:r>
            <w:r>
              <w:rPr>
                <w:spacing w:val="-11"/>
                <w:w w:val="110"/>
              </w:rPr>
              <w:t xml:space="preserve"> </w:t>
            </w:r>
            <w:r>
              <w:rPr>
                <w:w w:val="110"/>
              </w:rPr>
              <w:t>Budget</w:t>
            </w:r>
            <w:r>
              <w:rPr>
                <w:spacing w:val="-7"/>
                <w:w w:val="110"/>
              </w:rPr>
              <w:t xml:space="preserve"> </w:t>
            </w:r>
            <w:r>
              <w:rPr>
                <w:w w:val="110"/>
              </w:rPr>
              <w:t>Unit,</w:t>
            </w:r>
            <w:r>
              <w:rPr>
                <w:spacing w:val="-10"/>
                <w:w w:val="110"/>
              </w:rPr>
              <w:t xml:space="preserve"> </w:t>
            </w:r>
            <w:r>
              <w:rPr>
                <w:w w:val="110"/>
              </w:rPr>
              <w:t>Department</w:t>
            </w:r>
            <w:r>
              <w:rPr>
                <w:spacing w:val="-11"/>
                <w:w w:val="110"/>
              </w:rPr>
              <w:t xml:space="preserve"> </w:t>
            </w:r>
            <w:r>
              <w:rPr>
                <w:w w:val="110"/>
              </w:rPr>
              <w:t>of</w:t>
            </w:r>
            <w:r>
              <w:rPr>
                <w:spacing w:val="-18"/>
                <w:w w:val="110"/>
              </w:rPr>
              <w:t xml:space="preserve"> </w:t>
            </w:r>
            <w:r>
              <w:rPr>
                <w:spacing w:val="-2"/>
                <w:w w:val="110"/>
              </w:rPr>
              <w:t>Finance</w:t>
            </w:r>
          </w:p>
          <w:p w:rsidR="00B84CED" w:rsidRDefault="00794452" w14:paraId="03B312D7" w14:textId="77777777">
            <w:pPr>
              <w:pStyle w:val="TableParagraph"/>
              <w:numPr>
                <w:ilvl w:val="0"/>
                <w:numId w:val="8"/>
              </w:numPr>
              <w:tabs>
                <w:tab w:val="left" w:pos="833"/>
              </w:tabs>
              <w:spacing w:before="114" w:line="352" w:lineRule="auto"/>
              <w:ind w:right="102" w:hanging="361"/>
            </w:pPr>
            <w:r>
              <w:rPr>
                <w:w w:val="110"/>
              </w:rPr>
              <w:t>Ms</w:t>
            </w:r>
            <w:r>
              <w:rPr>
                <w:spacing w:val="-8"/>
                <w:w w:val="110"/>
              </w:rPr>
              <w:t xml:space="preserve"> </w:t>
            </w:r>
            <w:r>
              <w:rPr>
                <w:w w:val="110"/>
              </w:rPr>
              <w:t>Ruth</w:t>
            </w:r>
            <w:r>
              <w:rPr>
                <w:spacing w:val="-7"/>
                <w:w w:val="110"/>
              </w:rPr>
              <w:t xml:space="preserve"> </w:t>
            </w:r>
            <w:r>
              <w:rPr>
                <w:w w:val="110"/>
              </w:rPr>
              <w:t>Lennon,</w:t>
            </w:r>
            <w:r>
              <w:rPr>
                <w:spacing w:val="-9"/>
                <w:w w:val="110"/>
              </w:rPr>
              <w:t xml:space="preserve"> </w:t>
            </w:r>
            <w:r>
              <w:rPr>
                <w:w w:val="110"/>
              </w:rPr>
              <w:t>AP</w:t>
            </w:r>
            <w:r>
              <w:rPr>
                <w:spacing w:val="-8"/>
                <w:w w:val="110"/>
              </w:rPr>
              <w:t xml:space="preserve"> </w:t>
            </w:r>
            <w:r>
              <w:rPr>
                <w:w w:val="110"/>
              </w:rPr>
              <w:t>EU</w:t>
            </w:r>
            <w:r>
              <w:rPr>
                <w:spacing w:val="-10"/>
                <w:w w:val="110"/>
              </w:rPr>
              <w:t xml:space="preserve"> </w:t>
            </w:r>
            <w:r>
              <w:rPr>
                <w:w w:val="110"/>
              </w:rPr>
              <w:t>Strategy</w:t>
            </w:r>
            <w:r>
              <w:rPr>
                <w:spacing w:val="-9"/>
                <w:w w:val="110"/>
              </w:rPr>
              <w:t xml:space="preserve"> </w:t>
            </w:r>
            <w:r>
              <w:rPr>
                <w:w w:val="110"/>
              </w:rPr>
              <w:t>Unit,</w:t>
            </w:r>
            <w:r>
              <w:rPr>
                <w:spacing w:val="-6"/>
                <w:w w:val="110"/>
              </w:rPr>
              <w:t xml:space="preserve"> </w:t>
            </w:r>
            <w:r>
              <w:rPr>
                <w:w w:val="110"/>
              </w:rPr>
              <w:t>EU</w:t>
            </w:r>
            <w:r>
              <w:rPr>
                <w:spacing w:val="-10"/>
                <w:w w:val="110"/>
              </w:rPr>
              <w:t xml:space="preserve"> </w:t>
            </w:r>
            <w:r>
              <w:rPr>
                <w:w w:val="110"/>
              </w:rPr>
              <w:t>&amp;</w:t>
            </w:r>
            <w:r>
              <w:rPr>
                <w:spacing w:val="-9"/>
                <w:w w:val="110"/>
              </w:rPr>
              <w:t xml:space="preserve"> </w:t>
            </w:r>
            <w:r>
              <w:rPr>
                <w:w w:val="110"/>
              </w:rPr>
              <w:t>International</w:t>
            </w:r>
            <w:r>
              <w:rPr>
                <w:spacing w:val="-6"/>
                <w:w w:val="110"/>
              </w:rPr>
              <w:t xml:space="preserve"> </w:t>
            </w:r>
            <w:r>
              <w:rPr>
                <w:w w:val="110"/>
              </w:rPr>
              <w:t>Unit, Department of Finance</w:t>
            </w:r>
          </w:p>
          <w:p w:rsidR="00B84CED" w:rsidRDefault="00794452" w14:paraId="07E672D0" w14:textId="77777777">
            <w:pPr>
              <w:pStyle w:val="TableParagraph"/>
              <w:numPr>
                <w:ilvl w:val="0"/>
                <w:numId w:val="8"/>
              </w:numPr>
              <w:tabs>
                <w:tab w:val="left" w:pos="831"/>
                <w:tab w:val="left" w:pos="833"/>
              </w:tabs>
              <w:spacing w:line="355" w:lineRule="auto"/>
              <w:ind w:right="398" w:hanging="361"/>
              <w:jc w:val="both"/>
            </w:pPr>
            <w:r>
              <w:rPr>
                <w:w w:val="110"/>
              </w:rPr>
              <w:t>Mr</w:t>
            </w:r>
            <w:r>
              <w:rPr>
                <w:spacing w:val="-7"/>
                <w:w w:val="110"/>
              </w:rPr>
              <w:t xml:space="preserve"> </w:t>
            </w:r>
            <w:r>
              <w:rPr>
                <w:w w:val="110"/>
              </w:rPr>
              <w:t>Andrew</w:t>
            </w:r>
            <w:r>
              <w:rPr>
                <w:spacing w:val="-7"/>
                <w:w w:val="110"/>
              </w:rPr>
              <w:t xml:space="preserve"> </w:t>
            </w:r>
            <w:r>
              <w:rPr>
                <w:w w:val="110"/>
              </w:rPr>
              <w:t>Condon,</w:t>
            </w:r>
            <w:r>
              <w:rPr>
                <w:spacing w:val="-8"/>
                <w:w w:val="110"/>
              </w:rPr>
              <w:t xml:space="preserve"> </w:t>
            </w:r>
            <w:r>
              <w:rPr>
                <w:w w:val="110"/>
              </w:rPr>
              <w:t>PO</w:t>
            </w:r>
            <w:r>
              <w:rPr>
                <w:spacing w:val="-11"/>
                <w:w w:val="110"/>
              </w:rPr>
              <w:t xml:space="preserve"> </w:t>
            </w:r>
            <w:r>
              <w:rPr>
                <w:w w:val="110"/>
              </w:rPr>
              <w:t>with</w:t>
            </w:r>
            <w:r>
              <w:rPr>
                <w:spacing w:val="-9"/>
                <w:w w:val="110"/>
              </w:rPr>
              <w:t xml:space="preserve"> </w:t>
            </w:r>
            <w:r>
              <w:rPr>
                <w:w w:val="110"/>
              </w:rPr>
              <w:t>responsibility</w:t>
            </w:r>
            <w:r>
              <w:rPr>
                <w:spacing w:val="-8"/>
                <w:w w:val="110"/>
              </w:rPr>
              <w:t xml:space="preserve"> </w:t>
            </w:r>
            <w:r>
              <w:rPr>
                <w:w w:val="110"/>
              </w:rPr>
              <w:t>for</w:t>
            </w:r>
            <w:r>
              <w:rPr>
                <w:spacing w:val="-10"/>
                <w:w w:val="110"/>
              </w:rPr>
              <w:t xml:space="preserve"> </w:t>
            </w:r>
            <w:r>
              <w:rPr>
                <w:w w:val="110"/>
              </w:rPr>
              <w:t>EU</w:t>
            </w:r>
            <w:r>
              <w:rPr>
                <w:spacing w:val="-9"/>
                <w:w w:val="110"/>
              </w:rPr>
              <w:t xml:space="preserve"> </w:t>
            </w:r>
            <w:r>
              <w:rPr>
                <w:w w:val="110"/>
              </w:rPr>
              <w:t>Cohesion Funds</w:t>
            </w:r>
            <w:r>
              <w:rPr>
                <w:spacing w:val="-4"/>
                <w:w w:val="110"/>
              </w:rPr>
              <w:t xml:space="preserve"> </w:t>
            </w:r>
            <w:r>
              <w:rPr>
                <w:w w:val="110"/>
              </w:rPr>
              <w:t>and</w:t>
            </w:r>
            <w:r>
              <w:rPr>
                <w:spacing w:val="-5"/>
                <w:w w:val="110"/>
              </w:rPr>
              <w:t xml:space="preserve"> </w:t>
            </w:r>
            <w:r>
              <w:rPr>
                <w:w w:val="110"/>
              </w:rPr>
              <w:t>North</w:t>
            </w:r>
            <w:r>
              <w:rPr>
                <w:spacing w:val="-5"/>
                <w:w w:val="110"/>
              </w:rPr>
              <w:t xml:space="preserve"> </w:t>
            </w:r>
            <w:r>
              <w:rPr>
                <w:w w:val="110"/>
              </w:rPr>
              <w:t>South,</w:t>
            </w:r>
            <w:r>
              <w:rPr>
                <w:spacing w:val="-7"/>
                <w:w w:val="110"/>
              </w:rPr>
              <w:t xml:space="preserve"> </w:t>
            </w:r>
            <w:r>
              <w:rPr>
                <w:w w:val="110"/>
              </w:rPr>
              <w:t>Department</w:t>
            </w:r>
            <w:r>
              <w:rPr>
                <w:spacing w:val="-5"/>
                <w:w w:val="110"/>
              </w:rPr>
              <w:t xml:space="preserve"> </w:t>
            </w:r>
            <w:r>
              <w:rPr>
                <w:w w:val="110"/>
              </w:rPr>
              <w:t>of</w:t>
            </w:r>
            <w:r>
              <w:rPr>
                <w:spacing w:val="-4"/>
                <w:w w:val="110"/>
              </w:rPr>
              <w:t xml:space="preserve"> </w:t>
            </w:r>
            <w:r>
              <w:rPr>
                <w:w w:val="110"/>
              </w:rPr>
              <w:t>Public</w:t>
            </w:r>
            <w:r>
              <w:rPr>
                <w:spacing w:val="-5"/>
                <w:w w:val="110"/>
              </w:rPr>
              <w:t xml:space="preserve"> </w:t>
            </w:r>
            <w:r>
              <w:rPr>
                <w:w w:val="110"/>
              </w:rPr>
              <w:t>Expenditure, Infrastructure, Public Services Reform and Digitalisation</w:t>
            </w:r>
          </w:p>
          <w:p w:rsidR="00B84CED" w:rsidRDefault="00794452" w14:paraId="2ECF4B96" w14:textId="77777777">
            <w:pPr>
              <w:pStyle w:val="TableParagraph"/>
              <w:numPr>
                <w:ilvl w:val="0"/>
                <w:numId w:val="8"/>
              </w:numPr>
              <w:tabs>
                <w:tab w:val="left" w:pos="832"/>
                <w:tab w:val="left" w:pos="834"/>
              </w:tabs>
              <w:spacing w:line="352" w:lineRule="auto"/>
              <w:ind w:left="834" w:right="328" w:hanging="361"/>
              <w:jc w:val="both"/>
            </w:pPr>
            <w:r>
              <w:rPr>
                <w:w w:val="110"/>
              </w:rPr>
              <w:t>Ms</w:t>
            </w:r>
            <w:r>
              <w:rPr>
                <w:spacing w:val="-10"/>
                <w:w w:val="110"/>
              </w:rPr>
              <w:t xml:space="preserve"> </w:t>
            </w:r>
            <w:r>
              <w:rPr>
                <w:w w:val="110"/>
              </w:rPr>
              <w:t>Nicole</w:t>
            </w:r>
            <w:r>
              <w:rPr>
                <w:spacing w:val="-12"/>
                <w:w w:val="110"/>
              </w:rPr>
              <w:t xml:space="preserve"> </w:t>
            </w:r>
            <w:r>
              <w:rPr>
                <w:w w:val="110"/>
              </w:rPr>
              <w:t>Mannion,</w:t>
            </w:r>
            <w:r>
              <w:rPr>
                <w:spacing w:val="-10"/>
                <w:w w:val="110"/>
              </w:rPr>
              <w:t xml:space="preserve"> </w:t>
            </w:r>
            <w:r>
              <w:rPr>
                <w:w w:val="110"/>
              </w:rPr>
              <w:t>Director</w:t>
            </w:r>
            <w:r>
              <w:rPr>
                <w:spacing w:val="-10"/>
                <w:w w:val="110"/>
              </w:rPr>
              <w:t xml:space="preserve"> </w:t>
            </w:r>
            <w:r>
              <w:rPr>
                <w:w w:val="110"/>
              </w:rPr>
              <w:t>of</w:t>
            </w:r>
            <w:r>
              <w:rPr>
                <w:spacing w:val="-10"/>
                <w:w w:val="110"/>
              </w:rPr>
              <w:t xml:space="preserve"> </w:t>
            </w:r>
            <w:r>
              <w:rPr>
                <w:w w:val="110"/>
              </w:rPr>
              <w:t>International</w:t>
            </w:r>
            <w:r>
              <w:rPr>
                <w:spacing w:val="-10"/>
                <w:w w:val="110"/>
              </w:rPr>
              <w:t xml:space="preserve"> </w:t>
            </w:r>
            <w:r>
              <w:rPr>
                <w:w w:val="110"/>
              </w:rPr>
              <w:t>Security</w:t>
            </w:r>
            <w:r>
              <w:rPr>
                <w:spacing w:val="-10"/>
                <w:w w:val="110"/>
              </w:rPr>
              <w:t xml:space="preserve"> </w:t>
            </w:r>
            <w:r>
              <w:rPr>
                <w:w w:val="110"/>
              </w:rPr>
              <w:t>Policy Unit, Department of Foreign Affairs</w:t>
            </w:r>
          </w:p>
          <w:p w:rsidRPr="00794452" w:rsidR="00B84CED" w:rsidRDefault="00794452" w14:paraId="619391E8" w14:textId="77777777">
            <w:pPr>
              <w:pStyle w:val="TableParagraph"/>
              <w:numPr>
                <w:ilvl w:val="0"/>
                <w:numId w:val="8"/>
              </w:numPr>
              <w:tabs>
                <w:tab w:val="left" w:pos="832"/>
              </w:tabs>
              <w:spacing w:line="280" w:lineRule="exact"/>
              <w:ind w:left="832" w:hanging="359"/>
              <w:jc w:val="both"/>
              <w:rPr>
                <w:lang w:val="fr-BE"/>
              </w:rPr>
            </w:pPr>
            <w:r w:rsidRPr="00794452">
              <w:rPr>
                <w:w w:val="110"/>
                <w:lang w:val="fr-BE"/>
              </w:rPr>
              <w:t>Mr</w:t>
            </w:r>
            <w:r w:rsidRPr="00794452">
              <w:rPr>
                <w:spacing w:val="1"/>
                <w:w w:val="110"/>
                <w:lang w:val="fr-BE"/>
              </w:rPr>
              <w:t xml:space="preserve"> </w:t>
            </w:r>
            <w:r w:rsidRPr="00794452">
              <w:rPr>
                <w:w w:val="110"/>
                <w:lang w:val="fr-BE"/>
              </w:rPr>
              <w:t>James</w:t>
            </w:r>
            <w:r w:rsidRPr="00794452">
              <w:rPr>
                <w:spacing w:val="4"/>
                <w:w w:val="110"/>
                <w:lang w:val="fr-BE"/>
              </w:rPr>
              <w:t xml:space="preserve"> </w:t>
            </w:r>
            <w:r w:rsidRPr="00794452">
              <w:rPr>
                <w:w w:val="110"/>
                <w:lang w:val="fr-BE"/>
              </w:rPr>
              <w:t>Ryan,</w:t>
            </w:r>
            <w:r w:rsidRPr="00794452">
              <w:rPr>
                <w:spacing w:val="3"/>
                <w:w w:val="110"/>
                <w:lang w:val="fr-BE"/>
              </w:rPr>
              <w:t xml:space="preserve"> </w:t>
            </w:r>
            <w:r w:rsidRPr="00794452">
              <w:rPr>
                <w:w w:val="110"/>
                <w:lang w:val="fr-BE"/>
              </w:rPr>
              <w:t>PO</w:t>
            </w:r>
            <w:r w:rsidRPr="00794452">
              <w:rPr>
                <w:spacing w:val="1"/>
                <w:w w:val="110"/>
                <w:lang w:val="fr-BE"/>
              </w:rPr>
              <w:t xml:space="preserve"> </w:t>
            </w:r>
            <w:r w:rsidRPr="00794452">
              <w:rPr>
                <w:w w:val="110"/>
                <w:lang w:val="fr-BE"/>
              </w:rPr>
              <w:t>EU/Industrial</w:t>
            </w:r>
            <w:r w:rsidRPr="00794452">
              <w:rPr>
                <w:spacing w:val="3"/>
                <w:w w:val="110"/>
                <w:lang w:val="fr-BE"/>
              </w:rPr>
              <w:t xml:space="preserve"> </w:t>
            </w:r>
            <w:r w:rsidRPr="00794452">
              <w:rPr>
                <w:w w:val="110"/>
                <w:lang w:val="fr-BE"/>
              </w:rPr>
              <w:t>Engagement</w:t>
            </w:r>
            <w:r w:rsidRPr="00794452">
              <w:rPr>
                <w:spacing w:val="-5"/>
                <w:w w:val="110"/>
                <w:lang w:val="fr-BE"/>
              </w:rPr>
              <w:t xml:space="preserve"> </w:t>
            </w:r>
            <w:r w:rsidRPr="00794452">
              <w:rPr>
                <w:spacing w:val="-2"/>
                <w:w w:val="110"/>
                <w:lang w:val="fr-BE"/>
              </w:rPr>
              <w:t>Unit,</w:t>
            </w:r>
          </w:p>
          <w:p w:rsidR="00B84CED" w:rsidRDefault="00794452" w14:paraId="75515801" w14:textId="77777777">
            <w:pPr>
              <w:pStyle w:val="TableParagraph"/>
              <w:spacing w:before="129"/>
              <w:ind w:left="834" w:firstLine="0"/>
              <w:jc w:val="both"/>
            </w:pPr>
            <w:r>
              <w:rPr>
                <w:spacing w:val="2"/>
              </w:rPr>
              <w:t>Department</w:t>
            </w:r>
            <w:r>
              <w:rPr>
                <w:spacing w:val="36"/>
              </w:rPr>
              <w:t xml:space="preserve"> </w:t>
            </w:r>
            <w:r>
              <w:rPr>
                <w:spacing w:val="2"/>
              </w:rPr>
              <w:t>of</w:t>
            </w:r>
            <w:r>
              <w:rPr>
                <w:spacing w:val="40"/>
              </w:rPr>
              <w:t xml:space="preserve"> </w:t>
            </w:r>
            <w:r>
              <w:rPr>
                <w:spacing w:val="-2"/>
              </w:rPr>
              <w:t>Defence</w:t>
            </w:r>
          </w:p>
        </w:tc>
      </w:tr>
    </w:tbl>
    <w:p w:rsidR="00B84CED" w:rsidRDefault="00794452" w14:paraId="358E908F" w14:textId="77777777">
      <w:pPr>
        <w:spacing w:before="260"/>
        <w:ind w:left="1"/>
        <w:rPr>
          <w:sz w:val="26"/>
        </w:rPr>
      </w:pPr>
      <w:bookmarkStart w:name="Correspondence" w:id="89"/>
      <w:bookmarkEnd w:id="89"/>
      <w:r>
        <w:rPr>
          <w:color w:val="3A5C66"/>
          <w:spacing w:val="-2"/>
          <w:w w:val="110"/>
          <w:sz w:val="26"/>
        </w:rPr>
        <w:t>Correspondence</w:t>
      </w:r>
    </w:p>
    <w:p w:rsidR="00B84CED" w:rsidRDefault="00794452" w14:paraId="394C8DD3" w14:textId="77777777">
      <w:pPr>
        <w:pStyle w:val="ListParagraph"/>
        <w:numPr>
          <w:ilvl w:val="0"/>
          <w:numId w:val="9"/>
        </w:numPr>
        <w:tabs>
          <w:tab w:val="left" w:pos="721"/>
        </w:tabs>
        <w:spacing w:before="141" w:line="290" w:lineRule="auto"/>
        <w:ind w:right="865"/>
      </w:pPr>
      <w:r>
        <w:rPr>
          <w:w w:val="110"/>
        </w:rPr>
        <w:t>Correspondence</w:t>
      </w:r>
      <w:r>
        <w:rPr>
          <w:spacing w:val="-9"/>
          <w:w w:val="110"/>
        </w:rPr>
        <w:t xml:space="preserve"> </w:t>
      </w:r>
      <w:r>
        <w:rPr>
          <w:w w:val="110"/>
        </w:rPr>
        <w:t>received</w:t>
      </w:r>
      <w:r>
        <w:rPr>
          <w:spacing w:val="-8"/>
          <w:w w:val="110"/>
        </w:rPr>
        <w:t xml:space="preserve"> </w:t>
      </w:r>
      <w:r>
        <w:rPr>
          <w:w w:val="110"/>
        </w:rPr>
        <w:t>from</w:t>
      </w:r>
      <w:r>
        <w:rPr>
          <w:spacing w:val="-7"/>
          <w:w w:val="110"/>
        </w:rPr>
        <w:t xml:space="preserve"> </w:t>
      </w:r>
      <w:r>
        <w:rPr>
          <w:w w:val="110"/>
        </w:rPr>
        <w:t>Department</w:t>
      </w:r>
      <w:r>
        <w:rPr>
          <w:spacing w:val="-8"/>
          <w:w w:val="110"/>
        </w:rPr>
        <w:t xml:space="preserve"> </w:t>
      </w:r>
      <w:r>
        <w:rPr>
          <w:w w:val="110"/>
        </w:rPr>
        <w:t>of</w:t>
      </w:r>
      <w:r>
        <w:rPr>
          <w:spacing w:val="-7"/>
          <w:w w:val="110"/>
        </w:rPr>
        <w:t xml:space="preserve"> </w:t>
      </w:r>
      <w:r>
        <w:rPr>
          <w:w w:val="110"/>
        </w:rPr>
        <w:t>Finance:</w:t>
      </w:r>
      <w:r>
        <w:rPr>
          <w:spacing w:val="-7"/>
          <w:w w:val="110"/>
        </w:rPr>
        <w:t xml:space="preserve"> </w:t>
      </w:r>
      <w:r>
        <w:rPr>
          <w:w w:val="110"/>
        </w:rPr>
        <w:t>Further</w:t>
      </w:r>
      <w:r>
        <w:rPr>
          <w:spacing w:val="-7"/>
          <w:w w:val="110"/>
        </w:rPr>
        <w:t xml:space="preserve"> </w:t>
      </w:r>
      <w:r>
        <w:rPr>
          <w:w w:val="110"/>
        </w:rPr>
        <w:t>Scrutiny</w:t>
      </w:r>
      <w:r>
        <w:rPr>
          <w:spacing w:val="-11"/>
          <w:w w:val="110"/>
        </w:rPr>
        <w:t xml:space="preserve"> </w:t>
      </w:r>
      <w:r>
        <w:rPr>
          <w:w w:val="110"/>
        </w:rPr>
        <w:t>Note</w:t>
      </w:r>
      <w:r>
        <w:rPr>
          <w:spacing w:val="-9"/>
          <w:w w:val="110"/>
        </w:rPr>
        <w:t xml:space="preserve"> </w:t>
      </w:r>
      <w:r>
        <w:rPr>
          <w:w w:val="110"/>
        </w:rPr>
        <w:t xml:space="preserve">on COM(2025)122 available </w:t>
      </w:r>
      <w:hyperlink r:id="rId72">
        <w:r>
          <w:rPr>
            <w:color w:val="0000FF"/>
            <w:w w:val="110"/>
            <w:u w:val="single" w:color="0000FF"/>
          </w:rPr>
          <w:t>here</w:t>
        </w:r>
      </w:hyperlink>
    </w:p>
    <w:p w:rsidR="00B84CED" w:rsidRDefault="00794452" w14:paraId="48E9A341" w14:textId="77777777">
      <w:pPr>
        <w:pStyle w:val="ListParagraph"/>
        <w:numPr>
          <w:ilvl w:val="0"/>
          <w:numId w:val="9"/>
        </w:numPr>
        <w:tabs>
          <w:tab w:val="left" w:pos="721"/>
        </w:tabs>
        <w:spacing w:line="290" w:lineRule="auto"/>
        <w:ind w:right="1103"/>
      </w:pPr>
      <w:r>
        <w:rPr>
          <w:w w:val="110"/>
        </w:rPr>
        <w:t>Correspondence received from Department of Finance 21.11.25:</w:t>
      </w:r>
      <w:r>
        <w:rPr>
          <w:spacing w:val="-1"/>
          <w:w w:val="110"/>
        </w:rPr>
        <w:t xml:space="preserve"> </w:t>
      </w:r>
      <w:r>
        <w:rPr>
          <w:w w:val="110"/>
        </w:rPr>
        <w:t xml:space="preserve">Response to queries from meeting of 15.10.25 available </w:t>
      </w:r>
      <w:hyperlink r:id="rId73">
        <w:r>
          <w:rPr>
            <w:color w:val="0000FF"/>
            <w:w w:val="110"/>
            <w:u w:val="single" w:color="0000FF"/>
          </w:rPr>
          <w:t>here</w:t>
        </w:r>
      </w:hyperlink>
    </w:p>
    <w:p w:rsidR="00B84CED" w:rsidRDefault="00794452" w14:paraId="4628D904" w14:textId="77777777">
      <w:pPr>
        <w:pStyle w:val="ListParagraph"/>
        <w:numPr>
          <w:ilvl w:val="0"/>
          <w:numId w:val="9"/>
        </w:numPr>
        <w:tabs>
          <w:tab w:val="left" w:pos="721"/>
        </w:tabs>
        <w:spacing w:line="290" w:lineRule="auto"/>
        <w:ind w:right="1409"/>
      </w:pPr>
      <w:r>
        <w:rPr>
          <w:w w:val="110"/>
        </w:rPr>
        <w:t xml:space="preserve">Correspondence received from DPEIPSRD: Response to request for further information on COM(2025)123 available </w:t>
      </w:r>
      <w:hyperlink r:id="rId74">
        <w:r>
          <w:rPr>
            <w:color w:val="0000FF"/>
            <w:w w:val="110"/>
            <w:u w:val="single" w:color="0000FF"/>
          </w:rPr>
          <w:t>here</w:t>
        </w:r>
      </w:hyperlink>
    </w:p>
    <w:p w:rsidR="00B84CED" w:rsidRDefault="00794452" w14:paraId="281A5794" w14:textId="77777777">
      <w:pPr>
        <w:pStyle w:val="ListParagraph"/>
        <w:numPr>
          <w:ilvl w:val="0"/>
          <w:numId w:val="9"/>
        </w:numPr>
        <w:tabs>
          <w:tab w:val="left" w:pos="721"/>
        </w:tabs>
        <w:spacing w:line="290" w:lineRule="auto"/>
        <w:ind w:right="679"/>
      </w:pPr>
      <w:r>
        <w:rPr>
          <w:w w:val="110"/>
        </w:rPr>
        <w:t xml:space="preserve">Correspondence received from EU Commission 13.06.25: Response to request for further information on COMs(2025)122 and 123 available </w:t>
      </w:r>
      <w:hyperlink r:id="rId75">
        <w:r>
          <w:rPr>
            <w:color w:val="0000FF"/>
            <w:w w:val="110"/>
            <w:u w:val="single" w:color="0000FF"/>
          </w:rPr>
          <w:t>here</w:t>
        </w:r>
      </w:hyperlink>
    </w:p>
    <w:p w:rsidR="00B84CED" w:rsidRDefault="00794452" w14:paraId="159E9C8A" w14:textId="77777777">
      <w:pPr>
        <w:pStyle w:val="ListParagraph"/>
        <w:numPr>
          <w:ilvl w:val="0"/>
          <w:numId w:val="9"/>
        </w:numPr>
        <w:tabs>
          <w:tab w:val="left" w:pos="721"/>
        </w:tabs>
        <w:spacing w:line="290" w:lineRule="auto"/>
        <w:ind w:right="1029"/>
      </w:pPr>
      <w:r>
        <w:rPr>
          <w:w w:val="110"/>
        </w:rPr>
        <w:t xml:space="preserve">Correspondence received from EU Commission 24.11.25: Response to queries following meeting of 15.10.25 available </w:t>
      </w:r>
      <w:hyperlink r:id="rId76">
        <w:r>
          <w:rPr>
            <w:color w:val="0000FF"/>
            <w:w w:val="110"/>
            <w:u w:val="single" w:color="0000FF"/>
          </w:rPr>
          <w:t>here</w:t>
        </w:r>
      </w:hyperlink>
    </w:p>
    <w:sectPr w:rsidR="00B84CED" w:rsidSect="00196DB0">
      <w:footerReference w:type="even" r:id="Rf7edcfdd35374cf4"/>
      <w:footerReference w:type="first" r:id="Rb7a4437529fd4973"/>
      <w:headerReference w:type="even" r:id="R977c53c350c64369"/>
      <w:headerReference w:type="first" r:id="Ra14122637d444a71"/>
      <w:pgSz w:w="11907" w:h="16839"/>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5096</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5096</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5096</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5096</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4B222AE0"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D3421" w:rsidTr="003D3421" w14:paraId="6EE6C235" w14:textId="77777777">
      <w:trPr>
        <w:jc w:val="center"/>
      </w:trPr>
      <w:tc>
        <w:tcPr>
          <w:tcW w:w="5000" w:type="pct"/>
          <w:gridSpan w:val="7"/>
          <w:shd w:val="clear" w:color="auto" w:fill="auto"/>
          <w:tcMar>
            <w:top w:w="57" w:type="dxa"/>
          </w:tcMar>
        </w:tcPr>
        <w:p w:rsidRPr="00D94637" w:rsidR="003D3421" w:rsidP="00D94637" w:rsidRDefault="003D3421" w14:paraId="003791F3" w14:textId="77777777">
          <w:pPr>
            <w:pStyle w:val="FooterText"/>
            <w:pBdr>
              <w:top w:val="single" w:color="auto" w:sz="4" w:space="1"/>
            </w:pBdr>
            <w:spacing w:before="200"/>
            <w:rPr>
              <w:sz w:val="2"/>
              <w:szCs w:val="2"/>
            </w:rPr>
          </w:pPr>
        </w:p>
      </w:tc>
    </w:tr>
    <w:tr w:rsidRPr="00B310DC" w:rsidR="003D3421" w:rsidTr="003D3421" w14:paraId="11CBC148" w14:textId="77777777">
      <w:trPr>
        <w:jc w:val="center"/>
      </w:trPr>
      <w:tc>
        <w:tcPr>
          <w:tcW w:w="2500" w:type="pct"/>
          <w:gridSpan w:val="2"/>
          <w:shd w:val="clear" w:color="auto" w:fill="auto"/>
          <w:tcMar>
            <w:top w:w="0" w:type="dxa"/>
          </w:tcMar>
        </w:tcPr>
        <w:p w:rsidRPr="00AD7BF2" w:rsidR="003D3421" w:rsidP="004F54B2" w:rsidRDefault="003D3421" w14:paraId="25B56E88" w14:textId="03D8A39A">
          <w:pPr>
            <w:pStyle w:val="FooterText"/>
          </w:pPr>
          <w:r>
            <w:t>5096/26</w:t>
          </w:r>
          <w:r w:rsidRPr="002511D8">
            <w:t xml:space="preserve"> </w:t>
          </w:r>
        </w:p>
      </w:tc>
      <w:tc>
        <w:tcPr>
          <w:tcW w:w="625" w:type="pct"/>
          <w:shd w:val="clear" w:color="auto" w:fill="auto"/>
          <w:tcMar>
            <w:top w:w="0" w:type="dxa"/>
          </w:tcMar>
        </w:tcPr>
        <w:p w:rsidRPr="00AD7BF2" w:rsidR="003D3421" w:rsidP="00D94637" w:rsidRDefault="003D3421" w14:paraId="3C5E2243" w14:textId="77777777">
          <w:pPr>
            <w:pStyle w:val="FooterText"/>
            <w:jc w:val="center"/>
          </w:pPr>
        </w:p>
      </w:tc>
      <w:tc>
        <w:tcPr>
          <w:tcW w:w="1286" w:type="pct"/>
          <w:gridSpan w:val="3"/>
          <w:shd w:val="clear" w:color="auto" w:fill="auto"/>
          <w:tcMar>
            <w:top w:w="0" w:type="dxa"/>
          </w:tcMar>
        </w:tcPr>
        <w:p w:rsidRPr="002511D8" w:rsidR="003D3421" w:rsidP="00D94637" w:rsidRDefault="003D3421" w14:paraId="0255296E" w14:textId="77777777">
          <w:pPr>
            <w:pStyle w:val="FooterText"/>
            <w:jc w:val="center"/>
          </w:pPr>
        </w:p>
      </w:tc>
      <w:tc>
        <w:tcPr>
          <w:tcW w:w="589" w:type="pct"/>
          <w:shd w:val="clear" w:color="auto" w:fill="auto"/>
          <w:tcMar>
            <w:top w:w="0" w:type="dxa"/>
          </w:tcMar>
        </w:tcPr>
        <w:p w:rsidRPr="00B310DC" w:rsidR="003D3421" w:rsidP="00D94637" w:rsidRDefault="003D3421" w14:paraId="18230035" w14:textId="1DEEF571">
          <w:pPr>
            <w:pStyle w:val="FooterText"/>
            <w:jc w:val="right"/>
          </w:pPr>
        </w:p>
      </w:tc>
    </w:tr>
    <w:tr w:rsidRPr="00D94637" w:rsidR="003D3421" w:rsidTr="003D3421" w14:paraId="090AA3D7" w14:textId="77777777">
      <w:trPr>
        <w:jc w:val="center"/>
      </w:trPr>
      <w:tc>
        <w:tcPr>
          <w:tcW w:w="1774" w:type="pct"/>
          <w:shd w:val="clear" w:color="auto" w:fill="auto"/>
        </w:tcPr>
        <w:p w:rsidRPr="00AD7BF2" w:rsidR="003D3421" w:rsidP="00D94637" w:rsidRDefault="003D3421" w14:paraId="50C2B156" w14:textId="0A00793A">
          <w:pPr>
            <w:pStyle w:val="FooterText"/>
            <w:spacing w:before="40"/>
          </w:pPr>
        </w:p>
      </w:tc>
      <w:tc>
        <w:tcPr>
          <w:tcW w:w="1455" w:type="pct"/>
          <w:gridSpan w:val="3"/>
          <w:shd w:val="clear" w:color="auto" w:fill="auto"/>
        </w:tcPr>
        <w:p w:rsidRPr="00AD7BF2" w:rsidR="003D3421" w:rsidP="00D204D6" w:rsidRDefault="003D3421" w14:paraId="581A0356" w14:textId="15B1BE86">
          <w:pPr>
            <w:pStyle w:val="FooterText"/>
            <w:spacing w:before="40"/>
            <w:jc w:val="center"/>
          </w:pPr>
          <w:r>
            <w:t>ECOFIN.2.A</w:t>
          </w:r>
        </w:p>
      </w:tc>
      <w:tc>
        <w:tcPr>
          <w:tcW w:w="742" w:type="pct"/>
          <w:shd w:val="clear" w:color="auto" w:fill="auto"/>
        </w:tcPr>
        <w:p w:rsidRPr="00D94637" w:rsidR="003D3421" w:rsidP="002F0099" w:rsidRDefault="003D3421" w14:paraId="78FEE4F0" w14:textId="2FE68EC5">
          <w:pPr>
            <w:pStyle w:val="FooterText"/>
            <w:jc w:val="center"/>
            <w:rPr>
              <w:b/>
              <w:position w:val="-4"/>
              <w:sz w:val="36"/>
            </w:rPr>
          </w:pPr>
        </w:p>
      </w:tc>
      <w:tc>
        <w:tcPr>
          <w:tcW w:w="1029" w:type="pct"/>
          <w:gridSpan w:val="2"/>
          <w:shd w:val="clear" w:color="auto" w:fill="auto"/>
        </w:tcPr>
        <w:p w:rsidRPr="00695BAF" w:rsidR="003D3421" w:rsidP="00D94637" w:rsidRDefault="003D3421" w14:paraId="65A1BE33" w14:textId="1EBC6770">
          <w:pPr>
            <w:pStyle w:val="FooterText"/>
            <w:jc w:val="right"/>
            <w:rPr>
              <w:caps/>
              <w:spacing w:val="-20"/>
              <w:sz w:val="16"/>
            </w:rPr>
          </w:pPr>
          <w:r>
            <w:rPr>
              <w:b/>
              <w:caps/>
              <w:spacing w:val="-20"/>
              <w:position w:val="-4"/>
              <w:sz w:val="36"/>
            </w:rPr>
            <w:t>EN</w:t>
          </w:r>
        </w:p>
      </w:tc>
    </w:tr>
  </w:tbl>
  <w:p w:rsidRPr="003D3421" w:rsidR="00794452" w:rsidP="003D3421" w:rsidRDefault="00794452" w14:paraId="538C40C0" w14:textId="77777777">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D91" w:rsidRDefault="007C4D91" w14:paraId="7B66F2B3" w14:textId="77777777">
      <w:r>
        <w:separator/>
      </w:r>
    </w:p>
  </w:footnote>
  <w:footnote w:type="continuationSeparator" w:id="0">
    <w:p w:rsidR="007C4D91" w:rsidRDefault="007C4D91" w14:paraId="548E2FE8" w14:textId="77777777">
      <w:r>
        <w:continuationSeparator/>
      </w:r>
    </w:p>
  </w:footnote>
  <w:footnote w:id="2">
    <w:p w:rsidRPr="00455F06" w:rsidR="00381678" w:rsidP="00381678" w:rsidRDefault="00381678" w14:paraId="6E46B76B" w14:textId="3BC854CF">
      <w:pPr>
        <w:pStyle w:val="FootnoteText"/>
        <w:rPr>
          <w:rFonts w:asciiTheme="majorBidi" w:hAnsiTheme="majorBidi" w:cstheme="majorBidi"/>
        </w:rPr>
      </w:pPr>
      <w:r>
        <w:rPr>
          <w:rStyle w:val="FootnoteReference"/>
        </w:rPr>
        <w:footnoteRef/>
      </w:r>
      <w:r>
        <w:t xml:space="preserve"> </w:t>
      </w:r>
      <w:r>
        <w:tab/>
      </w:r>
      <w:r w:rsidRPr="00455F06">
        <w:rPr>
          <w:rFonts w:asciiTheme="majorBidi" w:hAnsiTheme="majorBidi" w:cstheme="majorBidi"/>
        </w:rPr>
        <w:t xml:space="preserve">The translation(s) of the opinion may be available on the Interparliamentary EU Information Exchange </w:t>
      </w:r>
      <w:r w:rsidRPr="00455F06">
        <w:rPr>
          <w:rFonts w:asciiTheme="majorBidi" w:hAnsiTheme="majorBidi" w:cstheme="majorBidi"/>
        </w:rPr>
        <w:tab/>
        <w:t>website (IPEX) at the following address</w:t>
      </w:r>
      <w:r w:rsidRPr="00455F06" w:rsidR="00455F06">
        <w:rPr>
          <w:rFonts w:asciiTheme="majorBidi" w:hAnsiTheme="majorBidi" w:cstheme="majorBidi"/>
        </w:rPr>
        <w:t>es</w:t>
      </w:r>
      <w:r w:rsidRPr="00455F06">
        <w:rPr>
          <w:rFonts w:asciiTheme="majorBidi" w:hAnsiTheme="majorBidi" w:cstheme="majorBidi"/>
        </w:rPr>
        <w:t xml:space="preserve">: </w:t>
      </w:r>
    </w:p>
    <w:p w:rsidR="00381678" w:rsidP="00381678" w:rsidRDefault="00381678" w14:paraId="5BE1F101" w14:textId="1988209E">
      <w:pPr>
        <w:pStyle w:val="FootnoteText"/>
      </w:pPr>
      <w:r>
        <w:tab/>
      </w:r>
      <w:hyperlink w:history="1" r:id="rId1">
        <w:r w:rsidRPr="00673D62">
          <w:rPr>
            <w:rStyle w:val="Hyperlink"/>
          </w:rPr>
          <w:t>https://secure.ipex.eu/IPEXL-WEB/document/COM-2025-0123</w:t>
        </w:r>
      </w:hyperlink>
    </w:p>
    <w:p w:rsidR="00381678" w:rsidP="00381678" w:rsidRDefault="00381678" w14:paraId="26EA6E20" w14:textId="414B3BA8">
      <w:pPr>
        <w:pStyle w:val="FootnoteText"/>
      </w:pPr>
      <w:r>
        <w:tab/>
      </w:r>
      <w:hyperlink w:history="1" r:id="rId2">
        <w:r w:rsidRPr="00673D62">
          <w:rPr>
            <w:rStyle w:val="Hyperlink"/>
          </w:rPr>
          <w:t>https://secure.ipex.eu/IPEXL-WEB/document/COM-2025-0122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6DB0" w:rsidRDefault="00196DB0" w14:paraId="511DC4E1" w14:textId="77777777">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3421" w:rsidR="00794452" w:rsidP="003D3421" w:rsidRDefault="003D3421" w14:paraId="0E9E65E9" w14:textId="2908FE0C">
    <w:pPr>
      <w:pStyle w:val="HeaderCouncil"/>
    </w:pPr>
    <w:r>
      <w:t> </w:t>
    </w:r>
  </w:p>
</w:hdr>
</file>

<file path=word/numbering.xml><?xml version="1.0" encoding="utf-8"?>
<w:numbering xmlns:p16="http://schemas.microsoft.com/office/word/2012/wordml"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p16="http://schemas.microsoft.com/office/word/2012/wordml" w:abstractNumId="0" p16:restartNumberingAfterBreak="0">
    <w:nsid w:val="22DA4C8C"/>
    <w:multiLevelType w:val="hybridMultilevel"/>
    <w:tmpl w:val="C832C336"/>
    <w:lvl w:ilvl="0" w:tplc="64B61BA2">
      <w:start w:val="1"/>
      <w:numFmt w:val="decimal"/>
      <w:lvlText w:val="%1."/>
      <w:lvlJc w:val="left"/>
      <w:pPr>
        <w:ind w:left="361" w:hanging="361"/>
      </w:pPr>
      <w:rPr>
        <w:rFonts w:hint="default" w:ascii="Calibri" w:hAnsi="Calibri" w:eastAsia="Calibri" w:cs="Calibri"/>
        <w:b w:val="0"/>
        <w:bCs w:val="0"/>
        <w:i w:val="0"/>
        <w:iCs w:val="0"/>
        <w:spacing w:val="-1"/>
        <w:w w:val="115"/>
        <w:sz w:val="22"/>
        <w:szCs w:val="22"/>
        <w:lang w:val="en-US" w:eastAsia="en-US" w:bidi="ar-SA"/>
      </w:rPr>
    </w:lvl>
    <w:lvl w:ilvl="1" w:tplc="58820CE0">
      <w:numFmt w:val="bullet"/>
      <w:lvlText w:val=""/>
      <w:lvlJc w:val="left"/>
      <w:pPr>
        <w:ind w:left="939" w:hanging="361"/>
      </w:pPr>
      <w:rPr>
        <w:rFonts w:hint="default" w:ascii="Symbol" w:hAnsi="Symbol" w:eastAsia="Symbol" w:cs="Symbol"/>
        <w:b w:val="0"/>
        <w:bCs w:val="0"/>
        <w:i w:val="0"/>
        <w:iCs w:val="0"/>
        <w:spacing w:val="0"/>
        <w:w w:val="100"/>
        <w:sz w:val="22"/>
        <w:szCs w:val="22"/>
        <w:lang w:val="en-US" w:eastAsia="en-US" w:bidi="ar-SA"/>
      </w:rPr>
    </w:lvl>
    <w:lvl w:ilvl="2" w:tplc="3C54F27A">
      <w:numFmt w:val="bullet"/>
      <w:lvlText w:val="•"/>
      <w:lvlJc w:val="left"/>
      <w:pPr>
        <w:ind w:left="1890" w:hanging="361"/>
      </w:pPr>
      <w:rPr>
        <w:rFonts w:hint="default"/>
        <w:lang w:val="en-US" w:eastAsia="en-US" w:bidi="ar-SA"/>
      </w:rPr>
    </w:lvl>
    <w:lvl w:ilvl="3" w:tplc="E144703A">
      <w:numFmt w:val="bullet"/>
      <w:lvlText w:val="•"/>
      <w:lvlJc w:val="left"/>
      <w:pPr>
        <w:ind w:left="2840" w:hanging="361"/>
      </w:pPr>
      <w:rPr>
        <w:rFonts w:hint="default"/>
        <w:lang w:val="en-US" w:eastAsia="en-US" w:bidi="ar-SA"/>
      </w:rPr>
    </w:lvl>
    <w:lvl w:ilvl="4" w:tplc="FCB6863C">
      <w:numFmt w:val="bullet"/>
      <w:lvlText w:val="•"/>
      <w:lvlJc w:val="left"/>
      <w:pPr>
        <w:ind w:left="3790" w:hanging="361"/>
      </w:pPr>
      <w:rPr>
        <w:rFonts w:hint="default"/>
        <w:lang w:val="en-US" w:eastAsia="en-US" w:bidi="ar-SA"/>
      </w:rPr>
    </w:lvl>
    <w:lvl w:ilvl="5" w:tplc="5644E36A">
      <w:numFmt w:val="bullet"/>
      <w:lvlText w:val="•"/>
      <w:lvlJc w:val="left"/>
      <w:pPr>
        <w:ind w:left="4740" w:hanging="361"/>
      </w:pPr>
      <w:rPr>
        <w:rFonts w:hint="default"/>
        <w:lang w:val="en-US" w:eastAsia="en-US" w:bidi="ar-SA"/>
      </w:rPr>
    </w:lvl>
    <w:lvl w:ilvl="6" w:tplc="030074A8">
      <w:numFmt w:val="bullet"/>
      <w:lvlText w:val="•"/>
      <w:lvlJc w:val="left"/>
      <w:pPr>
        <w:ind w:left="5690" w:hanging="361"/>
      </w:pPr>
      <w:rPr>
        <w:rFonts w:hint="default"/>
        <w:lang w:val="en-US" w:eastAsia="en-US" w:bidi="ar-SA"/>
      </w:rPr>
    </w:lvl>
    <w:lvl w:ilvl="7" w:tplc="AF364060">
      <w:numFmt w:val="bullet"/>
      <w:lvlText w:val="•"/>
      <w:lvlJc w:val="left"/>
      <w:pPr>
        <w:ind w:left="6640" w:hanging="361"/>
      </w:pPr>
      <w:rPr>
        <w:rFonts w:hint="default"/>
        <w:lang w:val="en-US" w:eastAsia="en-US" w:bidi="ar-SA"/>
      </w:rPr>
    </w:lvl>
    <w:lvl w:ilvl="8" w:tplc="279858DA">
      <w:numFmt w:val="bullet"/>
      <w:lvlText w:val="•"/>
      <w:lvlJc w:val="left"/>
      <w:pPr>
        <w:ind w:left="7590" w:hanging="361"/>
      </w:pPr>
      <w:rPr>
        <w:rFonts w:hint="default"/>
        <w:lang w:val="en-US" w:eastAsia="en-US" w:bidi="ar-SA"/>
      </w:rPr>
    </w:lvl>
  </w:abstractNum>
  <w:abstractNum xmlns:p16="http://schemas.microsoft.com/office/word/2012/wordml" w:abstractNumId="1" p16:restartNumberingAfterBreak="0">
    <w:nsid w:val="59E61EB0"/>
    <w:multiLevelType w:val="hybridMultilevel"/>
    <w:tmpl w:val="1B04DFC0"/>
    <w:lvl w:ilvl="0" w:tplc="53704E60">
      <w:numFmt w:val="bullet"/>
      <w:lvlText w:val=""/>
      <w:lvlJc w:val="left"/>
      <w:pPr>
        <w:ind w:left="939" w:hanging="363"/>
      </w:pPr>
      <w:rPr>
        <w:rFonts w:hint="default" w:ascii="Symbol" w:hAnsi="Symbol" w:eastAsia="Symbol" w:cs="Symbol"/>
        <w:b w:val="0"/>
        <w:bCs w:val="0"/>
        <w:i w:val="0"/>
        <w:iCs w:val="0"/>
        <w:spacing w:val="0"/>
        <w:w w:val="100"/>
        <w:sz w:val="22"/>
        <w:szCs w:val="22"/>
        <w:lang w:val="en-US" w:eastAsia="en-US" w:bidi="ar-SA"/>
      </w:rPr>
    </w:lvl>
    <w:lvl w:ilvl="1" w:tplc="4CD62D2A">
      <w:numFmt w:val="bullet"/>
      <w:lvlText w:val="•"/>
      <w:lvlJc w:val="left"/>
      <w:pPr>
        <w:ind w:left="1795" w:hanging="363"/>
      </w:pPr>
      <w:rPr>
        <w:rFonts w:hint="default"/>
        <w:lang w:val="en-US" w:eastAsia="en-US" w:bidi="ar-SA"/>
      </w:rPr>
    </w:lvl>
    <w:lvl w:ilvl="2" w:tplc="FF3C28C6">
      <w:numFmt w:val="bullet"/>
      <w:lvlText w:val="•"/>
      <w:lvlJc w:val="left"/>
      <w:pPr>
        <w:ind w:left="2650" w:hanging="363"/>
      </w:pPr>
      <w:rPr>
        <w:rFonts w:hint="default"/>
        <w:lang w:val="en-US" w:eastAsia="en-US" w:bidi="ar-SA"/>
      </w:rPr>
    </w:lvl>
    <w:lvl w:ilvl="3" w:tplc="8C68ED9A">
      <w:numFmt w:val="bullet"/>
      <w:lvlText w:val="•"/>
      <w:lvlJc w:val="left"/>
      <w:pPr>
        <w:ind w:left="3505" w:hanging="363"/>
      </w:pPr>
      <w:rPr>
        <w:rFonts w:hint="default"/>
        <w:lang w:val="en-US" w:eastAsia="en-US" w:bidi="ar-SA"/>
      </w:rPr>
    </w:lvl>
    <w:lvl w:ilvl="4" w:tplc="E2C6756A">
      <w:numFmt w:val="bullet"/>
      <w:lvlText w:val="•"/>
      <w:lvlJc w:val="left"/>
      <w:pPr>
        <w:ind w:left="4360" w:hanging="363"/>
      </w:pPr>
      <w:rPr>
        <w:rFonts w:hint="default"/>
        <w:lang w:val="en-US" w:eastAsia="en-US" w:bidi="ar-SA"/>
      </w:rPr>
    </w:lvl>
    <w:lvl w:ilvl="5" w:tplc="0008A410">
      <w:numFmt w:val="bullet"/>
      <w:lvlText w:val="•"/>
      <w:lvlJc w:val="left"/>
      <w:pPr>
        <w:ind w:left="5215" w:hanging="363"/>
      </w:pPr>
      <w:rPr>
        <w:rFonts w:hint="default"/>
        <w:lang w:val="en-US" w:eastAsia="en-US" w:bidi="ar-SA"/>
      </w:rPr>
    </w:lvl>
    <w:lvl w:ilvl="6" w:tplc="8EB66348">
      <w:numFmt w:val="bullet"/>
      <w:lvlText w:val="•"/>
      <w:lvlJc w:val="left"/>
      <w:pPr>
        <w:ind w:left="6070" w:hanging="363"/>
      </w:pPr>
      <w:rPr>
        <w:rFonts w:hint="default"/>
        <w:lang w:val="en-US" w:eastAsia="en-US" w:bidi="ar-SA"/>
      </w:rPr>
    </w:lvl>
    <w:lvl w:ilvl="7" w:tplc="4CE4372A">
      <w:numFmt w:val="bullet"/>
      <w:lvlText w:val="•"/>
      <w:lvlJc w:val="left"/>
      <w:pPr>
        <w:ind w:left="6925" w:hanging="363"/>
      </w:pPr>
      <w:rPr>
        <w:rFonts w:hint="default"/>
        <w:lang w:val="en-US" w:eastAsia="en-US" w:bidi="ar-SA"/>
      </w:rPr>
    </w:lvl>
    <w:lvl w:ilvl="8" w:tplc="92D80160">
      <w:numFmt w:val="bullet"/>
      <w:lvlText w:val="•"/>
      <w:lvlJc w:val="left"/>
      <w:pPr>
        <w:ind w:left="7780" w:hanging="363"/>
      </w:pPr>
      <w:rPr>
        <w:rFonts w:hint="default"/>
        <w:lang w:val="en-US" w:eastAsia="en-US" w:bidi="ar-SA"/>
      </w:rPr>
    </w:lvl>
  </w:abstractNum>
  <w:abstractNum xmlns:p16="http://schemas.microsoft.com/office/word/2012/wordml" w:abstractNumId="2" p16:restartNumberingAfterBreak="0">
    <w:nsid w:val="4DA572D6"/>
    <w:multiLevelType w:val="hybridMultilevel"/>
    <w:tmpl w:val="B2CCC118"/>
    <w:lvl w:ilvl="0" w:tplc="60400332">
      <w:start w:val="1"/>
      <w:numFmt w:val="decimal"/>
      <w:lvlText w:val="%1."/>
      <w:lvlJc w:val="left"/>
      <w:pPr>
        <w:ind w:left="939" w:hanging="363"/>
      </w:pPr>
      <w:rPr>
        <w:rFonts w:hint="default" w:ascii="Calibri" w:hAnsi="Calibri" w:eastAsia="Calibri" w:cs="Calibri"/>
        <w:b w:val="0"/>
        <w:bCs w:val="0"/>
        <w:i w:val="0"/>
        <w:iCs w:val="0"/>
        <w:spacing w:val="-1"/>
        <w:w w:val="115"/>
        <w:sz w:val="22"/>
        <w:szCs w:val="22"/>
        <w:lang w:val="en-US" w:eastAsia="en-US" w:bidi="ar-SA"/>
      </w:rPr>
    </w:lvl>
    <w:lvl w:ilvl="1" w:tplc="E22AF098">
      <w:numFmt w:val="bullet"/>
      <w:lvlText w:val="•"/>
      <w:lvlJc w:val="left"/>
      <w:pPr>
        <w:ind w:left="1795" w:hanging="363"/>
      </w:pPr>
      <w:rPr>
        <w:rFonts w:hint="default"/>
        <w:lang w:val="en-US" w:eastAsia="en-US" w:bidi="ar-SA"/>
      </w:rPr>
    </w:lvl>
    <w:lvl w:ilvl="2" w:tplc="AE0EDDAA">
      <w:numFmt w:val="bullet"/>
      <w:lvlText w:val="•"/>
      <w:lvlJc w:val="left"/>
      <w:pPr>
        <w:ind w:left="2650" w:hanging="363"/>
      </w:pPr>
      <w:rPr>
        <w:rFonts w:hint="default"/>
        <w:lang w:val="en-US" w:eastAsia="en-US" w:bidi="ar-SA"/>
      </w:rPr>
    </w:lvl>
    <w:lvl w:ilvl="3" w:tplc="3F96D6B4">
      <w:numFmt w:val="bullet"/>
      <w:lvlText w:val="•"/>
      <w:lvlJc w:val="left"/>
      <w:pPr>
        <w:ind w:left="3505" w:hanging="363"/>
      </w:pPr>
      <w:rPr>
        <w:rFonts w:hint="default"/>
        <w:lang w:val="en-US" w:eastAsia="en-US" w:bidi="ar-SA"/>
      </w:rPr>
    </w:lvl>
    <w:lvl w:ilvl="4" w:tplc="3D78A87A">
      <w:numFmt w:val="bullet"/>
      <w:lvlText w:val="•"/>
      <w:lvlJc w:val="left"/>
      <w:pPr>
        <w:ind w:left="4360" w:hanging="363"/>
      </w:pPr>
      <w:rPr>
        <w:rFonts w:hint="default"/>
        <w:lang w:val="en-US" w:eastAsia="en-US" w:bidi="ar-SA"/>
      </w:rPr>
    </w:lvl>
    <w:lvl w:ilvl="5" w:tplc="D1309B3C">
      <w:numFmt w:val="bullet"/>
      <w:lvlText w:val="•"/>
      <w:lvlJc w:val="left"/>
      <w:pPr>
        <w:ind w:left="5215" w:hanging="363"/>
      </w:pPr>
      <w:rPr>
        <w:rFonts w:hint="default"/>
        <w:lang w:val="en-US" w:eastAsia="en-US" w:bidi="ar-SA"/>
      </w:rPr>
    </w:lvl>
    <w:lvl w:ilvl="6" w:tplc="C5D05862">
      <w:numFmt w:val="bullet"/>
      <w:lvlText w:val="•"/>
      <w:lvlJc w:val="left"/>
      <w:pPr>
        <w:ind w:left="6070" w:hanging="363"/>
      </w:pPr>
      <w:rPr>
        <w:rFonts w:hint="default"/>
        <w:lang w:val="en-US" w:eastAsia="en-US" w:bidi="ar-SA"/>
      </w:rPr>
    </w:lvl>
    <w:lvl w:ilvl="7" w:tplc="07E08892">
      <w:numFmt w:val="bullet"/>
      <w:lvlText w:val="•"/>
      <w:lvlJc w:val="left"/>
      <w:pPr>
        <w:ind w:left="6925" w:hanging="363"/>
      </w:pPr>
      <w:rPr>
        <w:rFonts w:hint="default"/>
        <w:lang w:val="en-US" w:eastAsia="en-US" w:bidi="ar-SA"/>
      </w:rPr>
    </w:lvl>
    <w:lvl w:ilvl="8" w:tplc="AD0891B4">
      <w:numFmt w:val="bullet"/>
      <w:lvlText w:val="•"/>
      <w:lvlJc w:val="left"/>
      <w:pPr>
        <w:ind w:left="7780" w:hanging="363"/>
      </w:pPr>
      <w:rPr>
        <w:rFonts w:hint="default"/>
        <w:lang w:val="en-US" w:eastAsia="en-US" w:bidi="ar-SA"/>
      </w:rPr>
    </w:lvl>
  </w:abstractNum>
  <w:abstractNum xmlns:p16="http://schemas.microsoft.com/office/word/2012/wordml" w:abstractNumId="3" p16:restartNumberingAfterBreak="0">
    <w:nsid w:val="34CF25EF"/>
    <w:multiLevelType w:val="hybridMultilevel"/>
    <w:tmpl w:val="1A1025FA"/>
    <w:lvl w:ilvl="0" w:tplc="3132CD1C">
      <w:numFmt w:val="bullet"/>
      <w:lvlText w:val=""/>
      <w:lvlJc w:val="left"/>
      <w:pPr>
        <w:ind w:left="940" w:hanging="363"/>
      </w:pPr>
      <w:rPr>
        <w:rFonts w:hint="default" w:ascii="Symbol" w:hAnsi="Symbol" w:eastAsia="Symbol" w:cs="Symbol"/>
        <w:b w:val="0"/>
        <w:bCs w:val="0"/>
        <w:i w:val="0"/>
        <w:iCs w:val="0"/>
        <w:spacing w:val="0"/>
        <w:w w:val="100"/>
        <w:sz w:val="22"/>
        <w:szCs w:val="22"/>
        <w:lang w:val="en-US" w:eastAsia="en-US" w:bidi="ar-SA"/>
      </w:rPr>
    </w:lvl>
    <w:lvl w:ilvl="1" w:tplc="247E666C">
      <w:numFmt w:val="bullet"/>
      <w:lvlText w:val="•"/>
      <w:lvlJc w:val="left"/>
      <w:pPr>
        <w:ind w:left="1795" w:hanging="363"/>
      </w:pPr>
      <w:rPr>
        <w:rFonts w:hint="default"/>
        <w:lang w:val="en-US" w:eastAsia="en-US" w:bidi="ar-SA"/>
      </w:rPr>
    </w:lvl>
    <w:lvl w:ilvl="2" w:tplc="9FFC2618">
      <w:numFmt w:val="bullet"/>
      <w:lvlText w:val="•"/>
      <w:lvlJc w:val="left"/>
      <w:pPr>
        <w:ind w:left="2650" w:hanging="363"/>
      </w:pPr>
      <w:rPr>
        <w:rFonts w:hint="default"/>
        <w:lang w:val="en-US" w:eastAsia="en-US" w:bidi="ar-SA"/>
      </w:rPr>
    </w:lvl>
    <w:lvl w:ilvl="3" w:tplc="D0CA9654">
      <w:numFmt w:val="bullet"/>
      <w:lvlText w:val="•"/>
      <w:lvlJc w:val="left"/>
      <w:pPr>
        <w:ind w:left="3505" w:hanging="363"/>
      </w:pPr>
      <w:rPr>
        <w:rFonts w:hint="default"/>
        <w:lang w:val="en-US" w:eastAsia="en-US" w:bidi="ar-SA"/>
      </w:rPr>
    </w:lvl>
    <w:lvl w:ilvl="4" w:tplc="B770F872">
      <w:numFmt w:val="bullet"/>
      <w:lvlText w:val="•"/>
      <w:lvlJc w:val="left"/>
      <w:pPr>
        <w:ind w:left="4360" w:hanging="363"/>
      </w:pPr>
      <w:rPr>
        <w:rFonts w:hint="default"/>
        <w:lang w:val="en-US" w:eastAsia="en-US" w:bidi="ar-SA"/>
      </w:rPr>
    </w:lvl>
    <w:lvl w:ilvl="5" w:tplc="CCFC649A">
      <w:numFmt w:val="bullet"/>
      <w:lvlText w:val="•"/>
      <w:lvlJc w:val="left"/>
      <w:pPr>
        <w:ind w:left="5215" w:hanging="363"/>
      </w:pPr>
      <w:rPr>
        <w:rFonts w:hint="default"/>
        <w:lang w:val="en-US" w:eastAsia="en-US" w:bidi="ar-SA"/>
      </w:rPr>
    </w:lvl>
    <w:lvl w:ilvl="6" w:tplc="CFEE5364">
      <w:numFmt w:val="bullet"/>
      <w:lvlText w:val="•"/>
      <w:lvlJc w:val="left"/>
      <w:pPr>
        <w:ind w:left="6070" w:hanging="363"/>
      </w:pPr>
      <w:rPr>
        <w:rFonts w:hint="default"/>
        <w:lang w:val="en-US" w:eastAsia="en-US" w:bidi="ar-SA"/>
      </w:rPr>
    </w:lvl>
    <w:lvl w:ilvl="7" w:tplc="854C4A2A">
      <w:numFmt w:val="bullet"/>
      <w:lvlText w:val="•"/>
      <w:lvlJc w:val="left"/>
      <w:pPr>
        <w:ind w:left="6925" w:hanging="363"/>
      </w:pPr>
      <w:rPr>
        <w:rFonts w:hint="default"/>
        <w:lang w:val="en-US" w:eastAsia="en-US" w:bidi="ar-SA"/>
      </w:rPr>
    </w:lvl>
    <w:lvl w:ilvl="8" w:tplc="937204A0">
      <w:numFmt w:val="bullet"/>
      <w:lvlText w:val="•"/>
      <w:lvlJc w:val="left"/>
      <w:pPr>
        <w:ind w:left="7780" w:hanging="363"/>
      </w:pPr>
      <w:rPr>
        <w:rFonts w:hint="default"/>
        <w:lang w:val="en-US" w:eastAsia="en-US" w:bidi="ar-SA"/>
      </w:rPr>
    </w:lvl>
  </w:abstractNum>
  <w:abstractNum xmlns:p16="http://schemas.microsoft.com/office/word/2012/wordml" w:abstractNumId="4" p16:restartNumberingAfterBreak="0">
    <w:nsid w:val="70B64AF0"/>
    <w:multiLevelType w:val="hybridMultilevel"/>
    <w:tmpl w:val="4938548A"/>
    <w:lvl w:ilvl="0" w:tplc="AEB02EE8">
      <w:numFmt w:val="bullet"/>
      <w:lvlText w:val=""/>
      <w:lvlJc w:val="left"/>
      <w:pPr>
        <w:ind w:left="940" w:hanging="363"/>
      </w:pPr>
      <w:rPr>
        <w:rFonts w:hint="default" w:ascii="Symbol" w:hAnsi="Symbol" w:eastAsia="Symbol" w:cs="Symbol"/>
        <w:b w:val="0"/>
        <w:bCs w:val="0"/>
        <w:i w:val="0"/>
        <w:iCs w:val="0"/>
        <w:spacing w:val="0"/>
        <w:w w:val="100"/>
        <w:sz w:val="22"/>
        <w:szCs w:val="22"/>
        <w:lang w:val="en-US" w:eastAsia="en-US" w:bidi="ar-SA"/>
      </w:rPr>
    </w:lvl>
    <w:lvl w:ilvl="1" w:tplc="DF68187A">
      <w:numFmt w:val="bullet"/>
      <w:lvlText w:val="•"/>
      <w:lvlJc w:val="left"/>
      <w:pPr>
        <w:ind w:left="1795" w:hanging="363"/>
      </w:pPr>
      <w:rPr>
        <w:rFonts w:hint="default"/>
        <w:lang w:val="en-US" w:eastAsia="en-US" w:bidi="ar-SA"/>
      </w:rPr>
    </w:lvl>
    <w:lvl w:ilvl="2" w:tplc="451CC872">
      <w:numFmt w:val="bullet"/>
      <w:lvlText w:val="•"/>
      <w:lvlJc w:val="left"/>
      <w:pPr>
        <w:ind w:left="2650" w:hanging="363"/>
      </w:pPr>
      <w:rPr>
        <w:rFonts w:hint="default"/>
        <w:lang w:val="en-US" w:eastAsia="en-US" w:bidi="ar-SA"/>
      </w:rPr>
    </w:lvl>
    <w:lvl w:ilvl="3" w:tplc="63900CA6">
      <w:numFmt w:val="bullet"/>
      <w:lvlText w:val="•"/>
      <w:lvlJc w:val="left"/>
      <w:pPr>
        <w:ind w:left="3505" w:hanging="363"/>
      </w:pPr>
      <w:rPr>
        <w:rFonts w:hint="default"/>
        <w:lang w:val="en-US" w:eastAsia="en-US" w:bidi="ar-SA"/>
      </w:rPr>
    </w:lvl>
    <w:lvl w:ilvl="4" w:tplc="BAF033FE">
      <w:numFmt w:val="bullet"/>
      <w:lvlText w:val="•"/>
      <w:lvlJc w:val="left"/>
      <w:pPr>
        <w:ind w:left="4360" w:hanging="363"/>
      </w:pPr>
      <w:rPr>
        <w:rFonts w:hint="default"/>
        <w:lang w:val="en-US" w:eastAsia="en-US" w:bidi="ar-SA"/>
      </w:rPr>
    </w:lvl>
    <w:lvl w:ilvl="5" w:tplc="0E5A0AA0">
      <w:numFmt w:val="bullet"/>
      <w:lvlText w:val="•"/>
      <w:lvlJc w:val="left"/>
      <w:pPr>
        <w:ind w:left="5215" w:hanging="363"/>
      </w:pPr>
      <w:rPr>
        <w:rFonts w:hint="default"/>
        <w:lang w:val="en-US" w:eastAsia="en-US" w:bidi="ar-SA"/>
      </w:rPr>
    </w:lvl>
    <w:lvl w:ilvl="6" w:tplc="0DFCD1DE">
      <w:numFmt w:val="bullet"/>
      <w:lvlText w:val="•"/>
      <w:lvlJc w:val="left"/>
      <w:pPr>
        <w:ind w:left="6070" w:hanging="363"/>
      </w:pPr>
      <w:rPr>
        <w:rFonts w:hint="default"/>
        <w:lang w:val="en-US" w:eastAsia="en-US" w:bidi="ar-SA"/>
      </w:rPr>
    </w:lvl>
    <w:lvl w:ilvl="7" w:tplc="C95A282E">
      <w:numFmt w:val="bullet"/>
      <w:lvlText w:val="•"/>
      <w:lvlJc w:val="left"/>
      <w:pPr>
        <w:ind w:left="6925" w:hanging="363"/>
      </w:pPr>
      <w:rPr>
        <w:rFonts w:hint="default"/>
        <w:lang w:val="en-US" w:eastAsia="en-US" w:bidi="ar-SA"/>
      </w:rPr>
    </w:lvl>
    <w:lvl w:ilvl="8" w:tplc="C7440FCA">
      <w:numFmt w:val="bullet"/>
      <w:lvlText w:val="•"/>
      <w:lvlJc w:val="left"/>
      <w:pPr>
        <w:ind w:left="7780" w:hanging="363"/>
      </w:pPr>
      <w:rPr>
        <w:rFonts w:hint="default"/>
        <w:lang w:val="en-US" w:eastAsia="en-US" w:bidi="ar-SA"/>
      </w:rPr>
    </w:lvl>
  </w:abstractNum>
  <w:abstractNum xmlns:p16="http://schemas.microsoft.com/office/word/2012/wordml" w:abstractNumId="5" p16:restartNumberingAfterBreak="0">
    <w:nsid w:val="27AC3E22"/>
    <w:multiLevelType w:val="hybridMultilevel"/>
    <w:tmpl w:val="D26AE8D0"/>
    <w:lvl w:ilvl="0" w:tplc="2F02B98C">
      <w:start w:val="1"/>
      <w:numFmt w:val="decimal"/>
      <w:lvlText w:val="%1."/>
      <w:lvlJc w:val="left"/>
      <w:pPr>
        <w:ind w:left="361" w:hanging="361"/>
      </w:pPr>
      <w:rPr>
        <w:rFonts w:hint="default" w:ascii="Calibri" w:hAnsi="Calibri" w:eastAsia="Calibri" w:cs="Calibri"/>
        <w:b w:val="0"/>
        <w:bCs w:val="0"/>
        <w:i w:val="0"/>
        <w:iCs w:val="0"/>
        <w:spacing w:val="-1"/>
        <w:w w:val="115"/>
        <w:sz w:val="22"/>
        <w:szCs w:val="22"/>
        <w:lang w:val="en-US" w:eastAsia="en-US" w:bidi="ar-SA"/>
      </w:rPr>
    </w:lvl>
    <w:lvl w:ilvl="1" w:tplc="BDF01A0A">
      <w:numFmt w:val="bullet"/>
      <w:lvlText w:val=""/>
      <w:lvlJc w:val="left"/>
      <w:pPr>
        <w:ind w:left="939" w:hanging="361"/>
      </w:pPr>
      <w:rPr>
        <w:rFonts w:hint="default" w:ascii="Symbol" w:hAnsi="Symbol" w:eastAsia="Symbol" w:cs="Symbol"/>
        <w:b w:val="0"/>
        <w:bCs w:val="0"/>
        <w:i w:val="0"/>
        <w:iCs w:val="0"/>
        <w:spacing w:val="0"/>
        <w:w w:val="100"/>
        <w:sz w:val="22"/>
        <w:szCs w:val="22"/>
        <w:lang w:val="en-US" w:eastAsia="en-US" w:bidi="ar-SA"/>
      </w:rPr>
    </w:lvl>
    <w:lvl w:ilvl="2" w:tplc="639CC248">
      <w:numFmt w:val="bullet"/>
      <w:lvlText w:val="•"/>
      <w:lvlJc w:val="left"/>
      <w:pPr>
        <w:ind w:left="1890" w:hanging="361"/>
      </w:pPr>
      <w:rPr>
        <w:rFonts w:hint="default"/>
        <w:lang w:val="en-US" w:eastAsia="en-US" w:bidi="ar-SA"/>
      </w:rPr>
    </w:lvl>
    <w:lvl w:ilvl="3" w:tplc="DC565172">
      <w:numFmt w:val="bullet"/>
      <w:lvlText w:val="•"/>
      <w:lvlJc w:val="left"/>
      <w:pPr>
        <w:ind w:left="2840" w:hanging="361"/>
      </w:pPr>
      <w:rPr>
        <w:rFonts w:hint="default"/>
        <w:lang w:val="en-US" w:eastAsia="en-US" w:bidi="ar-SA"/>
      </w:rPr>
    </w:lvl>
    <w:lvl w:ilvl="4" w:tplc="D5B6663A">
      <w:numFmt w:val="bullet"/>
      <w:lvlText w:val="•"/>
      <w:lvlJc w:val="left"/>
      <w:pPr>
        <w:ind w:left="3790" w:hanging="361"/>
      </w:pPr>
      <w:rPr>
        <w:rFonts w:hint="default"/>
        <w:lang w:val="en-US" w:eastAsia="en-US" w:bidi="ar-SA"/>
      </w:rPr>
    </w:lvl>
    <w:lvl w:ilvl="5" w:tplc="2DA8DDAE">
      <w:numFmt w:val="bullet"/>
      <w:lvlText w:val="•"/>
      <w:lvlJc w:val="left"/>
      <w:pPr>
        <w:ind w:left="4740" w:hanging="361"/>
      </w:pPr>
      <w:rPr>
        <w:rFonts w:hint="default"/>
        <w:lang w:val="en-US" w:eastAsia="en-US" w:bidi="ar-SA"/>
      </w:rPr>
    </w:lvl>
    <w:lvl w:ilvl="6" w:tplc="D8468AAA">
      <w:numFmt w:val="bullet"/>
      <w:lvlText w:val="•"/>
      <w:lvlJc w:val="left"/>
      <w:pPr>
        <w:ind w:left="5690" w:hanging="361"/>
      </w:pPr>
      <w:rPr>
        <w:rFonts w:hint="default"/>
        <w:lang w:val="en-US" w:eastAsia="en-US" w:bidi="ar-SA"/>
      </w:rPr>
    </w:lvl>
    <w:lvl w:ilvl="7" w:tplc="19960352">
      <w:numFmt w:val="bullet"/>
      <w:lvlText w:val="•"/>
      <w:lvlJc w:val="left"/>
      <w:pPr>
        <w:ind w:left="6640" w:hanging="361"/>
      </w:pPr>
      <w:rPr>
        <w:rFonts w:hint="default"/>
        <w:lang w:val="en-US" w:eastAsia="en-US" w:bidi="ar-SA"/>
      </w:rPr>
    </w:lvl>
    <w:lvl w:ilvl="8" w:tplc="C5C80082">
      <w:numFmt w:val="bullet"/>
      <w:lvlText w:val="•"/>
      <w:lvlJc w:val="left"/>
      <w:pPr>
        <w:ind w:left="7590" w:hanging="361"/>
      </w:pPr>
      <w:rPr>
        <w:rFonts w:hint="default"/>
        <w:lang w:val="en-US" w:eastAsia="en-US" w:bidi="ar-SA"/>
      </w:rPr>
    </w:lvl>
  </w:abstractNum>
  <w:abstractNum xmlns:p16="http://schemas.microsoft.com/office/word/2012/wordml" w:abstractNumId="6" p16:restartNumberingAfterBreak="0">
    <w:nsid w:val="1BBE0768"/>
    <w:multiLevelType w:val="hybridMultilevel"/>
    <w:tmpl w:val="865C113C"/>
    <w:lvl w:ilvl="0" w:tplc="A5C05AFE">
      <w:numFmt w:val="bullet"/>
      <w:lvlText w:val=""/>
      <w:lvlJc w:val="left"/>
      <w:pPr>
        <w:ind w:left="833" w:hanging="360"/>
      </w:pPr>
      <w:rPr>
        <w:rFonts w:hint="default" w:ascii="Symbol" w:hAnsi="Symbol" w:eastAsia="Symbol" w:cs="Symbol"/>
        <w:b w:val="0"/>
        <w:bCs w:val="0"/>
        <w:i w:val="0"/>
        <w:iCs w:val="0"/>
        <w:spacing w:val="0"/>
        <w:w w:val="100"/>
        <w:sz w:val="22"/>
        <w:szCs w:val="22"/>
        <w:lang w:val="en-US" w:eastAsia="en-US" w:bidi="ar-SA"/>
      </w:rPr>
    </w:lvl>
    <w:lvl w:ilvl="1" w:tplc="36C6D67E">
      <w:numFmt w:val="bullet"/>
      <w:lvlText w:val="•"/>
      <w:lvlJc w:val="left"/>
      <w:pPr>
        <w:ind w:left="1459" w:hanging="360"/>
      </w:pPr>
      <w:rPr>
        <w:rFonts w:hint="default"/>
        <w:lang w:val="en-US" w:eastAsia="en-US" w:bidi="ar-SA"/>
      </w:rPr>
    </w:lvl>
    <w:lvl w:ilvl="2" w:tplc="5D864B1A">
      <w:numFmt w:val="bullet"/>
      <w:lvlText w:val="•"/>
      <w:lvlJc w:val="left"/>
      <w:pPr>
        <w:ind w:left="2079" w:hanging="360"/>
      </w:pPr>
      <w:rPr>
        <w:rFonts w:hint="default"/>
        <w:lang w:val="en-US" w:eastAsia="en-US" w:bidi="ar-SA"/>
      </w:rPr>
    </w:lvl>
    <w:lvl w:ilvl="3" w:tplc="BD40CC3C">
      <w:numFmt w:val="bullet"/>
      <w:lvlText w:val="•"/>
      <w:lvlJc w:val="left"/>
      <w:pPr>
        <w:ind w:left="2698" w:hanging="360"/>
      </w:pPr>
      <w:rPr>
        <w:rFonts w:hint="default"/>
        <w:lang w:val="en-US" w:eastAsia="en-US" w:bidi="ar-SA"/>
      </w:rPr>
    </w:lvl>
    <w:lvl w:ilvl="4" w:tplc="C92E8116">
      <w:numFmt w:val="bullet"/>
      <w:lvlText w:val="•"/>
      <w:lvlJc w:val="left"/>
      <w:pPr>
        <w:ind w:left="3318" w:hanging="360"/>
      </w:pPr>
      <w:rPr>
        <w:rFonts w:hint="default"/>
        <w:lang w:val="en-US" w:eastAsia="en-US" w:bidi="ar-SA"/>
      </w:rPr>
    </w:lvl>
    <w:lvl w:ilvl="5" w:tplc="A7D66E42">
      <w:numFmt w:val="bullet"/>
      <w:lvlText w:val="•"/>
      <w:lvlJc w:val="left"/>
      <w:pPr>
        <w:ind w:left="3938" w:hanging="360"/>
      </w:pPr>
      <w:rPr>
        <w:rFonts w:hint="default"/>
        <w:lang w:val="en-US" w:eastAsia="en-US" w:bidi="ar-SA"/>
      </w:rPr>
    </w:lvl>
    <w:lvl w:ilvl="6" w:tplc="4740C45C">
      <w:numFmt w:val="bullet"/>
      <w:lvlText w:val="•"/>
      <w:lvlJc w:val="left"/>
      <w:pPr>
        <w:ind w:left="4557" w:hanging="360"/>
      </w:pPr>
      <w:rPr>
        <w:rFonts w:hint="default"/>
        <w:lang w:val="en-US" w:eastAsia="en-US" w:bidi="ar-SA"/>
      </w:rPr>
    </w:lvl>
    <w:lvl w:ilvl="7" w:tplc="81B0B22A">
      <w:numFmt w:val="bullet"/>
      <w:lvlText w:val="•"/>
      <w:lvlJc w:val="left"/>
      <w:pPr>
        <w:ind w:left="5177" w:hanging="360"/>
      </w:pPr>
      <w:rPr>
        <w:rFonts w:hint="default"/>
        <w:lang w:val="en-US" w:eastAsia="en-US" w:bidi="ar-SA"/>
      </w:rPr>
    </w:lvl>
    <w:lvl w:ilvl="8" w:tplc="63B8EA5A">
      <w:numFmt w:val="bullet"/>
      <w:lvlText w:val="•"/>
      <w:lvlJc w:val="left"/>
      <w:pPr>
        <w:ind w:left="5796" w:hanging="360"/>
      </w:pPr>
      <w:rPr>
        <w:rFonts w:hint="default"/>
        <w:lang w:val="en-US" w:eastAsia="en-US" w:bidi="ar-SA"/>
      </w:rPr>
    </w:lvl>
  </w:abstractNum>
  <w:abstractNum xmlns:p16="http://schemas.microsoft.com/office/word/2012/wordml" w:abstractNumId="7" p16:restartNumberingAfterBreak="0">
    <w:nsid w:val="3D954B8D"/>
    <w:multiLevelType w:val="hybridMultilevel"/>
    <w:tmpl w:val="6E44C4C4"/>
    <w:lvl w:ilvl="0" w:tplc="4F525B6C">
      <w:numFmt w:val="bullet"/>
      <w:lvlText w:val=""/>
      <w:lvlJc w:val="left"/>
      <w:pPr>
        <w:ind w:left="833" w:hanging="360"/>
      </w:pPr>
      <w:rPr>
        <w:rFonts w:hint="default" w:ascii="Symbol" w:hAnsi="Symbol" w:eastAsia="Symbol" w:cs="Symbol"/>
        <w:b w:val="0"/>
        <w:bCs w:val="0"/>
        <w:i w:val="0"/>
        <w:iCs w:val="0"/>
        <w:spacing w:val="0"/>
        <w:w w:val="100"/>
        <w:sz w:val="22"/>
        <w:szCs w:val="22"/>
        <w:lang w:val="en-US" w:eastAsia="en-US" w:bidi="ar-SA"/>
      </w:rPr>
    </w:lvl>
    <w:lvl w:ilvl="1" w:tplc="DC148646">
      <w:numFmt w:val="bullet"/>
      <w:lvlText w:val="•"/>
      <w:lvlJc w:val="left"/>
      <w:pPr>
        <w:ind w:left="1459" w:hanging="360"/>
      </w:pPr>
      <w:rPr>
        <w:rFonts w:hint="default"/>
        <w:lang w:val="en-US" w:eastAsia="en-US" w:bidi="ar-SA"/>
      </w:rPr>
    </w:lvl>
    <w:lvl w:ilvl="2" w:tplc="AC68A5B8">
      <w:numFmt w:val="bullet"/>
      <w:lvlText w:val="•"/>
      <w:lvlJc w:val="left"/>
      <w:pPr>
        <w:ind w:left="2079" w:hanging="360"/>
      </w:pPr>
      <w:rPr>
        <w:rFonts w:hint="default"/>
        <w:lang w:val="en-US" w:eastAsia="en-US" w:bidi="ar-SA"/>
      </w:rPr>
    </w:lvl>
    <w:lvl w:ilvl="3" w:tplc="1EA885EE">
      <w:numFmt w:val="bullet"/>
      <w:lvlText w:val="•"/>
      <w:lvlJc w:val="left"/>
      <w:pPr>
        <w:ind w:left="2698" w:hanging="360"/>
      </w:pPr>
      <w:rPr>
        <w:rFonts w:hint="default"/>
        <w:lang w:val="en-US" w:eastAsia="en-US" w:bidi="ar-SA"/>
      </w:rPr>
    </w:lvl>
    <w:lvl w:ilvl="4" w:tplc="79A2DEF6">
      <w:numFmt w:val="bullet"/>
      <w:lvlText w:val="•"/>
      <w:lvlJc w:val="left"/>
      <w:pPr>
        <w:ind w:left="3318" w:hanging="360"/>
      </w:pPr>
      <w:rPr>
        <w:rFonts w:hint="default"/>
        <w:lang w:val="en-US" w:eastAsia="en-US" w:bidi="ar-SA"/>
      </w:rPr>
    </w:lvl>
    <w:lvl w:ilvl="5" w:tplc="0E2638FE">
      <w:numFmt w:val="bullet"/>
      <w:lvlText w:val="•"/>
      <w:lvlJc w:val="left"/>
      <w:pPr>
        <w:ind w:left="3938" w:hanging="360"/>
      </w:pPr>
      <w:rPr>
        <w:rFonts w:hint="default"/>
        <w:lang w:val="en-US" w:eastAsia="en-US" w:bidi="ar-SA"/>
      </w:rPr>
    </w:lvl>
    <w:lvl w:ilvl="6" w:tplc="FC04BF90">
      <w:numFmt w:val="bullet"/>
      <w:lvlText w:val="•"/>
      <w:lvlJc w:val="left"/>
      <w:pPr>
        <w:ind w:left="4557" w:hanging="360"/>
      </w:pPr>
      <w:rPr>
        <w:rFonts w:hint="default"/>
        <w:lang w:val="en-US" w:eastAsia="en-US" w:bidi="ar-SA"/>
      </w:rPr>
    </w:lvl>
    <w:lvl w:ilvl="7" w:tplc="B074F76A">
      <w:numFmt w:val="bullet"/>
      <w:lvlText w:val="•"/>
      <w:lvlJc w:val="left"/>
      <w:pPr>
        <w:ind w:left="5177" w:hanging="360"/>
      </w:pPr>
      <w:rPr>
        <w:rFonts w:hint="default"/>
        <w:lang w:val="en-US" w:eastAsia="en-US" w:bidi="ar-SA"/>
      </w:rPr>
    </w:lvl>
    <w:lvl w:ilvl="8" w:tplc="5948A724">
      <w:numFmt w:val="bullet"/>
      <w:lvlText w:val="•"/>
      <w:lvlJc w:val="left"/>
      <w:pPr>
        <w:ind w:left="5796" w:hanging="360"/>
      </w:pPr>
      <w:rPr>
        <w:rFonts w:hint="default"/>
        <w:lang w:val="en-US" w:eastAsia="en-US" w:bidi="ar-SA"/>
      </w:rPr>
    </w:lvl>
  </w:abstractNum>
  <w:abstractNum xmlns:p16="http://schemas.microsoft.com/office/word/2012/wordml" w:abstractNumId="8" p16:restartNumberingAfterBreak="0">
    <w:nsid w:val="13357CF4"/>
    <w:multiLevelType w:val="hybridMultilevel"/>
    <w:tmpl w:val="F92A5A76"/>
    <w:lvl w:ilvl="0" w:tplc="FD3C9A4A">
      <w:numFmt w:val="bullet"/>
      <w:lvlText w:val=""/>
      <w:lvlJc w:val="left"/>
      <w:pPr>
        <w:ind w:left="721" w:hanging="361"/>
      </w:pPr>
      <w:rPr>
        <w:rFonts w:hint="default" w:ascii="Symbol" w:hAnsi="Symbol" w:eastAsia="Symbol" w:cs="Symbol"/>
        <w:b w:val="0"/>
        <w:bCs w:val="0"/>
        <w:i w:val="0"/>
        <w:iCs w:val="0"/>
        <w:spacing w:val="0"/>
        <w:w w:val="100"/>
        <w:sz w:val="22"/>
        <w:szCs w:val="22"/>
        <w:lang w:val="en-US" w:eastAsia="en-US" w:bidi="ar-SA"/>
      </w:rPr>
    </w:lvl>
    <w:lvl w:ilvl="1" w:tplc="B314A7EA">
      <w:numFmt w:val="bullet"/>
      <w:lvlText w:val="•"/>
      <w:lvlJc w:val="left"/>
      <w:pPr>
        <w:ind w:left="1597" w:hanging="361"/>
      </w:pPr>
      <w:rPr>
        <w:rFonts w:hint="default"/>
        <w:lang w:val="en-US" w:eastAsia="en-US" w:bidi="ar-SA"/>
      </w:rPr>
    </w:lvl>
    <w:lvl w:ilvl="2" w:tplc="5DBED92A">
      <w:numFmt w:val="bullet"/>
      <w:lvlText w:val="•"/>
      <w:lvlJc w:val="left"/>
      <w:pPr>
        <w:ind w:left="2474" w:hanging="361"/>
      </w:pPr>
      <w:rPr>
        <w:rFonts w:hint="default"/>
        <w:lang w:val="en-US" w:eastAsia="en-US" w:bidi="ar-SA"/>
      </w:rPr>
    </w:lvl>
    <w:lvl w:ilvl="3" w:tplc="D45A088E">
      <w:numFmt w:val="bullet"/>
      <w:lvlText w:val="•"/>
      <w:lvlJc w:val="left"/>
      <w:pPr>
        <w:ind w:left="3351" w:hanging="361"/>
      </w:pPr>
      <w:rPr>
        <w:rFonts w:hint="default"/>
        <w:lang w:val="en-US" w:eastAsia="en-US" w:bidi="ar-SA"/>
      </w:rPr>
    </w:lvl>
    <w:lvl w:ilvl="4" w:tplc="975AFD62">
      <w:numFmt w:val="bullet"/>
      <w:lvlText w:val="•"/>
      <w:lvlJc w:val="left"/>
      <w:pPr>
        <w:ind w:left="4228" w:hanging="361"/>
      </w:pPr>
      <w:rPr>
        <w:rFonts w:hint="default"/>
        <w:lang w:val="en-US" w:eastAsia="en-US" w:bidi="ar-SA"/>
      </w:rPr>
    </w:lvl>
    <w:lvl w:ilvl="5" w:tplc="21342D3C">
      <w:numFmt w:val="bullet"/>
      <w:lvlText w:val="•"/>
      <w:lvlJc w:val="left"/>
      <w:pPr>
        <w:ind w:left="5105" w:hanging="361"/>
      </w:pPr>
      <w:rPr>
        <w:rFonts w:hint="default"/>
        <w:lang w:val="en-US" w:eastAsia="en-US" w:bidi="ar-SA"/>
      </w:rPr>
    </w:lvl>
    <w:lvl w:ilvl="6" w:tplc="D30E3E5E">
      <w:numFmt w:val="bullet"/>
      <w:lvlText w:val="•"/>
      <w:lvlJc w:val="left"/>
      <w:pPr>
        <w:ind w:left="5982" w:hanging="361"/>
      </w:pPr>
      <w:rPr>
        <w:rFonts w:hint="default"/>
        <w:lang w:val="en-US" w:eastAsia="en-US" w:bidi="ar-SA"/>
      </w:rPr>
    </w:lvl>
    <w:lvl w:ilvl="7" w:tplc="2C7ABC94">
      <w:numFmt w:val="bullet"/>
      <w:lvlText w:val="•"/>
      <w:lvlJc w:val="left"/>
      <w:pPr>
        <w:ind w:left="6859" w:hanging="361"/>
      </w:pPr>
      <w:rPr>
        <w:rFonts w:hint="default"/>
        <w:lang w:val="en-US" w:eastAsia="en-US" w:bidi="ar-SA"/>
      </w:rPr>
    </w:lvl>
    <w:lvl w:ilvl="8" w:tplc="FB048080">
      <w:numFmt w:val="bullet"/>
      <w:lvlText w:val="•"/>
      <w:lvlJc w:val="left"/>
      <w:pPr>
        <w:ind w:left="7736" w:hanging="361"/>
      </w:pPr>
      <w:rPr>
        <w:rFonts w:hint="default"/>
        <w:lang w:val="en-US" w:eastAsia="en-US" w:bidi="ar-SA"/>
      </w:rPr>
    </w:lvl>
  </w:abstractNum>
  <w:num xmlns:p16="http://schemas.microsoft.com/office/word/2016/wordml/cid" w:numId="1">
    <w:abstractNumId w:val="0"/>
  </w:num>
  <w:num xmlns:p16="http://schemas.microsoft.com/office/word/2016/wordml/cid" w:numId="2">
    <w:abstractNumId w:val="1"/>
  </w:num>
  <w:num xmlns:p16="http://schemas.microsoft.com/office/word/2016/wordml/cid" w:numId="3">
    <w:abstractNumId w:val="2"/>
  </w:num>
  <w:num xmlns:p16="http://schemas.microsoft.com/office/word/2016/wordml/cid" w:numId="4">
    <w:abstractNumId w:val="3"/>
  </w:num>
  <w:num xmlns:p16="http://schemas.microsoft.com/office/word/2016/wordml/cid" w:numId="5">
    <w:abstractNumId w:val="4"/>
  </w:num>
  <w:num xmlns:p16="http://schemas.microsoft.com/office/word/2016/wordml/cid" w:numId="6">
    <w:abstractNumId w:val="5"/>
  </w:num>
  <w:num xmlns:p16="http://schemas.microsoft.com/office/word/2016/wordml/cid" w:numId="7">
    <w:abstractNumId w:val="6"/>
  </w:num>
  <w:num xmlns:p16="http://schemas.microsoft.com/office/word/2016/wordml/cid" w:numId="8">
    <w:abstractNumId w:val="7"/>
  </w:num>
  <w:num xmlns:p16="http://schemas.microsoft.com/office/word/2016/wordml/cid"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1-07&lt;/text&gt;&#13;&#10;  &lt;/metadata&gt;&#13;&#10;  &lt;metadata key=&quot;md_Prefix&quot;&gt;&#13;&#10;    &lt;text&gt;&lt;/text&gt;&#13;&#10;  &lt;/metadata&gt;&#13;&#10;  &lt;metadata key=&quot;md_DocumentNumber&quot;&gt;&#13;&#10;    &lt;text&gt;5096&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COH 4&lt;/text&gt;&#13;&#10;      &lt;text&gt;SOC 9&lt;/text&gt;&#13;&#10;      &lt;text&gt;ENER 4&lt;/text&gt;&#13;&#10;      &lt;text&gt;ENV 10&lt;/text&gt;&#13;&#10;      &lt;text&gt;CADREFIN 4&lt;/text&gt;&#13;&#10;      &lt;text&gt;CODEC 13&lt;/text&gt;&#13;&#10;      &lt;text&gt;INDEF 3&lt;/text&gt;&#13;&#10;      &lt;text&gt;COPS 6&lt;/text&gt;&#13;&#10;      &lt;text&gt;POLMIL 4&lt;/text&gt;&#13;&#10;      &lt;text&gt;FISC 4&lt;/text&gt;&#13;&#10;      &lt;text&gt;FIN 4&lt;/text&gt;&#13;&#10;      &lt;text&gt;ECOFIN 11&lt;/text&gt;&#13;&#10;      &lt;text&gt;UEM 9&lt;/text&gt;&#13;&#10;      &lt;text&gt;INST 2&lt;/text&gt;&#13;&#10;      &lt;text&gt;PARLNAT 2&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084 (COD)&lt;/text&gt;&#13;&#10;      &lt;text&gt;2025/0122 (NLE)&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Irish parliament (Houses of the Oireachtas)&quot;&gt;&amp;lt;FlowDocument xmlns=&quot;http://schemas.microsoft.com/winfx/2006/xaml/presentation&quot;&amp;gt;&amp;lt;Paragraph&amp;gt;The Irish parliament (Houses of the Oireachtas)&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5-12-17&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amending Regulations (EU) 2021/1058 and (EU) 2021/1056 as regards specific measures to address strategic challenges in the context of the mid-term review [7682/25 - COM(20250 123 final] Proposal for a COUNCIL REGULATION establishing the Security Action for Europe (SAFE) through the reinforcement of European defence industry instrument [7593/5/25 - COM(2025) 122 final] - Opinion on the application of the Principles of Subsidiarity and Proportionality&quot;&gt;&amp;lt;FlowDocument xmlns=&quot;http://schemas.microsoft.com/winfx/2006/xaml/presentation&quot;&amp;gt;&amp;lt;Paragraph&amp;gt;Proposal for a REGULATION OF THE EUROPEAN PARLIAMENT AND OF THE COUNCIL amending Regulations (EU) 2021/1058 and (EU) 2021/1056 as regards specific measures to address strategic challenges in the context of the mid-term review&amp;lt;/Paragraph&amp;gt;&amp;lt;Paragraph&amp;gt;[7682/25 - COM(20250 123 final]&amp;lt;/Paragraph&amp;gt;&amp;lt;Paragraph&amp;gt;Proposal for a COUNCIL REGULATION establishing the Security Action for Europe (SAFE) through the reinforcement of European defence industry instrument&amp;lt;/Paragraph&amp;gt;&amp;lt;Paragraph&amp;gt;[7593/5/25 - COM(2025) 122 final]&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ECOFIN.2.A&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tru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 w:name="DW_KeepCompatibilityMode" w:val="true"/>
    <w:docVar w:name="DW_TechnicalBlockHash" w:val="ea573947e582ddaa1e25e518ac9e1e07a71ebd74e944584f133b26c922ed5fc1"/>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ulTrailSpace/>
    <w:shapeLayoutLikeWW8/>
    <w:compatSetting w:name="compatibilityMode" w:uri="http://schemas.microsoft.com/office/word" w:val="14"/>
    <w:compatSetting w:name="useWord2013TrackBottomHyphenation" w:uri="http://schemas.microsoft.com/office/word" w:val="1"/>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0F4761" w:themeColor="accent1" w:themeShade="BF"/>
      <w:kern w:val="2"/>
      <w:sz w:val="22"/>
      <w:szCs w:val="22"/>
      <w:lang w:val="en-DE"/>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0F4761" w:themeColor="accent1" w:themeShade="BF"/>
      <w:kern w:val="2"/>
      <w:sz w:val="22"/>
      <w:szCs w:val="22"/>
      <w:lang w:val="en-DE"/>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lang w:val="en-DE"/>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lang w:val="en-DE"/>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szCs w:val="22"/>
      <w:lang w:val="en-DE"/>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szCs w:val="22"/>
      <w:lang w:val="en-DE"/>
    </w:rPr>
  </w:style>
  <w:style w:type="character" w:styleId="Heading1Char" w:customStyle="1">
    <w:name w:val="Heading 1 Char"/>
    <w:basedOn w:val="DefaultParagraphFont"/>
    <w:uiPriority w:val="9"/>
    <w:rsid w:val="00A8615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uiPriority w:val="9"/>
    <w:semiHidden/>
    <w:rsid w:val="00A8615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uiPriority w:val="9"/>
    <w:semiHidden/>
    <w:rsid w:val="00A8615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character" w:styleId="TitleChar" w:customStyle="1">
    <w:name w:val="Title Char"/>
    <w:basedOn w:val="DefaultParagraphFont"/>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lang w:val="en-DE"/>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eastAsiaTheme="minorHAnsi" w:cstheme="minorBidi"/>
      <w:i/>
      <w:iCs/>
      <w:color w:val="404040" w:themeColor="text1" w:themeTint="BF"/>
      <w:kern w:val="2"/>
      <w:sz w:val="22"/>
      <w:szCs w:val="22"/>
      <w:lang w:val="en-DE"/>
    </w:rPr>
  </w:style>
  <w:style w:type="character" w:styleId="QuoteChar" w:customStyle="1">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0F4761" w:themeColor="accent1" w:themeShade="BF"/>
    </w:rPr>
  </w:style>
  <w:style w:type="paragraph" w:styleId="IntenseQuote">
    <w:name w:val="Intense Quote"/>
    <w:basedOn w:val="Normal"/>
    <w:next w:val="Normal"/>
    <w:link w:val="IntenseQuoteChar"/>
    <w:uiPriority w:val="30"/>
    <w:qFormat/>
    <w:rsid w:val="00A86151"/>
    <w:pPr>
      <w:pBdr>
        <w:top w:val="single" w:color="0F4761" w:themeColor="accent1" w:themeShade="BF" w:sz="4" w:space="10"/>
        <w:bottom w:val="single" w:color="0F4761" w:themeColor="accent1" w:themeShade="BF" w:sz="4" w:space="10"/>
      </w:pBdr>
      <w:spacing w:before="360" w:after="360" w:line="259" w:lineRule="auto"/>
      <w:ind w:left="864" w:right="864"/>
      <w:jc w:val="center"/>
    </w:pPr>
    <w:rPr>
      <w:rFonts w:asciiTheme="minorHAnsi" w:hAnsiTheme="minorHAnsi" w:eastAsiaTheme="minorHAnsi" w:cstheme="minorBidi"/>
      <w:i/>
      <w:iCs/>
      <w:color w:val="0F4761" w:themeColor="accent1" w:themeShade="BF"/>
      <w:kern w:val="2"/>
      <w:sz w:val="22"/>
      <w:szCs w:val="22"/>
      <w:lang w:val="en-DE"/>
    </w:rPr>
  </w:style>
  <w:style w:type="character" w:styleId="IntenseQuoteChar" w:customStyle="1">
    <w:name w:val="Intense Quote Char"/>
    <w:basedOn w:val="DefaultParagraphFont"/>
    <w:link w:val="IntenseQuote"/>
    <w:uiPriority w:val="30"/>
    <w:rsid w:val="00A86151"/>
    <w:rPr>
      <w:i/>
      <w:iCs/>
      <w:color w:val="0F4761" w:themeColor="accent1" w:themeShade="BF"/>
    </w:rPr>
  </w:style>
  <w:style w:type="character" w:styleId="IntenseReference">
    <w:name w:val="Intense Reference"/>
    <w:basedOn w:val="DefaultParagraphFont"/>
    <w:uiPriority w:val="32"/>
    <w:qFormat/>
    <w:rsid w:val="00A86151"/>
    <w:rPr>
      <w:b/>
      <w:bCs/>
      <w:smallCaps/>
      <w:color w:val="0F4761" w:themeColor="accent1" w:themeShade="BF"/>
      <w:spacing w:val="5"/>
    </w:rPr>
  </w:style>
  <w:style w:type="character" w:styleId="EntReferChar" w:customStyle="1">
    <w:name w:val="EntRefer Char"/>
    <w:basedOn w:val="DefaultParagraphFont"/>
    <w:rsid w:val="00A43C50"/>
    <w:rPr>
      <w:rFonts w:ascii="Arial" w:hAnsi="Arial" w:eastAsia="Times New Roman" w:cs="Arial"/>
      <w:b/>
      <w:kern w:val="0"/>
      <w:sz w:val="23"/>
      <w:szCs w:val="20"/>
      <w:u w:color="606060"/>
      <w:lang w:val="en-GB" w:eastAsia="fr-BE"/>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Normal" w:default="1">
    <w:name w:val="Normal"/>
    <w:qFormat/>
    <w:rPr>
      <w:rFonts w:ascii="Calibri" w:hAnsi="Calibri" w:eastAsia="Calibri" w:cs="Calibri"/>
    </w:rPr>
  </w:style>
  <w:style w:type="paragraph" w:styleId="Heading1">
    <w:name w:val="heading 1"/>
    <w:basedOn w:val="Normal"/>
    <w:uiPriority w:val="9"/>
    <w:qFormat/>
    <w:pPr>
      <w:ind w:left="1"/>
      <w:outlineLvl w:val="0"/>
    </w:pPr>
    <w:rPr>
      <w:rFonts w:ascii="Century Gothic" w:hAnsi="Century Gothic" w:eastAsia="Century Gothic" w:cs="Century Gothic"/>
      <w:b/>
      <w:bCs/>
      <w:sz w:val="31"/>
      <w:szCs w:val="31"/>
    </w:rPr>
  </w:style>
  <w:style w:type="paragraph" w:styleId="Heading2">
    <w:name w:val="heading 2"/>
    <w:basedOn w:val="Normal"/>
    <w:uiPriority w:val="9"/>
    <w:unhideWhenUsed/>
    <w:qFormat/>
    <w:pPr>
      <w:ind w:left="219"/>
      <w:outlineLvl w:val="1"/>
    </w:pPr>
    <w:rPr>
      <w:sz w:val="26"/>
      <w:szCs w:val="26"/>
    </w:rPr>
  </w:style>
  <w:style w:type="paragraph" w:styleId="Heading3">
    <w:name w:val="heading 3"/>
    <w:basedOn w:val="Normal"/>
    <w:uiPriority w:val="9"/>
    <w:unhideWhenUsed/>
    <w:qFormat/>
    <w:pPr>
      <w:ind w:left="939" w:hanging="362"/>
      <w:outlineLvl w:val="2"/>
    </w:pPr>
    <w:rPr>
      <w:rFonts w:ascii="Century Gothic" w:hAnsi="Century Gothic" w:eastAsia="Century Gothic" w:cs="Century Gothic"/>
      <w:b/>
      <w:bCs/>
      <w:u w:val="single" w:color="00000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1"/>
    <w:qFormat/>
    <w:pPr>
      <w:spacing w:before="219"/>
      <w:ind w:left="1"/>
    </w:pPr>
    <w:rPr>
      <w:rFonts w:ascii="Century Gothic" w:hAnsi="Century Gothic" w:eastAsia="Century Gothic" w:cs="Century Gothic"/>
      <w:b/>
      <w:bCs/>
    </w:rPr>
  </w:style>
  <w:style w:type="paragraph" w:styleId="TOC2">
    <w:name w:val="toc 2"/>
    <w:basedOn w:val="Normal"/>
    <w:uiPriority w:val="1"/>
    <w:qFormat/>
    <w:pPr>
      <w:spacing w:before="132"/>
      <w:ind w:left="200"/>
    </w:pPr>
  </w:style>
  <w:style w:type="paragraph" w:styleId="BodyText">
    <w:name w:val="Body Text"/>
    <w:basedOn w:val="Normal"/>
    <w:uiPriority w:val="1"/>
    <w:qFormat/>
  </w:style>
  <w:style w:type="paragraph" w:styleId="Title">
    <w:name w:val="Title"/>
    <w:basedOn w:val="Normal"/>
    <w:uiPriority w:val="10"/>
    <w:qFormat/>
    <w:pPr>
      <w:spacing w:before="1"/>
      <w:ind w:left="284" w:right="1044"/>
      <w:jc w:val="both"/>
    </w:pPr>
    <w:rPr>
      <w:sz w:val="38"/>
      <w:szCs w:val="38"/>
    </w:rPr>
  </w:style>
  <w:style w:type="paragraph" w:styleId="ListParagraph">
    <w:name w:val="List Paragraph"/>
    <w:basedOn w:val="Normal"/>
    <w:uiPriority w:val="1"/>
    <w:qFormat/>
    <w:pPr>
      <w:ind w:left="939" w:hanging="361"/>
    </w:pPr>
  </w:style>
  <w:style w:type="paragraph" w:styleId="TableParagraph" w:customStyle="1">
    <w:name w:val="Table Paragraph"/>
    <w:basedOn w:val="Normal"/>
    <w:uiPriority w:val="1"/>
    <w:qFormat/>
    <w:pPr>
      <w:ind w:left="833" w:hanging="361"/>
    </w:pPr>
  </w:style>
  <w:style w:type="paragraph" w:styleId="Header">
    <w:name w:val="header"/>
    <w:basedOn w:val="Normal"/>
    <w:link w:val="HeaderChar"/>
    <w:uiPriority w:val="99"/>
    <w:unhideWhenUsed/>
    <w:rsid w:val="00794452"/>
    <w:pPr>
      <w:tabs>
        <w:tab w:val="center" w:pos="4536"/>
        <w:tab w:val="right" w:pos="9072"/>
      </w:tabs>
    </w:pPr>
  </w:style>
  <w:style w:type="character" w:styleId="HeaderChar" w:customStyle="1">
    <w:name w:val="Header Char"/>
    <w:basedOn w:val="DefaultParagraphFont"/>
    <w:link w:val="Header"/>
    <w:uiPriority w:val="99"/>
    <w:rsid w:val="00794452"/>
    <w:rPr>
      <w:rFonts w:ascii="Calibri" w:hAnsi="Calibri" w:eastAsia="Calibri" w:cs="Calibri"/>
    </w:rPr>
  </w:style>
  <w:style w:type="paragraph" w:styleId="Footer">
    <w:name w:val="footer"/>
    <w:basedOn w:val="Normal"/>
    <w:link w:val="FooterChar"/>
    <w:uiPriority w:val="99"/>
    <w:unhideWhenUsed/>
    <w:rsid w:val="00794452"/>
    <w:pPr>
      <w:tabs>
        <w:tab w:val="center" w:pos="4536"/>
        <w:tab w:val="right" w:pos="9072"/>
      </w:tabs>
    </w:pPr>
  </w:style>
  <w:style w:type="character" w:styleId="FooterChar" w:customStyle="1">
    <w:name w:val="Footer Char"/>
    <w:basedOn w:val="DefaultParagraphFont"/>
    <w:link w:val="Footer"/>
    <w:uiPriority w:val="99"/>
    <w:rsid w:val="00794452"/>
    <w:rPr>
      <w:rFonts w:ascii="Calibri" w:hAnsi="Calibri" w:eastAsia="Calibri" w:cs="Calibri"/>
    </w:rPr>
  </w:style>
  <w:style w:type="paragraph" w:styleId="TBEntInstit" w:customStyle="1">
    <w:name w:val="TBEntInstit"/>
    <w:basedOn w:val="TechnicalBlockBase"/>
    <w:link w:val="EntInstitChar"/>
    <w:rsid w:val="00196DB0"/>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196DB0"/>
    <w:pPr>
      <w:spacing w:before="0" w:after="0" w:line="240" w:lineRule="auto"/>
      <w:ind w:left="0" w:right="0"/>
    </w:pPr>
    <w:rPr>
      <w:rFonts w:ascii="Arial" w:hAnsi="Arial"/>
      <w:i w:val="0"/>
      <w:dstrike w:val="0"/>
      <w:color w:val="auto"/>
      <w:w w:val="100"/>
      <w:sz w:val="23"/>
      <w:u w:val="none"/>
    </w:rPr>
  </w:style>
  <w:style w:type="paragraph" w:styleId="TBEntReferNew" w:customStyle="1">
    <w:name w:val="TBEntReferNew"/>
    <w:basedOn w:val="TechnicalBlockBase"/>
    <w:rsid w:val="00196DB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196DB0"/>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196DB0"/>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196DB0"/>
    <w:pPr>
      <w:spacing w:before="0" w:after="0" w:line="204" w:lineRule="auto"/>
      <w:ind w:left="0" w:right="0"/>
    </w:pPr>
    <w:rPr>
      <w:rFonts w:ascii="Arial" w:hAnsi="Arial"/>
      <w:b w:val="0"/>
      <w:i w:val="0"/>
      <w:dstrike w:val="0"/>
      <w:color w:val="626262"/>
      <w:spacing w:val="4"/>
      <w:w w:val="100"/>
      <w:sz w:val="24"/>
      <w:u w:val="none"/>
    </w:rPr>
  </w:style>
  <w:style w:type="paragraph" w:styleId="TBSousEmbargo" w:customStyle="1">
    <w:name w:val="TBSousEmbargo"/>
    <w:basedOn w:val="TechnicalBlockBase"/>
    <w:qFormat/>
    <w:rsid w:val="00196DB0"/>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196DB0"/>
    <w:rPr>
      <w:rFonts w:ascii="Arial" w:hAnsi="Arial" w:eastAsia="Times New Roman" w:cs="Arial"/>
      <w:b/>
      <w:sz w:val="23"/>
      <w:szCs w:val="20"/>
      <w:u w:color="606060"/>
      <w:lang w:eastAsia="fr-BE"/>
    </w:rPr>
  </w:style>
  <w:style w:type="paragraph" w:styleId="TBSubjectTable" w:customStyle="1">
    <w:name w:val="TBSubjectTable"/>
    <w:basedOn w:val="TechnicalBlockBase"/>
    <w:rsid w:val="00196DB0"/>
    <w:pPr>
      <w:widowControl/>
      <w:spacing w:before="40" w:after="40" w:line="240" w:lineRule="auto"/>
      <w:ind w:left="0" w:right="0"/>
    </w:pPr>
    <w:rPr>
      <w:rFonts w:ascii="Arial" w:hAnsi="Arial"/>
      <w:b w:val="0"/>
      <w:i w:val="0"/>
      <w:dstrike w:val="0"/>
      <w:color w:val="auto"/>
      <w:w w:val="100"/>
      <w:sz w:val="23"/>
      <w:u w:val="none"/>
    </w:rPr>
  </w:style>
  <w:style w:type="paragraph" w:styleId="TBHeadingTable" w:customStyle="1">
    <w:name w:val="TBHeadingTable"/>
    <w:basedOn w:val="TechnicalBlockBase"/>
    <w:rsid w:val="00196DB0"/>
    <w:pPr>
      <w:widowControl/>
      <w:spacing w:before="240" w:after="40" w:line="240" w:lineRule="auto"/>
      <w:ind w:left="0" w:right="0"/>
    </w:pPr>
    <w:rPr>
      <w:rFonts w:ascii="Arial" w:hAnsi="Arial"/>
      <w:i w:val="0"/>
      <w:dstrike w:val="0"/>
      <w:color w:val="auto"/>
      <w:w w:val="100"/>
      <w:sz w:val="23"/>
      <w:u w:val="none"/>
    </w:rPr>
  </w:style>
  <w:style w:type="paragraph" w:styleId="TBSubjectText" w:customStyle="1">
    <w:name w:val="TBSubjectText"/>
    <w:basedOn w:val="TechnicalBlockBase"/>
    <w:qFormat/>
    <w:rsid w:val="00196DB0"/>
    <w:pPr>
      <w:widowControl/>
      <w:spacing w:before="40" w:after="40" w:line="240" w:lineRule="auto"/>
      <w:ind w:left="0" w:right="0"/>
    </w:pPr>
    <w:rPr>
      <w:rFonts w:ascii="Arial" w:hAnsi="Arial"/>
      <w:b w:val="0"/>
      <w:i w:val="0"/>
      <w:dstrike w:val="0"/>
      <w:color w:val="auto"/>
      <w:w w:val="100"/>
      <w:sz w:val="23"/>
      <w:u w:val="none"/>
    </w:rPr>
  </w:style>
  <w:style w:type="paragraph" w:styleId="TechnicalBlockBase" w:customStyle="1">
    <w:name w:val="TechnicalBlockBase"/>
    <w:link w:val="TechnicalBlockBaseChar"/>
    <w:rsid w:val="00196DB0"/>
    <w:pPr>
      <w:autoSpaceDE/>
      <w:autoSpaceDN/>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196DB0"/>
    <w:rPr>
      <w:rFonts w:ascii="Arial New Roman" w:hAnsi="Arial New Roman" w:eastAsia="Times New Roman" w:cs="Arial"/>
      <w:b/>
      <w:i/>
      <w:dstrike/>
      <w:color w:val="606060"/>
      <w:w w:val="98"/>
      <w:sz w:val="10"/>
      <w:szCs w:val="20"/>
      <w:u w:val="words" w:color="606060"/>
      <w:lang w:eastAsia="fr-BE"/>
    </w:rPr>
  </w:style>
  <w:style w:type="paragraph" w:styleId="EntText" w:customStyle="1">
    <w:name w:val="EntText"/>
    <w:basedOn w:val="Normal"/>
    <w:rsid w:val="00794452"/>
    <w:pPr>
      <w:widowControl/>
      <w:autoSpaceDE/>
      <w:autoSpaceDN/>
      <w:spacing w:before="120" w:after="120" w:line="360" w:lineRule="auto"/>
    </w:pPr>
    <w:rPr>
      <w:rFonts w:ascii="Times New Roman" w:hAnsi="Times New Roman" w:cs="Times New Roman" w:eastAsiaTheme="minorHAnsi"/>
      <w:sz w:val="24"/>
    </w:rPr>
  </w:style>
  <w:style w:type="paragraph" w:styleId="Lignefinal" w:customStyle="1">
    <w:name w:val="Ligne final"/>
    <w:basedOn w:val="Normal"/>
    <w:next w:val="Normal"/>
    <w:rsid w:val="00794452"/>
    <w:pPr>
      <w:widowControl/>
      <w:pBdr>
        <w:bottom w:val="single" w:color="000000" w:sz="4" w:space="0"/>
      </w:pBdr>
      <w:autoSpaceDE/>
      <w:autoSpaceDN/>
      <w:spacing w:before="360" w:after="120" w:line="360" w:lineRule="auto"/>
      <w:ind w:left="3400" w:right="3400"/>
      <w:jc w:val="center"/>
    </w:pPr>
    <w:rPr>
      <w:rFonts w:ascii="Times New Roman" w:hAnsi="Times New Roman" w:cs="Times New Roman" w:eastAsiaTheme="minorHAnsi"/>
      <w:b/>
      <w:sz w:val="24"/>
    </w:rPr>
  </w:style>
  <w:style w:type="character" w:styleId="Marker" w:customStyle="1">
    <w:name w:val="Marker"/>
    <w:basedOn w:val="DefaultParagraphFont"/>
    <w:rsid w:val="00794452"/>
    <w:rPr>
      <w:color w:val="0000FF"/>
      <w:bdr w:val="none" w:color="auto" w:sz="0" w:space="0"/>
      <w:shd w:val="clear" w:color="auto" w:fill="auto"/>
    </w:rPr>
  </w:style>
  <w:style w:type="paragraph" w:styleId="pj" w:customStyle="1">
    <w:name w:val="p.j."/>
    <w:basedOn w:val="Normal"/>
    <w:link w:val="pjChar"/>
    <w:rsid w:val="00794452"/>
    <w:pPr>
      <w:spacing w:before="1200" w:after="120"/>
      <w:ind w:left="1440" w:hanging="1440"/>
    </w:pPr>
    <w:rPr>
      <w:rFonts w:ascii="Times New Roman" w:hAnsi="Times New Roman" w:cs="Times New Roman"/>
      <w:sz w:val="24"/>
    </w:rPr>
  </w:style>
  <w:style w:type="character" w:styleId="pjChar" w:customStyle="1">
    <w:name w:val="p.j. Char"/>
    <w:basedOn w:val="DefaultParagraphFont"/>
    <w:link w:val="pj"/>
    <w:rsid w:val="00794452"/>
    <w:rPr>
      <w:rFonts w:ascii="Times New Roman" w:hAnsi="Times New Roman" w:eastAsia="Calibri" w:cs="Times New Roman"/>
      <w:sz w:val="24"/>
    </w:rPr>
  </w:style>
  <w:style w:type="paragraph" w:styleId="nbbordered" w:customStyle="1">
    <w:name w:val="nb bordered"/>
    <w:basedOn w:val="Normal"/>
    <w:link w:val="nbborderedChar"/>
    <w:rsid w:val="00794452"/>
    <w:pPr>
      <w:pBdr>
        <w:top w:val="single" w:color="auto" w:sz="4" w:space="1"/>
        <w:left w:val="single" w:color="auto" w:sz="4" w:space="4"/>
        <w:bottom w:val="single" w:color="auto" w:sz="4" w:space="1"/>
        <w:right w:val="single" w:color="auto" w:sz="4" w:space="4"/>
        <w:between w:val="single" w:color="auto" w:sz="4" w:space="0"/>
      </w:pBdr>
      <w:spacing w:after="160"/>
      <w:ind w:left="480" w:hanging="480"/>
    </w:pPr>
    <w:rPr>
      <w:rFonts w:ascii="Times New Roman" w:hAnsi="Times New Roman" w:cs="Times New Roman"/>
      <w:b/>
      <w:sz w:val="24"/>
    </w:rPr>
  </w:style>
  <w:style w:type="character" w:styleId="nbborderedChar" w:customStyle="1">
    <w:name w:val="nb bordered Char"/>
    <w:basedOn w:val="DefaultParagraphFont"/>
    <w:link w:val="nbbordered"/>
    <w:rsid w:val="00794452"/>
    <w:rPr>
      <w:rFonts w:ascii="Times New Roman" w:hAnsi="Times New Roman" w:eastAsia="Calibri" w:cs="Times New Roman"/>
      <w:b/>
      <w:sz w:val="24"/>
    </w:rPr>
  </w:style>
  <w:style w:type="paragraph" w:styleId="HeaderCouncil" w:customStyle="1">
    <w:name w:val="Header Council"/>
    <w:basedOn w:val="Normal"/>
    <w:link w:val="HeaderCouncilChar"/>
    <w:rsid w:val="00794452"/>
    <w:rPr>
      <w:sz w:val="2"/>
      <w:rFonts w:ascii="Times New Roman" w:hAnsi="Times New Roman"/>
    </w:rPr>
    <w:pPr>
      <w:spacing w:before="0" w:after="0"/>
    </w:pPr>
  </w:style>
  <w:style w:type="character" w:styleId="HeaderCouncilChar" w:customStyle="1">
    <w:name w:val="Header Council Char"/>
    <w:basedOn w:val="pjChar"/>
    <w:link w:val="HeaderCouncil"/>
    <w:rsid w:val="00794452"/>
    <w:rPr>
      <w:rFonts w:ascii="Calibri" w:hAnsi="Calibri" w:eastAsia="Calibri" w:cs="Calibri"/>
      <w:sz w:val="2"/>
    </w:rPr>
  </w:style>
  <w:style w:type="paragraph" w:styleId="HeaderCouncilLarge" w:customStyle="1">
    <w:name w:val="Header Council Large"/>
    <w:basedOn w:val="Normal"/>
    <w:link w:val="HeaderCouncilLargeChar"/>
    <w:rsid w:val="00794452"/>
    <w:pPr>
      <w:spacing w:before="0" w:after="440"/>
    </w:pPr>
    <w:rPr>
      <w:sz w:val="2"/>
      <w:rFonts w:ascii="Times New Roman" w:hAnsi="Times New Roman"/>
    </w:rPr>
  </w:style>
  <w:style w:type="character" w:styleId="HeaderCouncilLargeChar" w:customStyle="1">
    <w:name w:val="Header Council Large Char"/>
    <w:basedOn w:val="pjChar"/>
    <w:link w:val="HeaderCouncilLarge"/>
    <w:rsid w:val="00794452"/>
    <w:rPr>
      <w:rFonts w:ascii="Calibri" w:hAnsi="Calibri" w:eastAsia="Calibri" w:cs="Calibri"/>
      <w:sz w:val="2"/>
    </w:rPr>
  </w:style>
  <w:style w:type="paragraph" w:styleId="FooterCouncil" w:customStyle="1">
    <w:name w:val="Footer Council"/>
    <w:basedOn w:val="Normal"/>
    <w:link w:val="FooterCouncilChar"/>
    <w:rsid w:val="00794452"/>
    <w:rPr>
      <w:sz w:val="2"/>
      <w:rFonts w:ascii="Times New Roman" w:hAnsi="Times New Roman"/>
    </w:rPr>
    <w:pPr>
      <w:spacing w:before="0" w:after="0"/>
    </w:pPr>
  </w:style>
  <w:style w:type="character" w:styleId="FooterCouncilChar" w:customStyle="1">
    <w:name w:val="Footer Council Char"/>
    <w:basedOn w:val="pjChar"/>
    <w:link w:val="FooterCouncil"/>
    <w:rsid w:val="00794452"/>
    <w:rPr>
      <w:rFonts w:ascii="Calibri" w:hAnsi="Calibri" w:eastAsia="Calibri" w:cs="Calibri"/>
      <w:sz w:val="2"/>
    </w:rPr>
  </w:style>
  <w:style w:type="paragraph" w:styleId="FooterText" w:customStyle="1">
    <w:name w:val="Footer Text"/>
    <w:basedOn w:val="Normal"/>
    <w:rsid w:val="00794452"/>
    <w:pPr>
      <w:widowControl/>
      <w:autoSpaceDE/>
      <w:autoSpaceDN/>
      <w:spacing w:before="0" w:after="0" w:line="240"/>
    </w:pPr>
    <w:rPr>
      <w:rFonts w:ascii="Times New Roman" w:hAnsi="Times New Roman" w:eastAsia="Times New Roman" w:cs="Times New Roman"/>
      <w:sz w:val="24"/>
      <w:szCs w:val="24"/>
      <w:lang w:val="en-GB"/>
      <w:color w:val="auto"/>
    </w:rPr>
  </w:style>
  <w:style w:type="character" w:styleId="PlaceholderText">
    <w:name w:val="Placeholder Text"/>
    <w:basedOn w:val="DefaultParagraphFont"/>
    <w:uiPriority w:val="99"/>
    <w:semiHidden/>
    <w:rsid w:val="00794452"/>
    <w:rPr>
      <w:color w:val="808080"/>
    </w:rPr>
  </w:style>
  <w:style w:type="paragraph" w:styleId="FootnoteText">
    <w:name w:val="footnote text"/>
    <w:basedOn w:val="Normal"/>
    <w:link w:val="FootnoteTextChar"/>
    <w:uiPriority w:val="99"/>
    <w:semiHidden/>
    <w:unhideWhenUsed/>
    <w:rsid w:val="00381678"/>
    <w:rPr>
      <w:sz w:val="20"/>
      <w:szCs w:val="20"/>
    </w:rPr>
  </w:style>
  <w:style w:type="character" w:styleId="FootnoteTextChar" w:customStyle="1">
    <w:name w:val="Footnote Text Char"/>
    <w:basedOn w:val="DefaultParagraphFont"/>
    <w:link w:val="FootnoteText"/>
    <w:uiPriority w:val="99"/>
    <w:semiHidden/>
    <w:rsid w:val="00381678"/>
    <w:rPr>
      <w:rFonts w:ascii="Calibri" w:hAnsi="Calibri" w:eastAsia="Calibri" w:cs="Calibri"/>
      <w:sz w:val="20"/>
      <w:szCs w:val="20"/>
    </w:rPr>
  </w:style>
  <w:style w:type="character" w:styleId="FootnoteReference">
    <w:name w:val="footnote reference"/>
    <w:basedOn w:val="DefaultParagraphFont"/>
    <w:uiPriority w:val="99"/>
    <w:semiHidden/>
    <w:unhideWhenUsed/>
    <w:rsid w:val="00381678"/>
    <w:rPr>
      <w:vertAlign w:val="superscript"/>
    </w:rPr>
  </w:style>
  <w:style w:type="character" w:styleId="Hyperlink">
    <w:name w:val="Hyperlink"/>
    <w:basedOn w:val="DefaultParagraphFont"/>
    <w:uiPriority w:val="99"/>
    <w:unhideWhenUsed/>
    <w:rsid w:val="00381678"/>
    <w:rPr>
      <w:color w:val="0000FF" w:themeColor="hyperlink"/>
      <w:u w:val="single"/>
    </w:rPr>
  </w:style>
  <w:style w:type="character" w:styleId="UnresolvedMention">
    <w:name w:val="Unresolved Mention"/>
    <w:basedOn w:val="DefaultParagraphFont"/>
    <w:uiPriority w:val="99"/>
    <w:semiHidden/>
    <w:unhideWhenUsed/>
    <w:rsid w:val="00381678"/>
    <w:rPr>
      <w:color w:val="605E5C"/>
      <w:shd w:val="clear" w:color="auto" w:fill="E1DFDD"/>
    </w:rPr>
  </w:style>
  <w:style w:type="character" w:styleId="FollowedHyperlink">
    <w:name w:val="FollowedHyperlink"/>
    <w:basedOn w:val="DefaultParagraphFont"/>
    <w:uiPriority w:val="99"/>
    <w:semiHidden/>
    <w:unhideWhenUsed/>
    <w:rsid w:val="00381678"/>
    <w:rPr>
      <w:color w:val="800080" w:themeColor="followedHyperlink"/>
      <w:u w:val="single"/>
    </w:rPr>
  </w:style>
  <w:style w:type="paragraph" w:styleId="TBDistrbMarkers" w:customStyle="1">
    <w:name w:val="TBDistrbMarkers"/>
    <w:basedOn w:val="TBEntRefer"/>
    <w:qFormat/>
    <w:rsid w:val="00196DB0"/>
    <w:pPr>
      <w:tabs>
        <w:tab w:val="left" w:pos="2262"/>
      </w:tabs>
    </w:pPr>
    <w:rPr>
      <w:i/>
      <w:iCs/>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21191e522eff4633" Type="http://schemas.openxmlformats.org/officeDocument/2006/relationships/footer" Target="/word/footer54.xml"/><Relationship Id="R74f2932dcf5f446b" Type="http://schemas.openxmlformats.org/officeDocument/2006/relationships/footer" Target="/word/footer89.xml"/><Relationship Id="R0785e4ac7f334f16" Type="http://schemas.openxmlformats.org/officeDocument/2006/relationships/footer" Target="/word/footer15.xml"/><Relationship Id="Rc7d833e67d4b47be" Type="http://schemas.openxmlformats.org/officeDocument/2006/relationships/header" Target="/word/header20.xml"/><Relationship Id="R9e995ec7ea744ba5" Type="http://schemas.openxmlformats.org/officeDocument/2006/relationships/header" Target="/word/header35.xml"/><Relationship Id="R8a47a155de42499f" Type="http://schemas.openxmlformats.org/officeDocument/2006/relationships/header" Target="/word/header69.xml"/><Relationship Id="R2bcd36204edd40c1" Type="http://schemas.openxmlformats.org/officeDocument/2006/relationships/footer" Target="/word/footer110.xml"/><Relationship Id="rId21" Type="http://schemas.openxmlformats.org/officeDocument/2006/relationships/hyperlink" Target="https://www.europarl.europa.eu/RegData/docs_autres_institutions/commission_europeenne/com/2025/0122/COM_COM(2025)0122_EN.pdf" TargetMode="External"/><Relationship Id="rId42" Type="http://schemas.openxmlformats.org/officeDocument/2006/relationships/hyperlink" Target="https://data.oireachtas.ie/ie/oireachtas/debateRecord/joint_committee_on_finance_public_expenditure_public_service_reform_and_digitalisation_and_taoiseach/2025-10-15/debate/mul%40/main.pdf" TargetMode="External"/><Relationship Id="rId63" Type="http://schemas.openxmlformats.org/officeDocument/2006/relationships/hyperlink" Target="https://data.oireachtas.ie/ie/oireachtas/committee/dail/34/joint_committee_on_finance_public_expenditure_public_service_reform_and_digitalisation_and_taoiseach/submissions/2025/2025-12-17_submission-frank-keoghan_en.pdf" TargetMode="External"/><Relationship Id="R7074a4da42034a7f" Type="http://schemas.openxmlformats.org/officeDocument/2006/relationships/header" Target="/word/header108.xml"/><Relationship Id="R1c72a5ff1f114599" Type="http://schemas.openxmlformats.org/officeDocument/2006/relationships/header" Target="/word/header23.xml"/><Relationship Id="R119e1e4be5444e0f" Type="http://schemas.openxmlformats.org/officeDocument/2006/relationships/header" Target="/word/header36.xml"/><Relationship Id="R429976c9fdcd4c75" Type="http://schemas.openxmlformats.org/officeDocument/2006/relationships/header" Target="/word/header44.xml"/><Relationship Id="Re3a64575fc74436a" Type="http://schemas.openxmlformats.org/officeDocument/2006/relationships/footer" Target="/word/footer78.xml"/><Relationship Id="rId11" Type="http://schemas.openxmlformats.org/officeDocument/2006/relationships/hyperlink" Target="https://www.oireachtas.ie/en/members/member/Erin-McGreehan.S.2020-06-29/" TargetMode="External"/><Relationship Id="rId32" Type="http://schemas.openxmlformats.org/officeDocument/2006/relationships/hyperlink" Target="https://data.oireachtas.ie/ie/oireachtas/debateRecord/joint_committee_on_finance_public_expenditure_public_service_reform_and_digitalisation_and_taoiseach/2025-09-24/debate/mul%40/main.pdf" TargetMode="External"/><Relationship Id="rId53" Type="http://schemas.openxmlformats.org/officeDocument/2006/relationships/hyperlink" Target="https://data.oireachtas.ie/ie/oireachtas/debateRecord/joint_committee_on_finance_public_expenditure_public_service_reform_and_digitalisation_and_taoiseach/2025-10-15/debate/mul%40/main.pdf" TargetMode="External"/><Relationship Id="rId74" Type="http://schemas.openxmlformats.org/officeDocument/2006/relationships/hyperlink" Target="https://data.oireachtas.ie/ie/oireachtas/committee/dail/34/joint_committee_on_finance_public_expenditure_public_service_reform_and_digitalisation_and_taoiseach/submissions/2025/2025-12-17_submission-department-of-public-expenditure-infrastructure-public-service-reform-and-digitalisation_en.pdf" TargetMode="External"/><Relationship Id="Rb708a7415a7c43bf" Type="http://schemas.openxmlformats.org/officeDocument/2006/relationships/header" Target="/word/header51.xml"/><Relationship Id="rId5" Type="http://schemas.openxmlformats.org/officeDocument/2006/relationships/hyperlink" Target="https://www.oireachtas.ie/en/committees/about-committees/functions-powers-and-remit-of-departmental-joint-committees/" TargetMode="External"/><Relationship Id="R0fb5c3d179ab40d0" Type="http://schemas.openxmlformats.org/officeDocument/2006/relationships/header" Target="/word/header29.xml"/><Relationship Id="R8087452a9f3e4c73" Type="http://schemas.openxmlformats.org/officeDocument/2006/relationships/header" Target="/word/header89.xml"/><Relationship Id="Rd94fb600997a4e24" Type="http://schemas.openxmlformats.org/officeDocument/2006/relationships/footer" Target="/word/footer2.xml"/><Relationship Id="rId22" Type="http://schemas.openxmlformats.org/officeDocument/2006/relationships/hyperlink" Target="https://www.europarl.europa.eu/RegData/etudes/BRIE/2025/769566/EPRS_BRI(2025)769566_EN.pdf" TargetMode="External"/><Relationship Id="rId43" Type="http://schemas.openxmlformats.org/officeDocument/2006/relationships/hyperlink" Target="https://www.irishstatutebook.ie/eli/2008/act/20/enacted/en/html" TargetMode="External"/><Relationship Id="rId64" Type="http://schemas.openxmlformats.org/officeDocument/2006/relationships/hyperlink" Target="https://data.oireachtas.ie/ie/oireachtas/committee/dail/34/joint_committee_on_finance_public_expenditure_public_service_reform_and_digitalisation_and_taoiseach/submissions/2025/2025-12-17_submission-galway-alliance-against-war_en.pdf" TargetMode="External"/><Relationship Id="R58a85d79f321401c" Type="http://schemas.openxmlformats.org/officeDocument/2006/relationships/footer" Target="/word/footer111.xml"/><Relationship Id="Re1ad4cef7ec84f37" Type="http://schemas.openxmlformats.org/officeDocument/2006/relationships/footer" Target="/word/footer68.xml"/><Relationship Id="R868246c3697a4831" Type="http://schemas.openxmlformats.org/officeDocument/2006/relationships/header" Target="/word/header102.xml"/><Relationship Id="Rcf328ad02d644f41" Type="http://schemas.openxmlformats.org/officeDocument/2006/relationships/header" Target="/word/header80.xml"/><Relationship Id="rId12" Type="http://schemas.openxmlformats.org/officeDocument/2006/relationships/hyperlink" Target="https://www.oireachtas.ie/en/members/member/Aindrias-Moynihan.D.2016-10-03/" TargetMode="External"/><Relationship Id="rId33" Type="http://schemas.openxmlformats.org/officeDocument/2006/relationships/hyperlink" Target="https://data.oireachtas.ie/ie/oireachtas/debateRecord/joint_committee_on_finance_public_expenditure_public_service_reform_and_digitalisation_and_taoiseach/2025-10-15/debate/mul%40/main.pdf" TargetMode="External"/><Relationship Id="R3ddeee2cff9e4947" Type="http://schemas.openxmlformats.org/officeDocument/2006/relationships/footer" Target="/word/footer30.xml"/><Relationship Id="Rbbe1487df3454252" Type="http://schemas.openxmlformats.org/officeDocument/2006/relationships/footer" Target="/word/footer42.xml"/><Relationship Id="Rdd4cc3daf1234d68" Type="http://schemas.openxmlformats.org/officeDocument/2006/relationships/footer" Target="/word/footer98.xml"/><Relationship Id="rId54" Type="http://schemas.openxmlformats.org/officeDocument/2006/relationships/hyperlink" Target="https://data.oireachtas.ie/ie/oireachtas/debateRecord/joint_committee_on_finance_public_expenditure_public_service_reform_and_digitalisation_and_taoiseach/2025-10-15/debate/mul%40/main.pdf" TargetMode="External"/><Relationship Id="rId75" Type="http://schemas.openxmlformats.org/officeDocument/2006/relationships/hyperlink" Target="https://data.oireachtas.ie/ie/oireachtas/committee/dail/34/joint_committee_on_finance_public_expenditure_public_service_reform_and_digitalisation_and_taoiseach/submissions/2025/2025-12-17_submission-european-commission-com-2025-122_en.pdf" TargetMode="External"/><Relationship Id="R0a5a962f89594fe4" Type="http://schemas.openxmlformats.org/officeDocument/2006/relationships/footer" Target="/word/footer47.xml"/><Relationship Id="Rdefa966fbd644cd8" Type="http://schemas.openxmlformats.org/officeDocument/2006/relationships/header" Target="/word/header105.xml"/><Relationship Id="rId6" Type="http://schemas.openxmlformats.org/officeDocument/2006/relationships/hyperlink" Target="https://www.oireachtas.ie/en/members/member/Mair%C3%A9ad-Farrell.D.2020-02-08/" TargetMode="External"/><Relationship Id="R8ebd4b6720574532" Type="http://schemas.openxmlformats.org/officeDocument/2006/relationships/footer" Target="/word/footer96.xml"/><Relationship Id="rId23" Type="http://schemas.openxmlformats.org/officeDocument/2006/relationships/hyperlink" Target="https://ipexl.europarl.europa.eu/IPEXL-WEB/document/COM-2025-0122" TargetMode="External"/><Relationship Id="R475505d409fb496a" Type="http://schemas.openxmlformats.org/officeDocument/2006/relationships/header" Target="/word/header72.xml"/><Relationship Id="rId44" Type="http://schemas.openxmlformats.org/officeDocument/2006/relationships/hyperlink" Target="https://data.oireachtas.ie/ie/oireachtas/debateRecord/joint_committee_on_finance_public_expenditure_public_service_reform_and_digitalisation_and_taoiseach/2025-10-15/debate/mul%40/main.pdf" TargetMode="External"/><Relationship Id="rId65" Type="http://schemas.openxmlformats.org/officeDocument/2006/relationships/hyperlink" Target="https://data.oireachtas.ie/ie/oireachtas/committee/dail/34/joint_committee_on_finance_public_expenditure_public_service_reform_and_digitalisation_and_taoiseach/submissions/2025/2025-12-17_submission-lynn-boylan-mep-and-kathleen-funchion-mep-com-2025-0122_en.pdf" TargetMode="External"/><Relationship Id="R42299024541b4eb2" Type="http://schemas.openxmlformats.org/officeDocument/2006/relationships/webSettings" Target="/word/webSettings.xml"/><Relationship Id="R119a12e01fc9465a" Type="http://schemas.openxmlformats.org/officeDocument/2006/relationships/header" Target="/word/header3.xml"/><Relationship Id="Rc5e7a7cb659b47f4" Type="http://schemas.openxmlformats.org/officeDocument/2006/relationships/image" Target="/media/image2.bin"/><Relationship Id="R9b372f3e2d354388" Type="http://schemas.openxmlformats.org/officeDocument/2006/relationships/header" Target="/word/header65.xml"/><Relationship Id="R52c1af5b12164411" Type="http://schemas.openxmlformats.org/officeDocument/2006/relationships/footer" Target="/word/footer69.xml"/><Relationship Id="R009baf9f053c4715" Type="http://schemas.openxmlformats.org/officeDocument/2006/relationships/header" Target="/word/header84.xml"/><Relationship Id="rId13" Type="http://schemas.openxmlformats.org/officeDocument/2006/relationships/hyperlink" Target="https://www.oireachtas.ie/en/members/member/Gerald-Nash.D.2011-03-09/" TargetMode="External"/><Relationship Id="R285171b042a74f14" Type="http://schemas.openxmlformats.org/officeDocument/2006/relationships/header" Target="/word/header9.xml"/><Relationship Id="R0e1f0577548944d3" Type="http://schemas.openxmlformats.org/officeDocument/2006/relationships/header" Target="/word/header74.xml"/><Relationship Id="R7819dbda4acb4302" Type="http://schemas.openxmlformats.org/officeDocument/2006/relationships/header" Target="/word/header87.xml"/><Relationship Id="R12c0b05e00f84d43" Type="http://schemas.openxmlformats.org/officeDocument/2006/relationships/footer" Target="/word/footer104.xml"/><Relationship Id="R872ab638c2824e41" Type="http://schemas.openxmlformats.org/officeDocument/2006/relationships/header" Target="/word/header111.xml"/><Relationship Id="R977c53c350c64369" Type="http://schemas.openxmlformats.org/officeDocument/2006/relationships/header" Target="/word/header119.xml"/><Relationship Id="rId34" Type="http://schemas.openxmlformats.org/officeDocument/2006/relationships/hyperlink" Target="https://data.oireachtas.ie/ie/oireachtas/debateRecord/joint_committee_on_finance_public_expenditure_public_service_reform_and_digitalisation_and_taoiseach/2025-09-24/debate/mul%40/main.pdf" TargetMode="External"/><Relationship Id="rId55" Type="http://schemas.openxmlformats.org/officeDocument/2006/relationships/hyperlink" Target="https://data.oireachtas.ie/ie/oireachtas/committee/dail/34/joint_committee_on_finance_public_expenditure_public_service_reform_and_digitalisation_and_taoiseach/submissions/2025/2025-12-17_submission-european-commission_en.pdf" TargetMode="External"/><Relationship Id="rId76" Type="http://schemas.openxmlformats.org/officeDocument/2006/relationships/hyperlink" Target="https://data.oireachtas.ie/ie/oireachtas/committee/dail/34/joint_committee_on_finance_public_expenditure_public_service_reform_and_digitalisation_and_taoiseach/submissions/2025/2025-12-17_submission-european-commission_en.pdf" TargetMode="External"/><Relationship Id="R0dd9bfc7d85146ac" Type="http://schemas.openxmlformats.org/officeDocument/2006/relationships/image" Target="/media/image3.bin"/><Relationship Id="Rca8a5d5f90c44f40" Type="http://schemas.openxmlformats.org/officeDocument/2006/relationships/header" Target="/word/header38.xml"/><Relationship Id="Rbf1e12c63a42477a" Type="http://schemas.openxmlformats.org/officeDocument/2006/relationships/footer" Target="/word/footer80.xml"/><Relationship Id="R799f0612f3444b76" Type="http://schemas.openxmlformats.org/officeDocument/2006/relationships/footer" Target="/word/footer113.xml"/><Relationship Id="R98ea5322ca1c4242" Type="http://schemas.openxmlformats.org/officeDocument/2006/relationships/footer" Target="/word/footer114.xml"/><Relationship Id="rId7" Type="http://schemas.openxmlformats.org/officeDocument/2006/relationships/hyperlink" Target="https://www.oireachtas.ie/en/members/member/Edward-Timmins.D.2024-11-29/" TargetMode="External"/><Relationship Id="R54a2cd2585b342a2" Type="http://schemas.openxmlformats.org/officeDocument/2006/relationships/footer" Target="/word/footer26.xml"/><Relationship Id="R62f710fc58c94743" Type="http://schemas.openxmlformats.org/officeDocument/2006/relationships/footer" Target="/word/footer99.xml"/><Relationship Id="Rac23ce9c025647f2" Type="http://schemas.openxmlformats.org/officeDocument/2006/relationships/header" Target="/word/header116.xml"/><Relationship Id="R63c62816b7364bd3" Type="http://schemas.openxmlformats.org/officeDocument/2006/relationships/numbering" Target="/word/numbering.xml"/><Relationship Id="rId24" Type="http://schemas.openxmlformats.org/officeDocument/2006/relationships/hyperlink" Target="https://eur-lex.europa.eu/LexUriServ/LexUriServ.do?uri=CELEX%3A12008E122%3AEN%3AHTML" TargetMode="External"/><Relationship Id="rId45" Type="http://schemas.openxmlformats.org/officeDocument/2006/relationships/hyperlink" Target="https://data.oireachtas.ie/ie/oireachtas/debateRecord/joint_committee_on_finance_public_expenditure_public_service_reform_and_digitalisation_and_taoiseach/2025-10-15/debate/mul%40/main.pdf" TargetMode="External"/><Relationship Id="rId66" Type="http://schemas.openxmlformats.org/officeDocument/2006/relationships/hyperlink" Target="https://data.oireachtas.ie/ie/oireachtas/committee/dail/34/joint_committee_on_finance_public_expenditure_public_service_reform_and_digitalisation_and_taoiseach/submissions/2025/2025-12-17_submission-lynn-boylan-mep-and-kathleen-funchion-mep-com-2025-0123_en.pdf" TargetMode="External"/><Relationship Id="Re50592c477a240a9" Type="http://schemas.openxmlformats.org/officeDocument/2006/relationships/footer" Target="/word/footer11.xml"/><Relationship Id="Rda1a63e70b324b9b" Type="http://schemas.openxmlformats.org/officeDocument/2006/relationships/footer" Target="/word/footer14.xml"/><Relationship Id="R5739b04e228f44db" Type="http://schemas.openxmlformats.org/officeDocument/2006/relationships/header" Target="/word/header24.xml"/><Relationship Id="Rda24a03f856143c8" Type="http://schemas.openxmlformats.org/officeDocument/2006/relationships/header" Target="/word/header93.xml"/><Relationship Id="Rb7a4437529fd4973" Type="http://schemas.openxmlformats.org/officeDocument/2006/relationships/footer" Target="/word/footer120.xml"/><Relationship Id="Rdfcb470588d64068" Type="http://schemas.openxmlformats.org/officeDocument/2006/relationships/header" Target="/word/header26.xml"/><Relationship Id="R1eff921cb0774f96" Type="http://schemas.openxmlformats.org/officeDocument/2006/relationships/header" Target="/word/header12.xml"/><Relationship Id="R0ad477e03b5747b6" Type="http://schemas.openxmlformats.org/officeDocument/2006/relationships/footer" Target="/word/footer45.xml"/><Relationship Id="R2b1825337f5e4ef3" Type="http://schemas.openxmlformats.org/officeDocument/2006/relationships/header" Target="/word/header59.xml"/><Relationship Id="Rf14ad67d961d42fa" Type="http://schemas.openxmlformats.org/officeDocument/2006/relationships/footer" Target="/word/footer62.xml"/><Relationship Id="Rabd5e29f997e4c89" Type="http://schemas.openxmlformats.org/officeDocument/2006/relationships/footer" Target="/word/footer93.xml"/><Relationship Id="rId14" Type="http://schemas.openxmlformats.org/officeDocument/2006/relationships/hyperlink" Target="https://www.oireachtas.ie/en/members/member/Cian-O%27Callaghan.D.2020-02-08/" TargetMode="External"/><Relationship Id="rId35" Type="http://schemas.openxmlformats.org/officeDocument/2006/relationships/hyperlink" Target="https://data.oireachtas.ie/ie/oireachtas/debateRecord/joint_committee_on_finance_public_expenditure_public_service_reform_and_digitalisation_and_taoiseach/2025-09-24/debate/mul%40/main.pdf" TargetMode="External"/><Relationship Id="rId56" Type="http://schemas.openxmlformats.org/officeDocument/2006/relationships/hyperlink" Target="https://www.irishstatutebook.ie/eli/2008/act/20/enacted/en/html" TargetMode="External"/><Relationship Id="rId77" Type="http://schemas.openxmlformats.org/officeDocument/2006/relationships/customXml" Target="../customXml/item1.xml"/><Relationship Id="Rec926a38b46440db" Type="http://schemas.openxmlformats.org/officeDocument/2006/relationships/footer" Target="/word/footer12.xml"/><Relationship Id="R7f1669e9f47e4466" Type="http://schemas.openxmlformats.org/officeDocument/2006/relationships/footer" Target="/word/footer36.xml"/><Relationship Id="Rdbbe6bf9aa954774" Type="http://schemas.openxmlformats.org/officeDocument/2006/relationships/footer" Target="/word/footer108.xml"/><Relationship Id="rId8" Type="http://schemas.openxmlformats.org/officeDocument/2006/relationships/hyperlink" Target="https://www.oireachtas.ie/en/members/member/Shay-Brennan.D.2024-11-29/" TargetMode="External"/><Relationship Id="R392a8e5502f44929" Type="http://schemas.openxmlformats.org/officeDocument/2006/relationships/footer" Target="/word/footer18.xml"/><Relationship Id="R6f34ddd4c693480a" Type="http://schemas.openxmlformats.org/officeDocument/2006/relationships/footer" Target="/word/footer87.xml"/><Relationship Id="Rf246f23745464066" Type="http://schemas.openxmlformats.org/officeDocument/2006/relationships/header" Target="/word/header56.xml"/><Relationship Id="R5c53c0a96de64f8e" Type="http://schemas.openxmlformats.org/officeDocument/2006/relationships/header" Target="/word/header75.xml"/><Relationship Id="Rf7edcfdd35374cf4" Type="http://schemas.openxmlformats.org/officeDocument/2006/relationships/footer" Target="/word/footer119.xml"/><Relationship Id="rId25" Type="http://schemas.openxmlformats.org/officeDocument/2006/relationships/hyperlink" Target="https://ec.europa.eu/regional_policy/funding/erdf_en" TargetMode="External"/><Relationship Id="rId46" Type="http://schemas.openxmlformats.org/officeDocument/2006/relationships/hyperlink" Target="https://data.oireachtas.ie/ie/oireachtas/debateRecord/joint_committee_on_finance_public_expenditure_public_service_reform_and_digitalisation_and_taoiseach/2025-10-15/debate/mul%40/main.pdf" TargetMode="External"/><Relationship Id="rId67" Type="http://schemas.openxmlformats.org/officeDocument/2006/relationships/hyperlink" Target="https://data.oireachtas.ie/ie/oireachtas/committee/dail/34/joint_committee_on_finance_public_expenditure_public_service_reform_and_digitalisation_and_taoiseach/submissions/2025/2025-12-17_submission-marian-naughton_en.pdf" TargetMode="External"/><Relationship Id="Ra7ff88637a014273" Type="http://schemas.openxmlformats.org/officeDocument/2006/relationships/header" Target="/word/header2.xml"/><Relationship Id="R71b11fef26c24fc0" Type="http://schemas.openxmlformats.org/officeDocument/2006/relationships/header" Target="/word/header6.xml"/><Relationship Id="Rb0c3b1022d1e4dbc" Type="http://schemas.openxmlformats.org/officeDocument/2006/relationships/header" Target="/word/header30.xml"/><Relationship Id="R6632fff0b05f48cc" Type="http://schemas.openxmlformats.org/officeDocument/2006/relationships/footer" Target="/word/footer63.xml"/><Relationship Id="R45ceaffb26cb455a" Type="http://schemas.openxmlformats.org/officeDocument/2006/relationships/footer" Target="/word/footer77.xml"/><Relationship Id="Ra14122637d444a71" Type="http://schemas.openxmlformats.org/officeDocument/2006/relationships/header" Target="/word/header120.xml"/><Relationship Id="Re4a4b9d06439452e" Type="http://schemas.openxmlformats.org/officeDocument/2006/relationships/header" Target="/word/header96.xml"/><Relationship Id="R01161e80a2514011" Type="http://schemas.openxmlformats.org/officeDocument/2006/relationships/header" Target="/word/header107.xml"/><Relationship Id="rId15" Type="http://schemas.openxmlformats.org/officeDocument/2006/relationships/hyperlink" Target="https://www.oireachtas.ie/en/members/member/Cathal-Byrne.S.2025-01-29/" TargetMode="External"/><Relationship Id="rId36" Type="http://schemas.openxmlformats.org/officeDocument/2006/relationships/hyperlink" Target="https://data.oireachtas.ie/ie/oireachtas/debateRecord/joint_committee_on_finance_public_expenditure_public_service_reform_and_digitalisation_and_taoiseach/2025-09-24/debate/mul%40/main.pdf" TargetMode="External"/><Relationship Id="rId57" Type="http://schemas.openxmlformats.org/officeDocument/2006/relationships/hyperlink" Target="https://data.oireachtas.ie/ie/oireachtas/committee/dail/34/joint_committee_on_finance_public_expenditure_public_service_reform_and_digitalisation_and_taoiseach/submissions/2025/2025-12-17_submission-centre-of-full-employment-and-equity_en.pdf" TargetMode="External"/><Relationship Id="R07a4052465604aa0" Type="http://schemas.openxmlformats.org/officeDocument/2006/relationships/header" Target="/word/header7.xml"/><Relationship Id="R8854616cad0d47f3" Type="http://schemas.openxmlformats.org/officeDocument/2006/relationships/footer" Target="/word/footer59.xml"/><Relationship Id="R2e0ef8792a4541b6" Type="http://schemas.openxmlformats.org/officeDocument/2006/relationships/footer" Target="/word/footer105.xml"/><Relationship Id="rId78" Type="http://schemas.openxmlformats.org/officeDocument/2006/relationships/customXml" Target="../customXml/item2.xml"/><Relationship Id="R5e2364339db74502" Type="http://schemas.openxmlformats.org/officeDocument/2006/relationships/header" Target="/word/header27.xml"/><Relationship Id="R4c86f2cc2f744d4c" Type="http://schemas.openxmlformats.org/officeDocument/2006/relationships/footer" Target="/word/footer29.xml"/><Relationship Id="R0565a706828e479f" Type="http://schemas.openxmlformats.org/officeDocument/2006/relationships/footer" Target="/word/footer39.xml"/><Relationship Id="R99f4a2e198d245f8" Type="http://schemas.openxmlformats.org/officeDocument/2006/relationships/footer" Target="/word/footer41.xml"/><Relationship Id="rId9" Type="http://schemas.openxmlformats.org/officeDocument/2006/relationships/hyperlink" Target="https://www.oireachtas.ie/en/members/member/Colm-Burke.S.2011-05-25/" TargetMode="External"/><Relationship Id="Rd902c6a3e6434ec7" Type="http://schemas.openxmlformats.org/officeDocument/2006/relationships/header" Target="/word/header42.xml"/><Relationship Id="R57c66cd360fd4c6e" Type="http://schemas.openxmlformats.org/officeDocument/2006/relationships/footer" Target="/word/footer95.xml"/><Relationship Id="rId26" Type="http://schemas.openxmlformats.org/officeDocument/2006/relationships/hyperlink" Target="https://ec.europa.eu/regional_policy/funding/cohesion-fund_en" TargetMode="External"/><Relationship Id="R7a5f8454290c42ca" Type="http://schemas.openxmlformats.org/officeDocument/2006/relationships/header" Target="/word/header63.xml"/><Relationship Id="rId47" Type="http://schemas.openxmlformats.org/officeDocument/2006/relationships/hyperlink" Target="https://eur-lex.europa.eu/eli/reg/2024/2509/oj/eng" TargetMode="External"/><Relationship Id="rId68" Type="http://schemas.openxmlformats.org/officeDocument/2006/relationships/hyperlink" Target="https://data.oireachtas.ie/ie/oireachtas/committee/dail/34/joint_committee_on_finance_public_expenditure_public_service_reform_and_digitalisation_and_taoiseach/submissions/2025/2025-12-17_submission-national-platform-eu-research-and-information-centre_en.pdf" TargetMode="External"/><Relationship Id="R04aec6d46b8a4052" Type="http://schemas.openxmlformats.org/officeDocument/2006/relationships/footer" Target="/word/footer3.xml"/><Relationship Id="Re2d93cc400974bc8" Type="http://schemas.openxmlformats.org/officeDocument/2006/relationships/header" Target="/word/header33.xml"/><Relationship Id="R1aa6cfec18444199" Type="http://schemas.openxmlformats.org/officeDocument/2006/relationships/footer" Target="/word/footer33.xml"/><Relationship Id="R3fa7649cdd9044f0" Type="http://schemas.openxmlformats.org/officeDocument/2006/relationships/header" Target="/word/header113.xml"/><Relationship Id="R9e901e5565ce4a8d" Type="http://schemas.openxmlformats.org/officeDocument/2006/relationships/footer" Target="/word/footer5.xml"/><Relationship Id="rId16" Type="http://schemas.openxmlformats.org/officeDocument/2006/relationships/hyperlink" Target="https://www.oireachtas.ie/en/members/member/Pat-Casey.D.2016-10-03/" TargetMode="External"/><Relationship Id="R1d37cd6c4c9342ce" Type="http://schemas.openxmlformats.org/officeDocument/2006/relationships/header" Target="/word/header45.xml"/><Relationship Id="R250e6bc40ac342e2" Type="http://schemas.openxmlformats.org/officeDocument/2006/relationships/header" Target="/word/header95.xml"/><Relationship Id="R01a92d02353640e3" Type="http://schemas.openxmlformats.org/officeDocument/2006/relationships/footer" Target="/word/footer101.xml"/><Relationship Id="rId37" Type="http://schemas.openxmlformats.org/officeDocument/2006/relationships/hyperlink" Target="https://data.oireachtas.ie/ie/oireachtas/debateRecord/joint_committee_on_finance_public_expenditure_public_service_reform_and_digitalisation_and_taoiseach/2025-10-15/debate/mul%40/main.pdf" TargetMode="External"/><Relationship Id="rId58" Type="http://schemas.openxmlformats.org/officeDocument/2006/relationships/hyperlink" Target="https://data.oireachtas.ie/ie/oireachtas/committee/dail/34/joint_committee_on_finance_public_expenditure_public_service_reform_and_digitalisation_and_taoiseach/submissions/2025/2025-12-17_submission-clare-daly-and-mick-wallace_en.pdf" TargetMode="External"/><Relationship Id="rId79" Type="http://schemas.openxmlformats.org/officeDocument/2006/relationships/customXml" Target="../customXml/item3.xml"/><Relationship Id="R9f31f3d0e1274292" Type="http://schemas.openxmlformats.org/officeDocument/2006/relationships/footer" Target="/word/footer17.xml"/><Relationship Id="Re1f69426ca094f33" Type="http://schemas.openxmlformats.org/officeDocument/2006/relationships/footer" Target="/word/footer32.xml"/><Relationship Id="R7830c42d6c754c76" Type="http://schemas.openxmlformats.org/officeDocument/2006/relationships/footer" Target="/word/footer35.xml"/><Relationship Id="R4bb95d0f351440c2" Type="http://schemas.openxmlformats.org/officeDocument/2006/relationships/header" Target="/word/header18.xml"/><Relationship Id="R5a595ce0680f4682" Type="http://schemas.openxmlformats.org/officeDocument/2006/relationships/header" Target="/word/header92.xml"/><Relationship Id="R6f62017ce4994d50" Type="http://schemas.openxmlformats.org/officeDocument/2006/relationships/footer" Target="/word/footer72.xml"/><Relationship Id="rId27" Type="http://schemas.openxmlformats.org/officeDocument/2006/relationships/hyperlink" Target="https://ec.europa.eu/european-social-fund-plus/en" TargetMode="External"/><Relationship Id="rId48" Type="http://schemas.openxmlformats.org/officeDocument/2006/relationships/hyperlink" Target="https://commission.europa.eu/strategy-and-policy/eu-budget/eu-borrower-investor-relations/factsheets_en" TargetMode="External"/><Relationship Id="rId69" Type="http://schemas.openxmlformats.org/officeDocument/2006/relationships/hyperlink" Target="https://data.oireachtas.ie/ie/oireachtas/committee/dail/34/joint_committee_on_finance_public_expenditure_public_service_reform_and_digitalisation_and_taoiseach/submissions/2025/2025-12-17_submission-uplift_en.pdf" TargetMode="External"/><Relationship Id="Rc7cc0bdc7e834302" Type="http://schemas.openxmlformats.org/officeDocument/2006/relationships/header" Target="/word/header81.xml"/><Relationship Id="R021b18f9b3f94431" Type="http://schemas.openxmlformats.org/officeDocument/2006/relationships/footer" Target="/word/footer65.xml"/><Relationship Id="Red1acbfa113542cf" Type="http://schemas.openxmlformats.org/officeDocument/2006/relationships/footer" Target="/word/footer66.xml"/><Relationship Id="Rdc720041ae254b36" Type="http://schemas.openxmlformats.org/officeDocument/2006/relationships/footer" Target="/word/footer20.xml"/><Relationship Id="Rb638ccba01494a05" Type="http://schemas.openxmlformats.org/officeDocument/2006/relationships/header" Target="/word/header32.xml"/><Relationship Id="Re2d628e715584399" Type="http://schemas.openxmlformats.org/officeDocument/2006/relationships/header" Target="/word/header54.xml"/><Relationship Id="rId17" Type="http://schemas.openxmlformats.org/officeDocument/2006/relationships/hyperlink" Target="https://www.oireachtas.ie/en/members/member/Alice-Mary-Higgins.S.2016-04-25/" TargetMode="External"/><Relationship Id="rId38" Type="http://schemas.openxmlformats.org/officeDocument/2006/relationships/hyperlink" Target="https://data.oireachtas.ie/ie/oireachtas/debateRecord/joint_committee_on_finance_public_expenditure_public_service_reform_and_digitalisation_and_taoiseach/2025-09-24/debate/mul%40/main.pdf" TargetMode="External"/><Relationship Id="rId59" Type="http://schemas.openxmlformats.org/officeDocument/2006/relationships/hyperlink" Target="https://data.oireachtas.ie/ie/oireachtas/committee/dail/34/joint_committee_on_finance_public_expenditure_public_service_reform_and_digitalisation_and_taoiseach/submissions/2025/2025-12-17_submission-conflict-and-environment-obervatory_en.pdf" TargetMode="External"/><Relationship Id="R0d87df97740547df" Type="http://schemas.openxmlformats.org/officeDocument/2006/relationships/styles" Target="/word/styles.xml"/><Relationship Id="Rf2fbd9159b1b4bce" Type="http://schemas.openxmlformats.org/officeDocument/2006/relationships/header" Target="/word/header39.xml"/><Relationship Id="Read5b055a9624a94" Type="http://schemas.openxmlformats.org/officeDocument/2006/relationships/footer" Target="/word/footer56.xml"/><Relationship Id="Rda984cdaf296465f" Type="http://schemas.openxmlformats.org/officeDocument/2006/relationships/header" Target="/word/header104.xml"/><Relationship Id="rId70" Type="http://schemas.openxmlformats.org/officeDocument/2006/relationships/hyperlink" Target="https://www.oireachtas.ie/en/debates/debate/joint_committee_on_finance_public_expenditure_public_service_reform_and_digitalisation_and_taoiseach/2025-09-24/" TargetMode="External"/><Relationship Id="R30c9f19a86844c34" Type="http://schemas.openxmlformats.org/officeDocument/2006/relationships/footer" Target="/word/footer21.xml"/><Relationship Id="R915d2347b30b4efa" Type="http://schemas.openxmlformats.org/officeDocument/2006/relationships/header" Target="/word/header60.xml"/><Relationship Id="Rae47c4e348054af7" Type="http://schemas.openxmlformats.org/officeDocument/2006/relationships/footer" Target="/word/footer81.xml"/><Relationship Id="R5e588f7f4f2e490d" Type="http://schemas.openxmlformats.org/officeDocument/2006/relationships/footer" Target="/word/footer84.xml"/><Relationship Id="Rb7988ff6fe464063" Type="http://schemas.openxmlformats.org/officeDocument/2006/relationships/footer" Target="/word/footer92.xml"/><Relationship Id="Reb1889cfe8754b5c" Type="http://schemas.openxmlformats.org/officeDocument/2006/relationships/header" Target="/word/header99.xml"/><Relationship Id="R618a460f938f48f7" Type="http://schemas.openxmlformats.org/officeDocument/2006/relationships/glossaryDocument" Target="/word/glossary/document.xml"/><Relationship Id="rId1" Type="http://schemas.openxmlformats.org/officeDocument/2006/relationships/hyperlink" Target="https://www.oireachtas.ie/en/publications/?committee%5B0%5D=%2Fen%2Fcommittees%2F34%2Ffinance-public-expenditure-public-service-reform-and-digitalisation-and-taoiseach%2F&amp;topic%5B0%5D=reports" TargetMode="External"/><Relationship Id="R50396811a32943cf" Type="http://schemas.openxmlformats.org/officeDocument/2006/relationships/footer" Target="/word/footer27.xml"/><Relationship Id="Re7fc373ecc5648d5" Type="http://schemas.openxmlformats.org/officeDocument/2006/relationships/header" Target="/word/header90.xml"/><Relationship Id="rId28" Type="http://schemas.openxmlformats.org/officeDocument/2006/relationships/hyperlink" Target="https://ec.europa.eu/regional_policy/funding/just-transition-fund_en" TargetMode="External"/><Relationship Id="rId49" Type="http://schemas.openxmlformats.org/officeDocument/2006/relationships/hyperlink" Target="https://data.oireachtas.ie/ie/oireachtas/debateRecord/joint_committee_on_finance_public_expenditure_public_service_reform_and_digitalisation_and_taoiseach/2025-10-15/debate/mul%40/main.pdf" TargetMode="External"/><Relationship Id="R1cd292b7f65c4606" Type="http://schemas.openxmlformats.org/officeDocument/2006/relationships/header" Target="/word/header4.xml"/><Relationship Id="R7b4c1e68b4c644e5" Type="http://schemas.openxmlformats.org/officeDocument/2006/relationships/header" Target="/word/header5.xml"/><Relationship Id="Rc8d6db3505d648cc" Type="http://schemas.openxmlformats.org/officeDocument/2006/relationships/footer" Target="/word/footer38.xml"/><Relationship Id="R86b4186be9e945cc" Type="http://schemas.openxmlformats.org/officeDocument/2006/relationships/footer" Target="/word/footer83.xml"/><Relationship Id="rId60" Type="http://schemas.openxmlformats.org/officeDocument/2006/relationships/hyperlink" Target="https://data.oireachtas.ie/ie/oireachtas/committee/dail/34/joint_committee_on_finance_public_expenditure_public_service_reform_and_digitalisation_and_taoiseach/submissions/2025/2025-12-17_submission-dr-karen-devine_en.pdf" TargetMode="External"/><Relationship Id="R571feefaf8774689" Type="http://schemas.openxmlformats.org/officeDocument/2006/relationships/theme" Target="/word/theme/theme1.xml"/><Relationship Id="R56a0ac58acbf4df0" Type="http://schemas.openxmlformats.org/officeDocument/2006/relationships/footer" Target="/word/footer48.xml"/><Relationship Id="R81959847b2c246a3" Type="http://schemas.openxmlformats.org/officeDocument/2006/relationships/header" Target="/word/header53.xml"/><Relationship Id="rId18" Type="http://schemas.openxmlformats.org/officeDocument/2006/relationships/hyperlink" Target="https://www.oireachtas.ie/en/members/member/Conor-Murphy.S.2025-01-29/" TargetMode="External"/><Relationship Id="rId39" Type="http://schemas.openxmlformats.org/officeDocument/2006/relationships/hyperlink" Target="https://eur-lex.europa.eu/LexUriServ/LexUriServ.do?uri=CELEX%3A12008E122%3AEN%3AHTML" TargetMode="External"/><Relationship Id="R92d9b70fe8714f83" Type="http://schemas.openxmlformats.org/officeDocument/2006/relationships/header" Target="/word/header11.xml"/><Relationship Id="R4da17e6d5d1343d2" Type="http://schemas.openxmlformats.org/officeDocument/2006/relationships/header" Target="/word/header21.xml"/><Relationship Id="Rede23d707eee4113" Type="http://schemas.openxmlformats.org/officeDocument/2006/relationships/header" Target="/word/header98.xml"/><Relationship Id="rId50" Type="http://schemas.openxmlformats.org/officeDocument/2006/relationships/hyperlink" Target="https://data.oireachtas.ie/ie/oireachtas/debateRecord/joint_committee_on_finance_public_expenditure_public_service_reform_and_digitalisation_and_taoiseach/2025-10-15/debate/mul%40/main.pdf" TargetMode="External"/><Relationship Id="Rbbfc7426dff14152" Type="http://schemas.openxmlformats.org/officeDocument/2006/relationships/settings" Target="/word/settings.xml"/><Relationship Id="R49640e10046d4bd2" Type="http://schemas.openxmlformats.org/officeDocument/2006/relationships/footer" Target="/word/footer4.xml"/><Relationship Id="Rcfccff4f73ab445d" Type="http://schemas.openxmlformats.org/officeDocument/2006/relationships/footer" Target="/word/footer74.xml"/><Relationship Id="R378ee7d6489343bc" Type="http://schemas.openxmlformats.org/officeDocument/2006/relationships/footer" Target="/word/footer75.xml"/><Relationship Id="Rde26f34ac07d4c07" Type="http://schemas.openxmlformats.org/officeDocument/2006/relationships/header" Target="/word/header77.xml"/><Relationship Id="Rdb29c7fdd68047d0" Type="http://schemas.openxmlformats.org/officeDocument/2006/relationships/header" Target="/word/header78.xml"/><Relationship Id="rId71" Type="http://schemas.openxmlformats.org/officeDocument/2006/relationships/hyperlink" Target="https://data.oireachtas.ie/ie/oireachtas/debateRecord/joint_committee_on_finance_public_expenditure_public_service_reform_and_digitalisation_and_taoiseach/2025-10-15/debate/mul%40/main.pdf" TargetMode="External"/><Relationship Id="R06e16208b11e4d7e" Type="http://schemas.openxmlformats.org/officeDocument/2006/relationships/footer" Target="/word/footer9.xml"/><Relationship Id="R077236c20a9c4916" Type="http://schemas.openxmlformats.org/officeDocument/2006/relationships/header" Target="/word/header17.xml"/><Relationship Id="rId2" Type="http://schemas.openxmlformats.org/officeDocument/2006/relationships/hyperlink" Target="https://www.oireachtas.ie/en/committees/34/finance-public-expenditure-public-service-reform-and-digitalisation-and-taoiseach/videos/" TargetMode="External"/><Relationship Id="rId29" Type="http://schemas.openxmlformats.org/officeDocument/2006/relationships/hyperlink" Target="https://www.cvce.eu/content/publication/2013/5/6/187e7d4f-aa3e-43da-a1e2-bb3fc41d2fbd/publishable_en.pdf" TargetMode="External"/><Relationship Id="Rcedcc65e0f91410e" Type="http://schemas.openxmlformats.org/officeDocument/2006/relationships/header" Target="/word/header8.xml"/><Relationship Id="Rb6ec0d4d4f6d4a5a" Type="http://schemas.openxmlformats.org/officeDocument/2006/relationships/footer" Target="/word/footer57.xml"/><Relationship Id="R7623b3120bf245a6" Type="http://schemas.openxmlformats.org/officeDocument/2006/relationships/footer" Target="/word/footer102.xml"/><Relationship Id="R5e481a492b284910" Type="http://schemas.openxmlformats.org/officeDocument/2006/relationships/footer" Target="/word/footer116.xml"/><Relationship Id="rId40" Type="http://schemas.openxmlformats.org/officeDocument/2006/relationships/hyperlink" Target="https://eur-lex.europa.eu/eli/treaty/teu_2008/art_41/oj/eng" TargetMode="External"/><Relationship Id="R0455df5680894fe1" Type="http://schemas.openxmlformats.org/officeDocument/2006/relationships/header" Target="/word/header101.xml"/><Relationship Id="rId61" Type="http://schemas.openxmlformats.org/officeDocument/2006/relationships/hyperlink" Target="https://data.oireachtas.ie/ie/oireachtas/committee/dail/34/joint_committee_on_finance_public_expenditure_public_service_reform_and_digitalisation_and_taoiseach/submissions/2025/2025-12-17_submission-dr-thomas-palley_en.pdf" TargetMode="External"/><Relationship Id="R7db387bacfa3421f" Type="http://schemas.openxmlformats.org/officeDocument/2006/relationships/footer" Target="/word/footer6.xml"/><Relationship Id="R6974892e1fa545d2" Type="http://schemas.openxmlformats.org/officeDocument/2006/relationships/header" Target="/word/header47.xml"/><Relationship Id="R4a7d169dcd3d404f" Type="http://schemas.openxmlformats.org/officeDocument/2006/relationships/footer" Target="/word/footer117.xml"/><Relationship Id="rId19" Type="http://schemas.openxmlformats.org/officeDocument/2006/relationships/hyperlink" Target="https://www.oireachtas.ie/en/members/member/Joe-O%27Reilly.S.1989-10-01/" TargetMode="External"/><Relationship Id="Rad38aa346f0f4903" Type="http://schemas.openxmlformats.org/officeDocument/2006/relationships/footer" Target="/word/footer24.xml"/><Relationship Id="Rb964f5830f1d4f6b" Type="http://schemas.openxmlformats.org/officeDocument/2006/relationships/footer" Target="/word/footer50.xml"/><Relationship Id="R9f82500f94e14c75" Type="http://schemas.openxmlformats.org/officeDocument/2006/relationships/header" Target="/word/header83.xml"/><Relationship Id="Rbe0316c31b8246db" Type="http://schemas.openxmlformats.org/officeDocument/2006/relationships/header" Target="/word/header117.xml"/><Relationship Id="rId30" Type="http://schemas.openxmlformats.org/officeDocument/2006/relationships/hyperlink" Target="https://eur-lex.europa.eu/eli/treaty/teu_2008/art_42/oj/eng" TargetMode="External"/><Relationship Id="Rb878dabb6c1e493b" Type="http://schemas.openxmlformats.org/officeDocument/2006/relationships/footer" Target="/word/footer60.xml"/><Relationship Id="R3e08b63cf3314377" Type="http://schemas.openxmlformats.org/officeDocument/2006/relationships/header" Target="/word/header66.xml"/><Relationship Id="R60dd5eb38f874bcb" Type="http://schemas.openxmlformats.org/officeDocument/2006/relationships/footer" Target="/word/footer71.xml"/><Relationship Id="rId51" Type="http://schemas.openxmlformats.org/officeDocument/2006/relationships/hyperlink" Target="https://data.oireachtas.ie/ie/oireachtas/debateRecord/joint_committee_on_finance_public_expenditure_public_service_reform_and_digitalisation_and_taoiseach/2025-10-15/debate/mul%40/main.pdf" TargetMode="External"/><Relationship Id="rId72" Type="http://schemas.openxmlformats.org/officeDocument/2006/relationships/hyperlink" Target="https://data.oireachtas.ie/ie/oireachtas/committee/dail/34/joint_committee_on_finance_public_expenditure_public_service_reform_and_digitalisation_and_taoiseach/submissions/2025/2025-12-17_submission-department-of-finance-com-2025-122_en.pdf" TargetMode="External"/><Relationship Id="Raface73536f34633" Type="http://schemas.openxmlformats.org/officeDocument/2006/relationships/header" Target="/word/header15.xml"/><Relationship Id="R1963822c5dc9411f" Type="http://schemas.openxmlformats.org/officeDocument/2006/relationships/header" Target="/word/header62.xml"/><Relationship Id="R7463ca5bdb114546" Type="http://schemas.openxmlformats.org/officeDocument/2006/relationships/footer" Target="/word/footer107.xml"/><Relationship Id="Rda785ad46b324fda" Type="http://schemas.openxmlformats.org/officeDocument/2006/relationships/header" Target="/word/header114.xml"/><Relationship Id="rId3" Type="http://schemas.openxmlformats.org/officeDocument/2006/relationships/hyperlink" Target="https://www.oireachtas.ie/en/debates/find/?debateType=committee&amp;committee=%2Fen%2Fcommittees%2F34%2Ffinance-public-expenditure-public-service-reform-and-digitalisation-and-taoiseach%2F" TargetMode="External"/><Relationship Id="R488278ea088e4d9e" Type="http://schemas.openxmlformats.org/officeDocument/2006/relationships/footnotes" Target="/word/footnotes.xml"/><Relationship Id="Rf21b6da868784b9c" Type="http://schemas.openxmlformats.org/officeDocument/2006/relationships/endnotes" Target="/word/endnotes.xml"/><Relationship Id="R4e902952c95c441b" Type="http://schemas.openxmlformats.org/officeDocument/2006/relationships/header" Target="/word/header41.xml"/><Relationship Id="Rda01b1dec83f4d14" Type="http://schemas.openxmlformats.org/officeDocument/2006/relationships/header" Target="/word/header48.xml"/><Relationship Id="R68903eb363814e6a" Type="http://schemas.openxmlformats.org/officeDocument/2006/relationships/header" Target="/word/header57.xml"/><Relationship Id="R1b89166dd6004174" Type="http://schemas.openxmlformats.org/officeDocument/2006/relationships/image" Target="/media/image.bin"/><Relationship Id="R4a53e5178a2745a6" Type="http://schemas.openxmlformats.org/officeDocument/2006/relationships/footer" Target="/word/footer53.xml"/><Relationship Id="rId20" Type="http://schemas.openxmlformats.org/officeDocument/2006/relationships/hyperlink" Target="https://www.irishstatutebook.ie/eli/2008/act/20/enacted/en/html" TargetMode="External"/><Relationship Id="rId41" Type="http://schemas.openxmlformats.org/officeDocument/2006/relationships/hyperlink" Target="https://www.politico.eu/article/flagship-eu-defense-plan-faces-legal-scrutiny-german-bundestag-report-warns/" TargetMode="External"/><Relationship Id="rId62" Type="http://schemas.openxmlformats.org/officeDocument/2006/relationships/hyperlink" Target="https://data.oireachtas.ie/ie/oireachtas/committee/dail/34/joint_committee_on_finance_public_expenditure_public_service_reform_and_digitalisation_and_taoiseach/submissions/2025/2025-12-17_submission-elizabeth-cullen_en.pdf" TargetMode="External"/><Relationship Id="R0fecc843fe3545af" Type="http://schemas.openxmlformats.org/officeDocument/2006/relationships/fontTable" Target="/word/fontTable.xml"/><Relationship Id="R76f1450ab33d4a60" Type="http://schemas.openxmlformats.org/officeDocument/2006/relationships/header" Target="/word/header1.xml"/><Relationship Id="R404ca6dcf3b64082" Type="http://schemas.openxmlformats.org/officeDocument/2006/relationships/header" Target="/word/header14.xml"/><Relationship Id="Ra6ebe693c627412c" Type="http://schemas.openxmlformats.org/officeDocument/2006/relationships/footer" Target="/word/footer44.xml"/><Relationship Id="Rc4281985b953485f" Type="http://schemas.openxmlformats.org/officeDocument/2006/relationships/header" Target="/word/header50.xml"/><Relationship Id="Rf2f5d84146564659" Type="http://schemas.openxmlformats.org/officeDocument/2006/relationships/header" Target="/word/header86.xml"/><Relationship Id="R7a8f2465963c4488" Type="http://schemas.openxmlformats.org/officeDocument/2006/relationships/footer" Target="/word/footer86.xml"/><Relationship Id="R38d413e4bcbf46db" Type="http://schemas.openxmlformats.org/officeDocument/2006/relationships/header" Target="/word/header110.xml"/><Relationship Id="R201f52f10b3542c0" Type="http://schemas.openxmlformats.org/officeDocument/2006/relationships/header" Target="/word/header71.xml"/><Relationship Id="R6bede7fef7d0411e" Type="http://schemas.openxmlformats.org/officeDocument/2006/relationships/footer" Target="/word/footer8.xml"/><Relationship Id="Ra41f4037990142f6" Type="http://schemas.openxmlformats.org/officeDocument/2006/relationships/footer" Target="/word/footer23.xml"/><Relationship Id="rId10" Type="http://schemas.openxmlformats.org/officeDocument/2006/relationships/hyperlink" Target="https://www.oireachtas.ie/en/members/member/Pearse-Doherty.S.2007-07-23/" TargetMode="External"/><Relationship Id="rId31" Type="http://schemas.openxmlformats.org/officeDocument/2006/relationships/hyperlink" Target="https://european-union.europa.eu/principles-countries-history/history-eu/1945-59/schuman-declaration-may-1950_en" TargetMode="External"/><Relationship Id="rId52" Type="http://schemas.openxmlformats.org/officeDocument/2006/relationships/hyperlink" Target="https://data.oireachtas.ie/ie/oireachtas/debateRecord/joint_committee_on_finance_public_expenditure_public_service_reform_and_digitalisation_and_taoiseach/2025-10-15/debate/mul%40/main.pdf" TargetMode="External"/><Relationship Id="rId73" Type="http://schemas.openxmlformats.org/officeDocument/2006/relationships/hyperlink" Target="https://data.oireachtas.ie/ie/oireachtas/committee/dail/34/joint_committee_on_finance_public_expenditure_public_service_reform_and_digitalisation_and_taoiseach/submissions/2025/2025-12-17_submission-department-of-finance-com-2025-122-and-123_en.pdf" TargetMode="External"/><Relationship Id="R3e353d409a804100" Type="http://schemas.openxmlformats.org/officeDocument/2006/relationships/footer" Target="/word/footer1.xml"/><Relationship Id="R98eb0125f98e4de1" Type="http://schemas.openxmlformats.org/officeDocument/2006/relationships/footer" Target="/word/footer51.xml"/><Relationship Id="R0c2bea642bf54928" Type="http://schemas.openxmlformats.org/officeDocument/2006/relationships/header" Target="/word/header68.xml"/><Relationship Id="R38e1c691bdab4654" Type="http://schemas.openxmlformats.org/officeDocument/2006/relationships/footer" Target="/word/footer90.xml"/><Relationship Id="rId4" Type="http://schemas.openxmlformats.org/officeDocument/2006/relationships/hyperlink" Target="https://www.oireachtas.ie/en/committees/34/finance-public-expenditure-public-service-reform-and-digitalisation-and-taoiseach/" TargetMode="Externa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123" TargetMode="External" Id="rId1" /><Relationship Type="http://schemas.openxmlformats.org/officeDocument/2006/relationships/hyperlink" Target="https://secure.ipex.eu/IPEXL-WEB/document/COM-2025-0122" TargetMode="External" Id="rId2" /></Relationships>
</file>

<file path=word/glossary/_rels/document.xml.rels>&#65279;<?xml version="1.0" encoding="utf-8"?><Relationships xmlns="http://schemas.openxmlformats.org/package/2006/relationships"><Relationship Type="http://schemas.openxmlformats.org/officeDocument/2006/relationships/styles" Target="/word/glossary/styles2.xml" Id="Rbe92523dd7974ad1" /><Relationship Type="http://schemas.openxmlformats.org/officeDocument/2006/relationships/fontTable" Target="/word/glossary/fontTable2.xml" Id="R91f16b6814224a98" /><Relationship Type="http://schemas.openxmlformats.org/officeDocument/2006/relationships/settings" Target="/word/glossary/settings2.xml" Id="R54de54a7a9424eaa" /><Relationship Type="http://schemas.openxmlformats.org/officeDocument/2006/relationships/webSettings" Target="/word/glossary/webSettings2.xml" Id="Re716f9dbb8464d38"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23D71A-D7D4-49AE-B9CE-8A1A0C00CFAF}"/>
</file>

<file path=customXml/itemProps2.xml><?xml version="1.0" encoding="utf-8"?>
<ds:datastoreItem xmlns:ds="http://schemas.openxmlformats.org/officeDocument/2006/customXml" ds:itemID="{9482AB46-4189-4C10-856A-AD3E48E627A6}"/>
</file>

<file path=customXml/itemProps3.xml><?xml version="1.0" encoding="utf-8"?>
<ds:datastoreItem xmlns:ds="http://schemas.openxmlformats.org/officeDocument/2006/customXml" ds:itemID="{B44B8C9E-5989-4E2A-ABF3-DCAC7B299332}"/>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Maguire</dc:creator>
  <cp:keywords/>
  <dc:description/>
  <cp:lastModifiedBy>Athanasios%20GKOUTLAS</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2026-01-07T13:55:36Z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