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daf8e3a9d2d64d08" /><Relationship Type="http://schemas.openxmlformats.org/package/2006/relationships/metadata/core-properties" Target="/docProps/core.xml" Id="R4d220a8c2db34dd4" /><Relationship Type="http://schemas.openxmlformats.org/officeDocument/2006/relationships/extended-properties" Target="/docProps/app.xml" Id="R483e6c52e1654d2e" /><Relationship Type="http://schemas.openxmlformats.org/officeDocument/2006/relationships/custom-properties" Target="/docProps/custom.xml" Id="R66c9d98f7ad2483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3699edfe37734fce"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7 January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pl</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5104</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COH 5</w:t>
                </w:r>
              </w:p>
              <w:p>
                <w:pPr>
                  <w:pStyle w:val="TBEntRefer"/>
                  <w:tabs>
                    <w:tab w:val="left" w:pos="2265"/>
                  </w:tabs>
                </w:pPr>
                <w:r>
                  <w:t xml:space="preserve">SOC 10</w:t>
                </w:r>
              </w:p>
              <w:p>
                <w:pPr>
                  <w:pStyle w:val="TBEntRefer"/>
                  <w:tabs>
                    <w:tab w:val="left" w:pos="2265"/>
                  </w:tabs>
                </w:pPr>
                <w:r>
                  <w:t xml:space="preserve">AGRI 5</w:t>
                </w:r>
              </w:p>
              <w:p>
                <w:pPr>
                  <w:pStyle w:val="TBEntRefer"/>
                  <w:tabs>
                    <w:tab w:val="left" w:pos="2265"/>
                  </w:tabs>
                </w:pPr>
                <w:r>
                  <w:t xml:space="preserve">AGRIFIN 3</w:t>
                </w:r>
              </w:p>
              <w:p>
                <w:pPr>
                  <w:pStyle w:val="TBEntRefer"/>
                  <w:tabs>
                    <w:tab w:val="left" w:pos="2265"/>
                  </w:tabs>
                </w:pPr>
                <w:r>
                  <w:t xml:space="preserve">PECHE 14</w:t>
                </w:r>
              </w:p>
              <w:p>
                <w:pPr>
                  <w:pStyle w:val="TBEntRefer"/>
                  <w:tabs>
                    <w:tab w:val="left" w:pos="2265"/>
                  </w:tabs>
                </w:pPr>
                <w:r>
                  <w:t xml:space="preserve">FIN 5</w:t>
                </w:r>
              </w:p>
              <w:p>
                <w:pPr>
                  <w:pStyle w:val="TBEntRefer"/>
                  <w:tabs>
                    <w:tab w:val="left" w:pos="2265"/>
                  </w:tabs>
                </w:pPr>
                <w:r>
                  <w:t xml:space="preserve">JAI 19</w:t>
                </w:r>
              </w:p>
              <w:p>
                <w:pPr>
                  <w:pStyle w:val="TBEntRefer"/>
                  <w:tabs>
                    <w:tab w:val="left" w:pos="2265"/>
                  </w:tabs>
                </w:pPr>
                <w:r>
                  <w:t xml:space="preserve">SAN 9</w:t>
                </w:r>
              </w:p>
              <w:p>
                <w:pPr>
                  <w:pStyle w:val="TBEntRefer"/>
                  <w:tabs>
                    <w:tab w:val="left" w:pos="2265"/>
                  </w:tabs>
                </w:pPr>
                <w:r>
                  <w:t xml:space="preserve">CODEC 14</w:t>
                </w:r>
              </w:p>
              <w:p>
                <w:pPr>
                  <w:pStyle w:val="TBEntRefer"/>
                  <w:tabs>
                    <w:tab w:val="left" w:pos="2265"/>
                  </w:tabs>
                </w:pPr>
                <w:r>
                  <w:t xml:space="preserve">CADREFIN 5</w:t>
                </w:r>
              </w:p>
              <w:p>
                <w:pPr>
                  <w:pStyle w:val="TBEntRefer"/>
                  <w:tabs>
                    <w:tab w:val="left" w:pos="2265"/>
                  </w:tabs>
                </w:pPr>
                <w:r>
                  <w:t xml:space="preserve">POLGEN 5</w:t>
                </w:r>
              </w:p>
              <w:p>
                <w:pPr>
                  <w:pStyle w:val="TBEntRefer"/>
                  <w:tabs>
                    <w:tab w:val="left" w:pos="2265"/>
                  </w:tabs>
                </w:pPr>
                <w:r>
                  <w:t xml:space="preserve">IA 5</w:t>
                </w:r>
              </w:p>
              <w:p>
                <w:pPr>
                  <w:pStyle w:val="TBEntRefer"/>
                  <w:tabs>
                    <w:tab w:val="left" w:pos="2265"/>
                  </w:tabs>
                </w:pPr>
                <w:r>
                  <w:t xml:space="preserve">INST 3</w:t>
                </w:r>
              </w:p>
              <w:p>
                <w:pPr>
                  <w:pStyle w:val="TBEntRefer"/>
                  <w:tabs>
                    <w:tab w:val="left" w:pos="2265"/>
                  </w:tabs>
                </w:pPr>
                <w:r>
                  <w:t xml:space="preserve">PARLNAT 3</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2025/0240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Polish Senate</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19 December 2025</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p>
              <w:p>
                <w:pPr>
                  <w:pStyle w:val="TBSubjectText"/>
                </w:pPr>
                <w:r>
                  <w:t xml:space="preserve">[11815/1/25 - COM(2025) 565 final]</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2345E3" w:rsidP="002345E3" w:rsidRDefault="002345E3" w14:paraId="2D329458" w14:textId="77777777"/>
    <w:p w:rsidR="005D5DA7" w:rsidP="002345E3" w:rsidRDefault="005D5DA7" w14:paraId="0BF7E92A" w14:textId="491B2E43">
      <w:r>
        <w:t>Delegations will find enclosed the opinion</w:t>
      </w:r>
      <w:r>
        <w:rPr>
          <w:rStyle w:val="FootnoteReference"/>
        </w:rPr>
        <w:footnoteReference w:id="2"/>
      </w:r>
      <w:r>
        <w:t xml:space="preserve"> of the Polish Senate on the above.</w:t>
      </w:r>
    </w:p>
    <w:p w:rsidR="005D5DA7" w:rsidP="002345E3" w:rsidRDefault="005D5DA7" w14:paraId="1B95A47E" w14:textId="77777777"/>
    <w:p w:rsidR="005D5DA7" w:rsidP="002345E3" w:rsidRDefault="005D5DA7" w14:paraId="26EE4F04" w14:textId="77777777"/>
    <w:p w:rsidR="005D5DA7" w:rsidP="002345E3" w:rsidRDefault="005D5DA7" w14:paraId="5C8AEA4F" w14:textId="77777777"/>
    <w:p w:rsidR="005D5DA7" w:rsidP="002345E3" w:rsidRDefault="005D5DA7" w14:paraId="6F099BE4" w14:textId="77777777"/>
    <w:p w:rsidR="005D5DA7" w:rsidP="002345E3" w:rsidRDefault="005D5DA7" w14:paraId="65B4C047" w14:textId="7C285E8C">
      <w:r>
        <w:rPr>
          <w:noProof/>
        </w:rPr>
        <mc:AlternateContent>
          <mc:Choice Requires="wps">
            <w:drawing>
              <wp:anchor distT="0" distB="0" distL="114300" distR="114300" simplePos="0" relativeHeight="251659264" behindDoc="0" locked="0" layoutInCell="1" allowOverlap="1" wp14:editId="724CF09E" wp14:anchorId="33C00E8E">
                <wp:simplePos x="0" y="0"/>
                <wp:positionH relativeFrom="column">
                  <wp:posOffset>2270759</wp:posOffset>
                </wp:positionH>
                <wp:positionV relativeFrom="paragraph">
                  <wp:posOffset>20320</wp:posOffset>
                </wp:positionV>
                <wp:extent cx="1743075" cy="0"/>
                <wp:effectExtent l="0" t="0" r="0" b="0"/>
                <wp:wrapNone/>
                <wp:docPr id="2" name="Straight Connector 1"/>
                <wp:cNvGraphicFramePr/>
                <a:graphic xmlns:a="http://schemas.openxmlformats.org/drawingml/2006/main">
                  <a:graphicData uri="http://schemas.microsoft.com/office/word/2010/wordprocessingShape">
                    <wps:wsp>
                      <wps:cNvCnPr/>
                      <wps:spPr>
                        <a:xfrm>
                          <a:off x="0" y="0"/>
                          <a:ext cx="1743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78.8pt,1.6pt" to="316.05pt,1.6pt" w14:anchorId="3FC194B5">
                <v:stroke joinstyle="miter"/>
              </v:line>
            </w:pict>
          </mc:Fallback>
        </mc:AlternateContent>
      </w:r>
    </w:p>
    <w:p w:rsidR="005D5DA7" w:rsidP="002345E3" w:rsidRDefault="005D5DA7" w14:paraId="09BE2ED2" w14:textId="77777777"/>
    <w:p w:rsidR="00EC4569" w:rsidRDefault="00331983" w14:paraId="32C376AB" w14:textId="4A68A61F">
      <w:pPr>
        <w:pStyle w:val="d-orzel"/>
        <w:rPr>
          <w:sz w:val="26"/>
        </w:rPr>
      </w:pPr>
      <w:r>
        <w:rPr>
          <w:noProof/>
        </w:rPr>
        <w:drawing>
          <wp:inline distT="0" distB="0" distL="0" distR="0" wp14:anchorId="56DA267D" wp14:editId="09BB77AF">
            <wp:extent cx="609600" cy="67818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856d59a7cf5a424f" cstate="print">
                      <a:extLst>
                        <a:ext uri="{28A0092B-C50C-407E-A947-70E740481C1C}">
                          <a14:useLocalDpi xmlns:a14="http://schemas.microsoft.com/office/drawing/2010/main" val="0"/>
                        </a:ext>
                      </a:extLst>
                    </a:blip>
                    <a:srcRect/>
                    <a:stretch>
                      <a:fillRect/>
                    </a:stretch>
                  </pic:blipFill>
                  <pic:spPr bwMode="auto">
                    <a:xfrm>
                      <a:off x="0" y="0"/>
                      <a:ext cx="609600" cy="678180"/>
                    </a:xfrm>
                    <a:prstGeom prst="rect">
                      <a:avLst/>
                    </a:prstGeom>
                    <a:noFill/>
                    <a:ln>
                      <a:noFill/>
                    </a:ln>
                  </pic:spPr>
                </pic:pic>
              </a:graphicData>
            </a:graphic>
          </wp:inline>
        </w:drawing>
      </w:r>
    </w:p>
    <w:p w:rsidR="00EC4569" w:rsidRDefault="00EC4569" w14:paraId="0FAC4DD9" w14:textId="77777777">
      <w:pPr>
        <w:pStyle w:val="d-orzel"/>
        <w:spacing w:before="240" w:after="60"/>
        <w:ind w:right="-1"/>
      </w:pPr>
      <w:r>
        <w:t>SENAT</w:t>
      </w:r>
    </w:p>
    <w:p w:rsidR="00EC4569" w:rsidRDefault="00EC4569" w14:paraId="60333B7F" w14:textId="77777777">
      <w:pPr>
        <w:pStyle w:val="d-orzel"/>
        <w:spacing w:after="60"/>
      </w:pPr>
      <w:r>
        <w:t>RZECZYPOSPOLITEJ POLSKIEJ</w:t>
      </w:r>
    </w:p>
    <w:p w:rsidR="00EC4569" w:rsidRDefault="007D2D84" w14:paraId="287E63C9" w14:textId="77777777">
      <w:pPr>
        <w:pStyle w:val="d-orzel"/>
        <w:spacing w:after="480"/>
        <w:rPr>
          <w:sz w:val="22"/>
        </w:rPr>
      </w:pPr>
      <w:proofErr w:type="gramStart"/>
      <w:r>
        <w:rPr>
          <w:sz w:val="22"/>
        </w:rPr>
        <w:t>X</w:t>
      </w:r>
      <w:r w:rsidR="00C309F8">
        <w:rPr>
          <w:sz w:val="22"/>
        </w:rPr>
        <w:t>I</w:t>
      </w:r>
      <w:r w:rsidR="00B8154F">
        <w:rPr>
          <w:sz w:val="22"/>
        </w:rPr>
        <w:t xml:space="preserve"> </w:t>
      </w:r>
      <w:r w:rsidR="00EC4569">
        <w:rPr>
          <w:sz w:val="22"/>
        </w:rPr>
        <w:t xml:space="preserve"> KADENCJA</w:t>
      </w:r>
      <w:proofErr w:type="gramEnd"/>
    </w:p>
    <w:p w:rsidR="00EC4569" w:rsidRDefault="00EC4569" w14:paraId="13C6D809" w14:textId="77777777">
      <w:pPr>
        <w:pStyle w:val="d-linia1"/>
        <w:rPr>
          <w:sz w:val="16"/>
        </w:rPr>
      </w:pPr>
    </w:p>
    <w:p w:rsidR="00EC4569" w:rsidRDefault="00EC4569" w14:paraId="4E5A85B8" w14:textId="5D426CDB">
      <w:pPr>
        <w:pStyle w:val="d-linia2"/>
        <w:rPr>
          <w:b/>
        </w:rPr>
      </w:pPr>
      <w:r>
        <w:t>Warszawa, dnia</w:t>
      </w:r>
      <w:r w:rsidR="000034E4">
        <w:t xml:space="preserve"> </w:t>
      </w:r>
      <w:bookmarkStart w:name="data_druku" w:id="2"/>
      <w:bookmarkEnd w:id="2"/>
      <w:r w:rsidR="00685B76">
        <w:t>17 grudnia</w:t>
      </w:r>
      <w:r w:rsidR="007564C7">
        <w:t xml:space="preserve"> 2025 r.</w:t>
      </w:r>
      <w:r>
        <w:tab/>
      </w:r>
      <w:r>
        <w:rPr>
          <w:b/>
        </w:rPr>
        <w:t xml:space="preserve">Druk nr </w:t>
      </w:r>
      <w:bookmarkStart w:name="nrdruku" w:id="3"/>
      <w:bookmarkEnd w:id="3"/>
      <w:r w:rsidR="007564C7">
        <w:rPr>
          <w:b/>
        </w:rPr>
        <w:t>E05</w:t>
      </w:r>
    </w:p>
    <w:p w:rsidR="00EC4569" w:rsidRDefault="00EC4569" w14:paraId="01C8C362" w14:textId="77777777">
      <w:pPr>
        <w:pStyle w:val="d-linia3"/>
        <w:rPr>
          <w:sz w:val="16"/>
        </w:rPr>
      </w:pPr>
    </w:p>
    <w:p w:rsidR="00EC4569" w:rsidRDefault="00EC4569" w14:paraId="0DFC2A6C" w14:textId="77777777">
      <w:pPr>
        <w:pStyle w:val="druk-stanard"/>
      </w:pPr>
    </w:p>
    <w:p w:rsidR="00EC4569" w:rsidRDefault="00EC4569" w14:paraId="1DF41DF9" w14:textId="77777777">
      <w:pPr>
        <w:pStyle w:val="druk-stanard"/>
      </w:pPr>
    </w:p>
    <w:p w:rsidR="00EC4569" w:rsidRDefault="00EC4569" w14:paraId="392E8E6F" w14:textId="77777777">
      <w:pPr>
        <w:pStyle w:val="druk-stanard"/>
      </w:pPr>
    </w:p>
    <w:p w:rsidR="00EC4569" w:rsidRDefault="00EC4569" w14:paraId="4A1AFBE9" w14:textId="77777777">
      <w:pPr>
        <w:pStyle w:val="druk-stanard"/>
      </w:pPr>
    </w:p>
    <w:p w:rsidR="00EC4569" w:rsidRDefault="00EC4569" w14:paraId="083EED58" w14:textId="77777777">
      <w:pPr>
        <w:pStyle w:val="d-sro-18"/>
        <w:rPr>
          <w:caps/>
        </w:rPr>
      </w:pPr>
      <w:r>
        <w:rPr>
          <w:caps/>
        </w:rPr>
        <w:t>opinia</w:t>
      </w:r>
    </w:p>
    <w:p w:rsidR="00EC4569" w:rsidRDefault="00EC4569" w14:paraId="7123F852" w14:textId="77777777">
      <w:pPr>
        <w:pStyle w:val="d-ro-14"/>
        <w:rPr>
          <w:caps/>
        </w:rPr>
      </w:pPr>
      <w:r>
        <w:t xml:space="preserve">KOMISJI </w:t>
      </w:r>
      <w:r>
        <w:rPr>
          <w:caps/>
        </w:rPr>
        <w:t>Spraw Unii Europejskiej</w:t>
      </w:r>
    </w:p>
    <w:p w:rsidR="00EC4569" w:rsidRDefault="007564C7" w14:paraId="0BFA5A34" w14:textId="77777777">
      <w:pPr>
        <w:pStyle w:val="d-ro-B"/>
      </w:pPr>
      <w:bookmarkStart w:name="tyt_opinii" w:id="4"/>
      <w:bookmarkEnd w:id="4"/>
      <w:r>
        <w:t xml:space="preserve">Wniosek dotyczący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w:t>
      </w:r>
      <w:proofErr w:type="spellStart"/>
      <w:r>
        <w:t>Euratom</w:t>
      </w:r>
      <w:proofErr w:type="spellEnd"/>
      <w:r>
        <w:t>) 2024/2509</w:t>
      </w:r>
    </w:p>
    <w:p w:rsidR="00EC4569" w:rsidRDefault="00EC4569" w14:paraId="1E632C79" w14:textId="77777777">
      <w:pPr>
        <w:pStyle w:val="druk-stanard"/>
        <w:jc w:val="both"/>
        <w:rPr>
          <w:rFonts w:ascii="TimesNewRoman,Bold" w:hAnsi="TimesNewRoman,Bold"/>
          <w:b/>
          <w:snapToGrid w:val="0"/>
        </w:rPr>
      </w:pPr>
    </w:p>
    <w:p w:rsidR="00EC4569" w:rsidRDefault="00EC4569" w14:paraId="5DADDE8B" w14:textId="77777777">
      <w:pPr>
        <w:pStyle w:val="druk-stanard"/>
        <w:jc w:val="both"/>
        <w:rPr>
          <w:b/>
        </w:rPr>
      </w:pPr>
    </w:p>
    <w:p w:rsidR="00EC4569" w:rsidRDefault="00EC4569" w14:paraId="723F6A5C" w14:textId="77777777">
      <w:pPr>
        <w:pStyle w:val="d-skier"/>
        <w:ind w:left="567"/>
      </w:pPr>
      <w:r>
        <w:t>Marszałek Senatu skierował do komisji projekt aktu prawnego UE; projekt stanowiska R</w:t>
      </w:r>
      <w:r w:rsidR="00737C0B">
        <w:t>P</w:t>
      </w:r>
      <w:r>
        <w:t xml:space="preserve"> w sprawie tego dokumentu został przekazany w dniu </w:t>
      </w:r>
      <w:bookmarkStart w:name="data_przek" w:id="5"/>
      <w:bookmarkEnd w:id="5"/>
      <w:r w:rsidR="007564C7">
        <w:t>4 listopada 2025 r.</w:t>
      </w:r>
      <w:r w:rsidR="00B80A2F">
        <w:t xml:space="preserve"> </w:t>
      </w:r>
    </w:p>
    <w:p w:rsidR="007261FC" w:rsidP="001F4F03" w:rsidRDefault="00EC4569" w14:paraId="6455074E" w14:textId="77777777">
      <w:pPr>
        <w:pStyle w:val="d-poroz"/>
        <w:jc w:val="center"/>
      </w:pPr>
      <w:r>
        <w:t>Komisja rozpatrzyła wniosek na posiedzeni</w:t>
      </w:r>
      <w:r w:rsidR="001F4F03">
        <w:t>ach</w:t>
      </w:r>
      <w:r>
        <w:t xml:space="preserve"> w dni</w:t>
      </w:r>
      <w:r w:rsidR="001F4F03">
        <w:t xml:space="preserve">ach </w:t>
      </w:r>
      <w:r w:rsidR="007A79F2">
        <w:t>9 grudnia</w:t>
      </w:r>
      <w:r w:rsidR="001F4F03">
        <w:t xml:space="preserve"> 2025 r. </w:t>
      </w:r>
    </w:p>
    <w:p w:rsidR="00EC4569" w:rsidP="001F4F03" w:rsidRDefault="001F4F03" w14:paraId="05E052E5" w14:textId="2D0623CA">
      <w:pPr>
        <w:pStyle w:val="d-poroz"/>
        <w:jc w:val="center"/>
      </w:pPr>
      <w:r>
        <w:t xml:space="preserve">oraz </w:t>
      </w:r>
      <w:bookmarkStart w:name="data_pos" w:id="6"/>
      <w:bookmarkEnd w:id="6"/>
      <w:r w:rsidR="00685B76">
        <w:t xml:space="preserve">17 </w:t>
      </w:r>
      <w:proofErr w:type="gramStart"/>
      <w:r w:rsidR="00685B76">
        <w:t xml:space="preserve">grudnia </w:t>
      </w:r>
      <w:r w:rsidR="007564C7">
        <w:t xml:space="preserve"> 2025</w:t>
      </w:r>
      <w:proofErr w:type="gramEnd"/>
      <w:r w:rsidR="007564C7">
        <w:t xml:space="preserve"> r.</w:t>
      </w:r>
    </w:p>
    <w:p w:rsidR="00EC4569" w:rsidRDefault="00EC4569" w14:paraId="09D8DE42" w14:textId="77777777">
      <w:pPr>
        <w:pStyle w:val="BodyText"/>
        <w:rPr>
          <w:b w:val="0"/>
        </w:rPr>
      </w:pPr>
    </w:p>
    <w:p w:rsidR="00EC4569" w:rsidRDefault="00EC4569" w14:paraId="5FD32CE4" w14:textId="77777777">
      <w:pPr>
        <w:pStyle w:val="BodyText"/>
        <w:rPr>
          <w:b w:val="0"/>
          <w:sz w:val="20"/>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607"/>
        <w:gridCol w:w="1890"/>
        <w:gridCol w:w="3125"/>
        <w:gridCol w:w="7"/>
      </w:tblGrid>
      <w:tr w:rsidR="00EC4569" w14:paraId="692939ED" w14:textId="77777777">
        <w:trPr>
          <w:gridAfter w:val="1"/>
          <w:wAfter w:w="7" w:type="dxa"/>
          <w:cantSplit/>
          <w:trHeight w:val="578"/>
          <w:jc w:val="center"/>
        </w:trPr>
        <w:tc>
          <w:tcPr>
            <w:tcW w:w="1607" w:type="dxa"/>
            <w:vMerge w:val="restart"/>
            <w:tcBorders>
              <w:top w:val="single" w:color="auto" w:sz="2" w:space="0"/>
              <w:left w:val="single" w:color="auto" w:sz="2" w:space="0"/>
              <w:bottom w:val="single" w:color="auto" w:sz="2" w:space="0"/>
              <w:right w:val="single" w:color="auto" w:sz="2" w:space="0"/>
            </w:tcBorders>
            <w:vAlign w:val="center"/>
          </w:tcPr>
          <w:p w:rsidR="00EC4569" w:rsidRDefault="00EC4569" w14:paraId="436E1965" w14:textId="77777777">
            <w:pPr>
              <w:pStyle w:val="Heading7"/>
              <w:spacing w:before="60"/>
              <w:jc w:val="center"/>
              <w:rPr>
                <w:b/>
                <w:sz w:val="22"/>
              </w:rPr>
            </w:pPr>
            <w:proofErr w:type="spellStart"/>
            <w:r>
              <w:rPr>
                <w:b/>
                <w:sz w:val="22"/>
              </w:rPr>
              <w:t>Sygnatura</w:t>
            </w:r>
            <w:proofErr w:type="spellEnd"/>
            <w:r>
              <w:rPr>
                <w:b/>
                <w:sz w:val="22"/>
              </w:rPr>
              <w:t xml:space="preserve"> </w:t>
            </w:r>
            <w:proofErr w:type="spellStart"/>
            <w:r>
              <w:rPr>
                <w:b/>
                <w:sz w:val="22"/>
              </w:rPr>
              <w:t>dokumentu</w:t>
            </w:r>
            <w:proofErr w:type="spellEnd"/>
          </w:p>
        </w:tc>
        <w:tc>
          <w:tcPr>
            <w:tcW w:w="1890" w:type="dxa"/>
            <w:tcBorders>
              <w:top w:val="single" w:color="auto" w:sz="2" w:space="0"/>
              <w:left w:val="nil"/>
              <w:bottom w:val="single" w:color="auto" w:sz="2" w:space="0"/>
              <w:right w:val="single" w:color="auto" w:sz="2" w:space="0"/>
            </w:tcBorders>
            <w:vAlign w:val="center"/>
          </w:tcPr>
          <w:p w:rsidR="00EC4569" w:rsidRDefault="00EC4569" w14:paraId="71D1071D" w14:textId="77777777">
            <w:pPr>
              <w:pStyle w:val="Heading7"/>
              <w:spacing w:before="60"/>
              <w:jc w:val="center"/>
              <w:rPr>
                <w:sz w:val="22"/>
              </w:rPr>
            </w:pPr>
            <w:proofErr w:type="spellStart"/>
            <w:r>
              <w:rPr>
                <w:sz w:val="22"/>
              </w:rPr>
              <w:t>Komisja</w:t>
            </w:r>
            <w:proofErr w:type="spellEnd"/>
            <w:r>
              <w:rPr>
                <w:sz w:val="22"/>
              </w:rPr>
              <w:t xml:space="preserve"> </w:t>
            </w:r>
            <w:proofErr w:type="spellStart"/>
            <w:r>
              <w:rPr>
                <w:sz w:val="22"/>
              </w:rPr>
              <w:t>Europejska</w:t>
            </w:r>
            <w:proofErr w:type="spellEnd"/>
          </w:p>
        </w:tc>
        <w:tc>
          <w:tcPr>
            <w:tcW w:w="3125" w:type="dxa"/>
            <w:tcBorders>
              <w:top w:val="single" w:color="auto" w:sz="2" w:space="0"/>
              <w:left w:val="nil"/>
              <w:bottom w:val="nil"/>
              <w:right w:val="single" w:color="auto" w:sz="2" w:space="0"/>
            </w:tcBorders>
            <w:vAlign w:val="center"/>
          </w:tcPr>
          <w:p w:rsidRPr="00AB6276" w:rsidR="00EC4569" w:rsidRDefault="007564C7" w14:paraId="7B0AD20D" w14:textId="77777777">
            <w:pPr>
              <w:pStyle w:val="Heading7"/>
              <w:spacing w:before="60"/>
              <w:jc w:val="center"/>
              <w:rPr>
                <w:sz w:val="22"/>
              </w:rPr>
            </w:pPr>
            <w:bookmarkStart w:name="sygcom" w:id="7"/>
            <w:bookmarkEnd w:id="7"/>
            <w:proofErr w:type="gramStart"/>
            <w:r>
              <w:rPr>
                <w:sz w:val="22"/>
              </w:rPr>
              <w:t>COM(</w:t>
            </w:r>
            <w:proofErr w:type="gramEnd"/>
            <w:r>
              <w:rPr>
                <w:sz w:val="22"/>
              </w:rPr>
              <w:t>2025) 565</w:t>
            </w:r>
          </w:p>
        </w:tc>
      </w:tr>
      <w:tr w:rsidR="00EC4569" w14:paraId="58D2D05F" w14:textId="77777777">
        <w:trPr>
          <w:cantSplit/>
          <w:trHeight w:val="579"/>
          <w:jc w:val="center"/>
        </w:trPr>
        <w:tc>
          <w:tcPr>
            <w:tcW w:w="1607" w:type="dxa"/>
            <w:vMerge/>
            <w:tcBorders>
              <w:top w:val="single" w:color="auto" w:sz="2" w:space="0"/>
              <w:left w:val="single" w:color="auto" w:sz="2" w:space="0"/>
              <w:bottom w:val="single" w:color="auto" w:sz="2" w:space="0"/>
              <w:right w:val="single" w:color="auto" w:sz="2" w:space="0"/>
            </w:tcBorders>
            <w:vAlign w:val="center"/>
          </w:tcPr>
          <w:p w:rsidR="00EC4569" w:rsidRDefault="00EC4569" w14:paraId="6DA02704" w14:textId="77777777">
            <w:pPr>
              <w:jc w:val="center"/>
              <w:rPr>
                <w:sz w:val="22"/>
              </w:rPr>
            </w:pPr>
          </w:p>
        </w:tc>
        <w:tc>
          <w:tcPr>
            <w:tcW w:w="1890" w:type="dxa"/>
            <w:tcBorders>
              <w:top w:val="nil"/>
              <w:left w:val="nil"/>
              <w:bottom w:val="single" w:color="auto" w:sz="2" w:space="0"/>
              <w:right w:val="single" w:color="auto" w:sz="2" w:space="0"/>
            </w:tcBorders>
            <w:vAlign w:val="center"/>
          </w:tcPr>
          <w:p w:rsidR="00EC4569" w:rsidRDefault="00EC4569" w14:paraId="3405B033" w14:textId="77777777">
            <w:pPr>
              <w:pStyle w:val="Heading7"/>
              <w:jc w:val="center"/>
              <w:rPr>
                <w:sz w:val="22"/>
              </w:rPr>
            </w:pPr>
            <w:r>
              <w:rPr>
                <w:sz w:val="22"/>
              </w:rPr>
              <w:t>Rada UE</w:t>
            </w:r>
          </w:p>
        </w:tc>
        <w:tc>
          <w:tcPr>
            <w:tcW w:w="3132" w:type="dxa"/>
            <w:gridSpan w:val="2"/>
            <w:tcBorders>
              <w:top w:val="single" w:color="auto" w:sz="2" w:space="0"/>
              <w:left w:val="nil"/>
              <w:bottom w:val="single" w:color="auto" w:sz="2" w:space="0"/>
              <w:right w:val="single" w:color="auto" w:sz="2" w:space="0"/>
            </w:tcBorders>
            <w:vAlign w:val="center"/>
          </w:tcPr>
          <w:p w:rsidRPr="00AB6276" w:rsidR="00EC4569" w:rsidRDefault="00EC4569" w14:paraId="59457628" w14:textId="77777777">
            <w:pPr>
              <w:autoSpaceDE w:val="0"/>
              <w:autoSpaceDN w:val="0"/>
              <w:adjustRightInd w:val="0"/>
              <w:jc w:val="center"/>
              <w:rPr>
                <w:sz w:val="22"/>
              </w:rPr>
            </w:pPr>
          </w:p>
        </w:tc>
      </w:tr>
    </w:tbl>
    <w:p w:rsidR="00EC4569" w:rsidRDefault="00EC4569" w14:paraId="2A909F4F" w14:textId="77777777">
      <w:pPr>
        <w:pStyle w:val="BodyText"/>
        <w:rPr>
          <w:sz w:val="20"/>
        </w:rPr>
      </w:pPr>
    </w:p>
    <w:p w:rsidR="00EC4569" w:rsidRDefault="00EC4569" w14:paraId="093C6887" w14:textId="77777777">
      <w:pPr>
        <w:pStyle w:val="druk-stanard"/>
      </w:pPr>
    </w:p>
    <w:p w:rsidR="00EC4569" w:rsidRDefault="00EC4569" w14:paraId="6D82B9D0" w14:textId="77777777">
      <w:pPr>
        <w:pStyle w:val="druk-stanard"/>
      </w:pPr>
    </w:p>
    <w:p w:rsidR="00EC4569" w:rsidRDefault="00FA37DB" w14:paraId="4B1F584C" w14:textId="77777777">
      <w:pPr>
        <w:pStyle w:val="druk-stanard"/>
      </w:pPr>
      <w:r>
        <w:tab/>
      </w:r>
      <w:r>
        <w:tab/>
      </w:r>
      <w:r>
        <w:tab/>
      </w:r>
      <w:r>
        <w:tab/>
      </w:r>
      <w:r>
        <w:tab/>
      </w:r>
      <w:r>
        <w:tab/>
      </w:r>
      <w:r>
        <w:tab/>
        <w:t xml:space="preserve">            </w:t>
      </w:r>
    </w:p>
    <w:p w:rsidR="00FA37DB" w:rsidRDefault="00EC4569" w14:paraId="0C8B3FA4" w14:textId="77777777">
      <w:pPr>
        <w:pStyle w:val="d-podpis"/>
      </w:pPr>
      <w:r>
        <w:tab/>
      </w:r>
      <w:r>
        <w:tab/>
      </w:r>
      <w:r w:rsidR="00FA37DB">
        <w:t>(-</w:t>
      </w:r>
      <w:proofErr w:type="gramStart"/>
      <w:r w:rsidR="00FA37DB">
        <w:t>)</w:t>
      </w:r>
      <w:bookmarkStart w:name="sygrue" w:id="8"/>
      <w:bookmarkEnd w:id="8"/>
      <w:r w:rsidR="00FA37DB">
        <w:t xml:space="preserve"> </w:t>
      </w:r>
      <w:r w:rsidR="00E87B22">
        <w:t xml:space="preserve"> </w:t>
      </w:r>
      <w:bookmarkStart w:name="lider" w:id="9"/>
      <w:bookmarkEnd w:id="9"/>
      <w:r w:rsidR="007564C7">
        <w:t>Tomasz</w:t>
      </w:r>
      <w:proofErr w:type="gramEnd"/>
      <w:r w:rsidR="007564C7">
        <w:t xml:space="preserve"> Grodzki</w:t>
      </w:r>
    </w:p>
    <w:p w:rsidR="00EC4569" w:rsidRDefault="00FA37DB" w14:paraId="55153CDC" w14:textId="77777777">
      <w:pPr>
        <w:pStyle w:val="d-podpis"/>
      </w:pPr>
      <w:r>
        <w:tab/>
      </w:r>
      <w:r>
        <w:tab/>
      </w:r>
      <w:r w:rsidR="00EC4569">
        <w:t>Przewodniczący Komisji</w:t>
      </w:r>
    </w:p>
    <w:p w:rsidR="00EC4569" w:rsidRDefault="00EC4569" w14:paraId="2ACCAC4C" w14:textId="77777777">
      <w:pPr>
        <w:pStyle w:val="d-podpis"/>
      </w:pPr>
      <w:r>
        <w:tab/>
      </w:r>
      <w:r>
        <w:tab/>
        <w:t>Spraw Unii Europejskiej</w:t>
      </w:r>
    </w:p>
    <w:p w:rsidR="00EC4569" w:rsidRDefault="00EC4569" w14:paraId="08FABA6D" w14:textId="77777777">
      <w:pPr>
        <w:pStyle w:val="d-podpis"/>
      </w:pPr>
      <w:r>
        <w:tab/>
      </w:r>
      <w:r>
        <w:tab/>
      </w:r>
    </w:p>
    <w:p w:rsidR="00EC4569" w:rsidRDefault="00EC4569" w14:paraId="32FA6FBF" w14:textId="77777777">
      <w:pPr>
        <w:pStyle w:val="druk-stanard"/>
        <w:sectPr w:rsidR="00EC4569" w:rsidSect="00C725F7">
          <w:headerReference w:type="even" r:id="Ra4193b0f28aa482c"/>
          <w:headerReference w:type="default" r:id="R10ed9761e71b43a5"/>
          <w:footerReference w:type="even" r:id="Rbccf36ba29c448a4"/>
          <w:footerReference w:type="default" r:id="R7a92d7d800f74d00"/>
          <w:headerReference w:type="first" r:id="Rf77589ab2b7a42fe"/>
          <w:footerReference w:type="first" r:id="R5068264f84484e7f"/>
          <w:pgSz w:w="11907" w:h="16839" w:code="9"/>
          <w:pgMar w:top="624" w:right="1134" w:bottom="1134" w:left="1134" w:header="567" w:footer="567" w:gutter="0"/>
          <w:pgNumType w:start="0"/>
          <w:cols w:space="60"/>
          <w:noEndnote/>
          <w:titlePg/>
          <w:docGrid w:linePitch="326"/>
          <w:pgSz w:w="11907" w:h="16840" w:code="9"/>
          <w:pgSz w:w="11907" w:h="16840" w:code="9"/>
          <w:pgSz w:w="11907" w:h="16840" w:code="9"/>
          <w:pgSz w:w="11907" w:h="16840" w:code="9"/>
        </w:sectPr>
      </w:pPr>
    </w:p>
    <w:p w:rsidR="00EC4569" w:rsidRDefault="00EC4569" w14:paraId="5BADEA61" w14:textId="77777777"/>
    <w:p w:rsidR="00EC4569" w:rsidRDefault="00EC4569" w14:paraId="42E51932" w14:textId="2E1B8483">
      <w:pPr>
        <w:pStyle w:val="druk-stanard"/>
        <w:rPr>
          <w:color w:val="000080"/>
        </w:rPr>
      </w:pPr>
    </w:p>
    <w:p w:rsidR="00EC4569" w:rsidRDefault="00EC4569" w14:paraId="6A046BE0" w14:textId="75D07D7B">
      <w:pPr>
        <w:pStyle w:val="druk-stanard"/>
        <w:rPr>
          <w:color w:val="000080"/>
        </w:rPr>
      </w:pPr>
    </w:p>
    <w:p w:rsidR="00331983" w:rsidP="00331983" w:rsidRDefault="00331983" w14:paraId="383232D9" w14:textId="77777777">
      <w:pPr>
        <w:jc w:val="center"/>
        <w:rPr>
          <w:b/>
        </w:rPr>
      </w:pPr>
      <w:proofErr w:type="spellStart"/>
      <w:r>
        <w:rPr>
          <w:b/>
        </w:rPr>
        <w:t>Opinia</w:t>
      </w:r>
      <w:proofErr w:type="spellEnd"/>
    </w:p>
    <w:p w:rsidRPr="00CF4AAF" w:rsidR="00331983" w:rsidP="00331983" w:rsidRDefault="00331983" w14:paraId="78D58299" w14:textId="77777777">
      <w:pPr>
        <w:jc w:val="center"/>
        <w:rPr>
          <w:b/>
          <w:lang w:val="pl-PL"/>
        </w:rPr>
      </w:pPr>
      <w:r w:rsidRPr="00CF4AAF">
        <w:rPr>
          <w:b/>
          <w:lang w:val="pl-PL"/>
        </w:rPr>
        <w:t>Komisji Spraw Unii Europejskiej Senatu RP</w:t>
      </w:r>
    </w:p>
    <w:p w:rsidRPr="00CF4AAF" w:rsidR="00331983" w:rsidP="00331983" w:rsidRDefault="00331983" w14:paraId="32002AA2" w14:textId="77777777">
      <w:pPr>
        <w:jc w:val="center"/>
        <w:rPr>
          <w:b/>
          <w:lang w:val="pl-PL"/>
        </w:rPr>
      </w:pPr>
      <w:r w:rsidRPr="00CF4AAF">
        <w:rPr>
          <w:b/>
          <w:lang w:val="pl-PL"/>
        </w:rPr>
        <w:t xml:space="preserve">dotycząca projektu Rozporządzenia Parlamentu Europejskiego i Rady ustanawiającego Europejski Fundusz Spójności Gospodarczej, Społecznej i Terytorialnej, Rolnictwa </w:t>
      </w:r>
      <w:r w:rsidRPr="00CF4AAF">
        <w:rPr>
          <w:b/>
          <w:lang w:val="pl-PL"/>
        </w:rPr>
        <w:br/>
        <w:t xml:space="preserve">i Obszarów Wiejskich, Rybołówstwa i Polityki Morskiej, Dobrobytu i Bezpieczeństwa na lata 2028–2034 oraz zmieniającego rozporządzenie (UE) 2023/955 i rozporządzenie </w:t>
      </w:r>
    </w:p>
    <w:p w:rsidRPr="00CF4AAF" w:rsidR="00331983" w:rsidP="00331983" w:rsidRDefault="00331983" w14:paraId="4B7056DA" w14:textId="77777777">
      <w:pPr>
        <w:jc w:val="center"/>
        <w:rPr>
          <w:b/>
          <w:lang w:val="pl-PL"/>
        </w:rPr>
      </w:pPr>
      <w:r w:rsidRPr="00CF4AAF">
        <w:rPr>
          <w:b/>
          <w:lang w:val="pl-PL"/>
        </w:rPr>
        <w:t xml:space="preserve">(UE, </w:t>
      </w:r>
      <w:proofErr w:type="spellStart"/>
      <w:r w:rsidRPr="00CF4AAF">
        <w:rPr>
          <w:b/>
          <w:lang w:val="pl-PL"/>
        </w:rPr>
        <w:t>Euratom</w:t>
      </w:r>
      <w:proofErr w:type="spellEnd"/>
      <w:r w:rsidRPr="00CF4AAF">
        <w:rPr>
          <w:b/>
          <w:lang w:val="pl-PL"/>
        </w:rPr>
        <w:t>) 2024/2509</w:t>
      </w:r>
    </w:p>
    <w:p w:rsidRPr="00CF4AAF" w:rsidR="00331983" w:rsidP="00331983" w:rsidRDefault="00331983" w14:paraId="2FC0C668" w14:textId="77777777">
      <w:pPr>
        <w:jc w:val="center"/>
        <w:rPr>
          <w:b/>
          <w:lang w:val="pl-PL"/>
        </w:rPr>
      </w:pPr>
      <w:proofErr w:type="gramStart"/>
      <w:r w:rsidRPr="00CF4AAF">
        <w:rPr>
          <w:b/>
          <w:lang w:val="pl-PL"/>
        </w:rPr>
        <w:t>COM(</w:t>
      </w:r>
      <w:proofErr w:type="gramEnd"/>
      <w:r w:rsidRPr="00CF4AAF">
        <w:rPr>
          <w:b/>
          <w:lang w:val="pl-PL"/>
        </w:rPr>
        <w:t>2025)565</w:t>
      </w:r>
    </w:p>
    <w:p w:rsidRPr="00CF4AAF" w:rsidR="00331983" w:rsidP="00331983" w:rsidRDefault="00331983" w14:paraId="11885C20" w14:textId="77777777">
      <w:pPr>
        <w:adjustRightInd w:val="0"/>
        <w:jc w:val="center"/>
        <w:rPr>
          <w:b/>
          <w:lang w:val="pl-PL"/>
        </w:rPr>
      </w:pPr>
    </w:p>
    <w:p w:rsidRPr="00CF4AAF" w:rsidR="00331983" w:rsidP="00331983" w:rsidRDefault="00331983" w14:paraId="3742F105" w14:textId="77777777">
      <w:pPr>
        <w:spacing w:before="120"/>
        <w:jc w:val="center"/>
        <w:rPr>
          <w:b/>
          <w:lang w:val="pl-PL"/>
        </w:rPr>
      </w:pPr>
      <w:r w:rsidRPr="00CF4AAF">
        <w:rPr>
          <w:b/>
          <w:lang w:val="pl-PL"/>
        </w:rPr>
        <w:t>przyjęta na posiedzeniu w dniu 17 grudnia 2025 r.</w:t>
      </w:r>
    </w:p>
    <w:p w:rsidRPr="00CF4AAF" w:rsidR="00331983" w:rsidP="00331983" w:rsidRDefault="00331983" w14:paraId="1E252BE7" w14:textId="77777777">
      <w:pPr>
        <w:rPr>
          <w:lang w:val="pl-PL"/>
        </w:rPr>
      </w:pPr>
    </w:p>
    <w:p w:rsidRPr="00CF4AAF" w:rsidR="00331983" w:rsidP="00331983" w:rsidRDefault="00331983" w14:paraId="131203A7" w14:textId="77777777">
      <w:pPr>
        <w:rPr>
          <w:lang w:val="pl-PL"/>
        </w:rPr>
      </w:pPr>
    </w:p>
    <w:p w:rsidRPr="00CF4AAF" w:rsidR="00331983" w:rsidP="00331983" w:rsidRDefault="00331983" w14:paraId="3522E321" w14:textId="77777777">
      <w:pPr>
        <w:rPr>
          <w:lang w:val="pl-PL"/>
        </w:rPr>
      </w:pPr>
    </w:p>
    <w:p w:rsidRPr="00CF4AAF" w:rsidR="00331983" w:rsidP="00331983" w:rsidRDefault="00331983" w14:paraId="16702B14" w14:textId="77777777">
      <w:pPr>
        <w:numPr>
          <w:ilvl w:val="0"/>
          <w:numId w:val="2"/>
        </w:numPr>
        <w:spacing w:line="360" w:lineRule="auto"/>
        <w:jc w:val="both"/>
        <w:rPr>
          <w:iCs/>
          <w:szCs w:val="24"/>
          <w:lang w:val="pl-PL"/>
        </w:rPr>
      </w:pPr>
      <w:r w:rsidRPr="00CF4AAF">
        <w:rPr>
          <w:iCs/>
          <w:szCs w:val="24"/>
          <w:lang w:val="pl-PL"/>
        </w:rPr>
        <w:t xml:space="preserve">Komisja Spraw Unii Europejskiej Senatu RP (KSUE) </w:t>
      </w:r>
      <w:proofErr w:type="gramStart"/>
      <w:r w:rsidRPr="00CF4AAF">
        <w:rPr>
          <w:iCs/>
          <w:szCs w:val="24"/>
          <w:lang w:val="pl-PL"/>
        </w:rPr>
        <w:t>wyraża  wątpliwości</w:t>
      </w:r>
      <w:proofErr w:type="gramEnd"/>
      <w:r w:rsidRPr="00CF4AAF">
        <w:rPr>
          <w:iCs/>
          <w:szCs w:val="24"/>
          <w:lang w:val="pl-PL"/>
        </w:rPr>
        <w:t xml:space="preserve"> co do projektu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w:t>
      </w:r>
      <w:proofErr w:type="spellStart"/>
      <w:r w:rsidRPr="00CF4AAF">
        <w:rPr>
          <w:iCs/>
          <w:szCs w:val="24"/>
          <w:lang w:val="pl-PL"/>
        </w:rPr>
        <w:t>Euratom</w:t>
      </w:r>
      <w:proofErr w:type="spellEnd"/>
      <w:r w:rsidRPr="00CF4AAF">
        <w:rPr>
          <w:iCs/>
          <w:szCs w:val="24"/>
          <w:lang w:val="pl-PL"/>
        </w:rPr>
        <w:t>) 2024/2509, COM(2025)565.</w:t>
      </w:r>
    </w:p>
    <w:p w:rsidRPr="00CF4AAF" w:rsidR="00331983" w:rsidP="00331983" w:rsidRDefault="00331983" w14:paraId="683159AE" w14:textId="08CEAA8B">
      <w:pPr>
        <w:numPr>
          <w:ilvl w:val="0"/>
          <w:numId w:val="2"/>
        </w:numPr>
        <w:spacing w:line="360" w:lineRule="auto"/>
        <w:jc w:val="both"/>
        <w:rPr>
          <w:iCs/>
          <w:szCs w:val="24"/>
          <w:lang w:val="pl-PL"/>
        </w:rPr>
      </w:pPr>
      <w:r w:rsidRPr="00CF4AAF">
        <w:rPr>
          <w:iCs/>
          <w:szCs w:val="24"/>
          <w:lang w:val="pl-PL"/>
        </w:rPr>
        <w:t>W opinii KSUE</w:t>
      </w:r>
      <w:r w:rsidRPr="00CF4AAF" w:rsidR="006F7B43">
        <w:rPr>
          <w:iCs/>
          <w:szCs w:val="24"/>
          <w:lang w:val="pl-PL"/>
        </w:rPr>
        <w:t>,</w:t>
      </w:r>
      <w:r w:rsidRPr="00CF4AAF">
        <w:rPr>
          <w:iCs/>
          <w:szCs w:val="24"/>
          <w:lang w:val="pl-PL"/>
        </w:rPr>
        <w:t xml:space="preserve"> mimo</w:t>
      </w:r>
      <w:r w:rsidRPr="00CF4AAF" w:rsidR="006F7B43">
        <w:rPr>
          <w:iCs/>
          <w:szCs w:val="24"/>
          <w:lang w:val="pl-PL"/>
        </w:rPr>
        <w:t xml:space="preserve"> </w:t>
      </w:r>
      <w:r w:rsidRPr="00CF4AAF">
        <w:rPr>
          <w:iCs/>
          <w:szCs w:val="24"/>
          <w:lang w:val="pl-PL"/>
        </w:rPr>
        <w:t>że proponowana wysokość budżetu kolejnych Wieloletnich Ram Finansowych, którego Polska jest najważniejszym beneficjentem, jest dobrą podstawą do dalszych prac, propozycja przedstawiona przez Komisję Europejską dotycząca powołania jednego funduszu łączącego kilka obecnie istniejących powinna zostać znacząco poprawiona, aby służyła lepszemu projektowaniu i wdrażaniu wsparcia.</w:t>
      </w:r>
    </w:p>
    <w:p w:rsidRPr="00CF4AAF" w:rsidR="00331983" w:rsidP="00331983" w:rsidRDefault="00331983" w14:paraId="484A69FD" w14:textId="43A5AD56">
      <w:pPr>
        <w:numPr>
          <w:ilvl w:val="0"/>
          <w:numId w:val="2"/>
        </w:numPr>
        <w:spacing w:line="360" w:lineRule="auto"/>
        <w:jc w:val="both"/>
        <w:rPr>
          <w:iCs/>
          <w:szCs w:val="24"/>
          <w:lang w:val="pl-PL"/>
        </w:rPr>
      </w:pPr>
      <w:r w:rsidRPr="00CF4AAF">
        <w:rPr>
          <w:iCs/>
          <w:szCs w:val="24"/>
          <w:lang w:val="pl-PL"/>
        </w:rPr>
        <w:t>KSUE wyraża wątpliwość w stosunku do połączenia różnych funduszy w jeden z uwagi na obawy dotyczące możliwości uzyskania wsparcia przez mniejsze podmioty prowadzące specyficzną działalność, gdyż będ</w:t>
      </w:r>
      <w:r w:rsidRPr="00CF4AAF" w:rsidR="006F7B43">
        <w:rPr>
          <w:iCs/>
          <w:szCs w:val="24"/>
          <w:lang w:val="pl-PL"/>
        </w:rPr>
        <w:t>ą</w:t>
      </w:r>
      <w:r w:rsidRPr="00CF4AAF">
        <w:rPr>
          <w:iCs/>
          <w:szCs w:val="24"/>
          <w:lang w:val="pl-PL"/>
        </w:rPr>
        <w:t xml:space="preserve"> konkurować o wsparcie i pomoc z silniejszymi jednostkami.</w:t>
      </w:r>
    </w:p>
    <w:p w:rsidRPr="00CF4AAF" w:rsidR="00331983" w:rsidP="00331983" w:rsidRDefault="00331983" w14:paraId="69D0D976" w14:textId="77777777">
      <w:pPr>
        <w:numPr>
          <w:ilvl w:val="0"/>
          <w:numId w:val="2"/>
        </w:numPr>
        <w:spacing w:line="360" w:lineRule="auto"/>
        <w:jc w:val="both"/>
        <w:rPr>
          <w:iCs/>
          <w:szCs w:val="24"/>
          <w:lang w:val="pl-PL"/>
        </w:rPr>
      </w:pPr>
      <w:r w:rsidRPr="00CF4AAF">
        <w:rPr>
          <w:rFonts w:ascii="TimesNewRoman" w:hAnsi="TimesNewRoman" w:cs="TimesNewRoman"/>
          <w:iCs/>
          <w:szCs w:val="24"/>
          <w:lang w:val="pl-PL"/>
        </w:rPr>
        <w:t xml:space="preserve">KSUE uważa, że zaproponowane rozwiązania dotyczące podziału zadań związanych z projektowaniem i wdrażaniem wsparcia ograniczą rolę regionów, które do tej pory stanowiły podstawę funkcjonowania polityki spójności. Taka zmiana nie będzie służyła przybliżaniu Unii Europejskiej jej obywatelom. </w:t>
      </w:r>
    </w:p>
    <w:p w:rsidRPr="00CF4AAF" w:rsidR="00331983" w:rsidP="00331983" w:rsidRDefault="00331983" w14:paraId="0C3379CF" w14:textId="77777777">
      <w:pPr>
        <w:numPr>
          <w:ilvl w:val="0"/>
          <w:numId w:val="2"/>
        </w:numPr>
        <w:spacing w:line="360" w:lineRule="auto"/>
        <w:jc w:val="both"/>
        <w:rPr>
          <w:iCs/>
          <w:szCs w:val="24"/>
          <w:lang w:val="pl-PL"/>
        </w:rPr>
      </w:pPr>
      <w:r w:rsidRPr="00CF4AAF">
        <w:rPr>
          <w:rFonts w:ascii="TimesNewRoman" w:hAnsi="TimesNewRoman" w:cs="TimesNewRoman"/>
          <w:iCs/>
          <w:szCs w:val="24"/>
          <w:lang w:val="pl-PL"/>
        </w:rPr>
        <w:t xml:space="preserve">W ocenie KSUE, pozbawienie regionów UE szerokiego wpływu na proces programowania wydatków z funduszy w nowej perspektywie finansowej stoi w sprzeczności z podstawowymi zasadami UE – zasadą pomocniczości, która działa nie tylko w relacji UE-państwa członkowskie, ale także władza centralna – regiony. Zasada pomocniczości jest też w tym ujęciu zasadą ustrojową RP, zgodnie z którą władza centralna nie powinna narzucać rozwiązań </w:t>
      </w:r>
      <w:r w:rsidRPr="00CF4AAF">
        <w:rPr>
          <w:rFonts w:ascii="TimesNewRoman" w:hAnsi="TimesNewRoman" w:cs="TimesNewRoman"/>
          <w:iCs/>
          <w:szCs w:val="24"/>
          <w:lang w:val="pl-PL"/>
        </w:rPr>
        <w:lastRenderedPageBreak/>
        <w:t xml:space="preserve">władzom lokalnym. Zaproponowane przez KE centralne programowanie funduszy stoi w sprzeczności z tą zasadą. </w:t>
      </w:r>
    </w:p>
    <w:p w:rsidRPr="00CF4AAF" w:rsidR="00331983" w:rsidP="00331983" w:rsidRDefault="00331983" w14:paraId="2DD4A9EE" w14:textId="77777777">
      <w:pPr>
        <w:numPr>
          <w:ilvl w:val="0"/>
          <w:numId w:val="2"/>
        </w:numPr>
        <w:spacing w:line="360" w:lineRule="auto"/>
        <w:jc w:val="both"/>
        <w:rPr>
          <w:iCs/>
          <w:szCs w:val="24"/>
          <w:lang w:val="pl-PL"/>
        </w:rPr>
      </w:pPr>
      <w:r w:rsidRPr="00CF4AAF">
        <w:rPr>
          <w:rFonts w:ascii="TimesNewRoman" w:hAnsi="TimesNewRoman" w:cs="TimesNewRoman"/>
          <w:iCs/>
          <w:szCs w:val="24"/>
          <w:lang w:val="pl-PL"/>
        </w:rPr>
        <w:t xml:space="preserve">Ponadto KSUE </w:t>
      </w:r>
      <w:proofErr w:type="gramStart"/>
      <w:r w:rsidRPr="00CF4AAF">
        <w:rPr>
          <w:rFonts w:ascii="TimesNewRoman" w:hAnsi="TimesNewRoman" w:cs="TimesNewRoman"/>
          <w:iCs/>
          <w:szCs w:val="24"/>
          <w:lang w:val="pl-PL"/>
        </w:rPr>
        <w:t>uznaje,  że</w:t>
      </w:r>
      <w:proofErr w:type="gramEnd"/>
      <w:r w:rsidRPr="00CF4AAF">
        <w:rPr>
          <w:rFonts w:ascii="TimesNewRoman" w:hAnsi="TimesNewRoman" w:cs="TimesNewRoman"/>
          <w:iCs/>
          <w:szCs w:val="24"/>
          <w:lang w:val="pl-PL"/>
        </w:rPr>
        <w:t xml:space="preserve"> zmiana, którą proponuje KE, jest  niezgodna z duchem i celami Europejskiej Karty Samorządu Terytorialnego, której stronami są wszystkie państwa członkowskie i zgodnie z którymi jak najwięcej kompetencji powinno być realizowanych przez władze lokalne.</w:t>
      </w:r>
    </w:p>
    <w:p w:rsidRPr="00CF4AAF" w:rsidR="00331983" w:rsidP="00331983" w:rsidRDefault="00331983" w14:paraId="5287DDFC" w14:textId="77777777">
      <w:pPr>
        <w:numPr>
          <w:ilvl w:val="0"/>
          <w:numId w:val="2"/>
        </w:numPr>
        <w:spacing w:line="360" w:lineRule="auto"/>
        <w:jc w:val="both"/>
        <w:rPr>
          <w:iCs/>
          <w:szCs w:val="24"/>
          <w:lang w:val="pl-PL"/>
        </w:rPr>
      </w:pPr>
      <w:r w:rsidRPr="00CF4AAF">
        <w:rPr>
          <w:iCs/>
          <w:szCs w:val="24"/>
          <w:lang w:val="pl-PL"/>
        </w:rPr>
        <w:t>Zdaniem KSUE, zaproponowane rozwiązania skutkować będą niepotrzebnymi kosztami administracyjnymi związanymi z ich wdrożeniem, a ponadto zaprzepaszczą kilka dekad doświadczenia w projektowaniu i wdrażaniu wsparcia zdobytego przez administrację publiczną w państwach członkowskich UE, a także wiedzę uzyskaną w tym okresie przez beneficjentów programów wsparcia.</w:t>
      </w:r>
    </w:p>
    <w:p w:rsidR="00331983" w:rsidRDefault="00331983" w14:paraId="39D84273" w14:textId="3879FA7D">
      <w:pPr>
        <w:pStyle w:val="druk-stanard"/>
        <w:rPr>
          <w:color w:val="000080"/>
        </w:rPr>
      </w:pPr>
    </w:p>
    <w:p w:rsidR="00331983" w:rsidRDefault="00331983" w14:paraId="325055ED" w14:textId="12B4FA80">
      <w:pPr>
        <w:pStyle w:val="druk-stanard"/>
        <w:rPr>
          <w:color w:val="000080"/>
        </w:rPr>
      </w:pPr>
    </w:p>
    <w:p w:rsidR="009D4356" w:rsidRDefault="009D4356" w14:paraId="43FABD1E" w14:textId="0535FFB8">
      <w:pPr>
        <w:pStyle w:val="druk-stanard"/>
        <w:rPr>
          <w:color w:val="000080"/>
        </w:rPr>
      </w:pPr>
    </w:p>
    <w:p w:rsidR="009D4356" w:rsidRDefault="009D4356" w14:paraId="039FE4D4" w14:textId="281A4839">
      <w:pPr>
        <w:pStyle w:val="druk-stanard"/>
        <w:rPr>
          <w:color w:val="000080"/>
        </w:rPr>
      </w:pPr>
    </w:p>
    <w:p w:rsidR="009D4356" w:rsidRDefault="009D4356" w14:paraId="135176D2" w14:textId="77777777">
      <w:pPr>
        <w:pStyle w:val="druk-stanard"/>
        <w:rPr>
          <w:color w:val="000080"/>
        </w:rPr>
      </w:pPr>
    </w:p>
    <w:p w:rsidR="00331983" w:rsidRDefault="00331983" w14:paraId="62C0A1BD" w14:textId="1309C347">
      <w:pPr>
        <w:pStyle w:val="druk-stanard"/>
        <w:rPr>
          <w:color w:val="000080"/>
        </w:rPr>
      </w:pPr>
    </w:p>
    <w:p w:rsidR="00331983" w:rsidRDefault="00331983" w14:paraId="0E793781" w14:textId="5B531864">
      <w:pPr>
        <w:pStyle w:val="druk-stanard"/>
        <w:rPr>
          <w:color w:val="000080"/>
        </w:rPr>
      </w:pPr>
    </w:p>
    <w:p w:rsidR="00331983" w:rsidRDefault="00331983" w14:paraId="1DDBADF0" w14:textId="0FACA276">
      <w:pPr>
        <w:pStyle w:val="druk-stanard"/>
        <w:rPr>
          <w:color w:val="000080"/>
        </w:rPr>
      </w:pPr>
    </w:p>
    <w:p w:rsidR="00331983" w:rsidRDefault="00331983" w14:paraId="6CE14D46" w14:textId="1A5E706A">
      <w:pPr>
        <w:pStyle w:val="druk-stanard"/>
        <w:rPr>
          <w:color w:val="000080"/>
        </w:rPr>
      </w:pPr>
    </w:p>
    <w:p w:rsidR="00331983" w:rsidRDefault="00331983" w14:paraId="340B6142" w14:textId="339EF725">
      <w:pPr>
        <w:pStyle w:val="druk-stanard"/>
        <w:rPr>
          <w:color w:val="000080"/>
        </w:rPr>
      </w:pPr>
    </w:p>
    <w:p w:rsidR="00331983" w:rsidRDefault="00331983" w14:paraId="747C1BEF" w14:textId="58488354">
      <w:pPr>
        <w:pStyle w:val="druk-stanard"/>
        <w:rPr>
          <w:color w:val="000080"/>
        </w:rPr>
      </w:pPr>
    </w:p>
    <w:p w:rsidR="00331983" w:rsidRDefault="00331983" w14:paraId="70E30FBE" w14:textId="37480E09">
      <w:pPr>
        <w:pStyle w:val="druk-stanard"/>
        <w:rPr>
          <w:color w:val="000080"/>
        </w:rPr>
      </w:pPr>
    </w:p>
    <w:p w:rsidR="009D4356" w:rsidRDefault="009D4356" w14:paraId="624F4E80" w14:textId="77777777">
      <w:pPr>
        <w:pStyle w:val="druk-stanard"/>
        <w:rPr>
          <w:color w:val="000080"/>
        </w:rPr>
      </w:pPr>
    </w:p>
    <w:p w:rsidR="00331983" w:rsidRDefault="00331983" w14:paraId="1736D63B" w14:textId="2DC54ED5">
      <w:pPr>
        <w:pStyle w:val="druk-stanard"/>
        <w:rPr>
          <w:color w:val="000080"/>
        </w:rPr>
      </w:pPr>
    </w:p>
    <w:p w:rsidR="00331983" w:rsidRDefault="00331983" w14:paraId="056DFA1B" w14:textId="67207E2D">
      <w:pPr>
        <w:pStyle w:val="druk-stanard"/>
        <w:rPr>
          <w:color w:val="000080"/>
        </w:rPr>
      </w:pPr>
    </w:p>
    <w:p w:rsidR="00331983" w:rsidRDefault="00331983" w14:paraId="6495702B" w14:textId="53FD0A12">
      <w:pPr>
        <w:pStyle w:val="druk-stanard"/>
        <w:rPr>
          <w:color w:val="000080"/>
        </w:rPr>
      </w:pPr>
    </w:p>
    <w:p w:rsidR="00331983" w:rsidRDefault="00331983" w14:paraId="2D783652" w14:textId="77C8C333">
      <w:pPr>
        <w:pStyle w:val="druk-stanard"/>
        <w:rPr>
          <w:color w:val="000080"/>
        </w:rPr>
      </w:pPr>
    </w:p>
    <w:p w:rsidR="00331983" w:rsidRDefault="00331983" w14:paraId="6BF56C71" w14:textId="17837F89">
      <w:pPr>
        <w:pStyle w:val="druk-stanard"/>
        <w:rPr>
          <w:color w:val="000080"/>
        </w:rPr>
      </w:pPr>
    </w:p>
    <w:p w:rsidR="009D4356" w:rsidRDefault="009D4356" w14:paraId="2AC067FD" w14:textId="326217BF">
      <w:pPr>
        <w:pStyle w:val="druk-stanard"/>
        <w:rPr>
          <w:color w:val="000080"/>
        </w:rPr>
      </w:pPr>
    </w:p>
    <w:p w:rsidR="009D4356" w:rsidRDefault="009D4356" w14:paraId="7835D51F" w14:textId="443E0531">
      <w:pPr>
        <w:pStyle w:val="druk-stanard"/>
        <w:rPr>
          <w:color w:val="000080"/>
        </w:rPr>
      </w:pPr>
    </w:p>
    <w:p w:rsidR="009D4356" w:rsidRDefault="009D4356" w14:paraId="1A59F741" w14:textId="086F32E9">
      <w:pPr>
        <w:pStyle w:val="druk-stanard"/>
        <w:rPr>
          <w:color w:val="000080"/>
        </w:rPr>
      </w:pPr>
    </w:p>
    <w:p w:rsidR="009D4356" w:rsidRDefault="009D4356" w14:paraId="2D00D443" w14:textId="13DBC9FC">
      <w:pPr>
        <w:pStyle w:val="druk-stanard"/>
        <w:rPr>
          <w:color w:val="000080"/>
        </w:rPr>
      </w:pPr>
    </w:p>
    <w:p w:rsidR="009D4356" w:rsidRDefault="009D4356" w14:paraId="71E09280" w14:textId="4F611D0E">
      <w:pPr>
        <w:pStyle w:val="druk-stanard"/>
        <w:rPr>
          <w:color w:val="000080"/>
        </w:rPr>
      </w:pPr>
    </w:p>
    <w:p w:rsidR="009D4356" w:rsidRDefault="009D4356" w14:paraId="5BA472EF" w14:textId="4EDA144A">
      <w:pPr>
        <w:pStyle w:val="druk-stanard"/>
        <w:rPr>
          <w:color w:val="000080"/>
        </w:rPr>
      </w:pPr>
    </w:p>
    <w:p w:rsidR="009D4356" w:rsidRDefault="009D4356" w14:paraId="1F493014" w14:textId="55C636E5">
      <w:pPr>
        <w:pStyle w:val="druk-stanard"/>
        <w:rPr>
          <w:color w:val="000080"/>
        </w:rPr>
      </w:pPr>
    </w:p>
    <w:p w:rsidR="009D4356" w:rsidRDefault="009D4356" w14:paraId="3034E1E8" w14:textId="77777777">
      <w:pPr>
        <w:pStyle w:val="druk-stanard"/>
        <w:rPr>
          <w:color w:val="000080"/>
        </w:rPr>
      </w:pPr>
    </w:p>
    <w:p w:rsidR="00331983" w:rsidRDefault="00331983" w14:paraId="6D573FF2" w14:textId="473D1EA6">
      <w:pPr>
        <w:pStyle w:val="druk-stanard"/>
        <w:rPr>
          <w:color w:val="000080"/>
        </w:rPr>
      </w:pPr>
    </w:p>
    <w:p w:rsidR="00331983" w:rsidRDefault="00331983" w14:paraId="0ECDAA56" w14:textId="030C6B87">
      <w:pPr>
        <w:pStyle w:val="druk-stanard"/>
        <w:rPr>
          <w:color w:val="000080"/>
        </w:rPr>
      </w:pPr>
    </w:p>
    <w:p w:rsidR="00331983" w:rsidRDefault="00331983" w14:paraId="0E85DC0F" w14:textId="4057DFE7">
      <w:pPr>
        <w:pStyle w:val="druk-stanard"/>
        <w:rPr>
          <w:color w:val="000080"/>
        </w:rPr>
      </w:pPr>
    </w:p>
    <w:p w:rsidR="00331983" w:rsidRDefault="00331983" w14:paraId="06357118" w14:textId="77777777">
      <w:pPr>
        <w:pStyle w:val="druk-stanard"/>
        <w:rPr>
          <w:color w:val="000080"/>
        </w:rPr>
      </w:pPr>
    </w:p>
    <w:p w:rsidRPr="002345E3" w:rsidR="00EC4569" w:rsidRDefault="00EC4569" w14:paraId="3583C132" w14:textId="77777777">
      <w:pPr>
        <w:pStyle w:val="d-tocz1"/>
        <w:rPr>
          <w:lang w:val="pt-PT"/>
        </w:rPr>
      </w:pPr>
      <w:r w:rsidRPr="002345E3">
        <w:rPr>
          <w:lang w:val="pt-PT"/>
        </w:rPr>
        <w:t>..........................................................................................................................................................</w:t>
      </w:r>
    </w:p>
    <w:p w:rsidRPr="002345E3" w:rsidR="00EC4569" w:rsidRDefault="00EC4569" w14:paraId="1A97772E" w14:textId="77777777">
      <w:pPr>
        <w:pStyle w:val="d-tocz2"/>
        <w:rPr>
          <w:color w:val="000000"/>
          <w:lang w:val="pt-PT"/>
        </w:rPr>
      </w:pPr>
      <w:r w:rsidRPr="002345E3">
        <w:rPr>
          <w:color w:val="000000"/>
          <w:lang w:val="pt-PT"/>
        </w:rPr>
        <w:t xml:space="preserve">T ł o c z o n o   z   p o l e c e n i a   M a r s z a ł k a   S e </w:t>
      </w:r>
      <w:proofErr w:type="gramStart"/>
      <w:r w:rsidRPr="002345E3">
        <w:rPr>
          <w:color w:val="000000"/>
          <w:lang w:val="pt-PT"/>
        </w:rPr>
        <w:t>n a</w:t>
      </w:r>
      <w:proofErr w:type="gramEnd"/>
      <w:r w:rsidRPr="002345E3">
        <w:rPr>
          <w:color w:val="000000"/>
          <w:lang w:val="pt-PT"/>
        </w:rPr>
        <w:t xml:space="preserve"> t u</w:t>
      </w:r>
    </w:p>
    <w:p w:rsidRPr="00CF4AAF" w:rsidR="005D5DA7" w:rsidRDefault="00EC4569" w14:paraId="3FC3D549" w14:textId="6C4EEA0D">
      <w:pPr>
        <w:pStyle w:val="druk-stanard"/>
        <w:rPr>
          <w:color w:val="000000"/>
          <w:lang w:val="en-US"/>
        </w:rPr>
      </w:pPr>
      <w:r w:rsidRPr="00CF4AAF">
        <w:rPr>
          <w:color w:val="000000"/>
          <w:lang w:val="en-US"/>
        </w:rPr>
        <w:t>..........................................................................................................................................................</w:t>
      </w:r>
    </w:p>
    <w:p w:rsidRPr="00CF4AAF" w:rsidR="005D5DA7" w:rsidRDefault="005D5DA7" w14:paraId="2A75D382" w14:textId="0511BAFE">
      <w:pPr>
        <w:rPr>
          <w:color w:val="000000"/>
          <w:lang w:val="en-US"/>
        </w:rPr>
      </w:pPr>
    </w:p>
    <w:p w:rsidRPr="00957573" w:rsidR="005D5DA7" w:rsidP="005D5DA7" w:rsidRDefault="005D5DA7" w14:paraId="7139E448" w14:textId="77777777">
      <w:pPr>
        <w:ind w:left="708" w:firstLine="708"/>
        <w:jc w:val="right"/>
        <w:rPr>
          <w:b/>
          <w:i/>
          <w:iCs/>
          <w:lang w:val="en-US"/>
        </w:rPr>
      </w:pPr>
      <w:r>
        <w:rPr>
          <w:b/>
          <w:bCs/>
        </w:rPr>
        <w:tab/>
      </w:r>
      <w:r>
        <w:rPr>
          <w:b/>
          <w:bCs/>
        </w:rPr>
        <w:tab/>
      </w:r>
      <w:r>
        <w:rPr>
          <w:b/>
          <w:bCs/>
        </w:rPr>
        <w:tab/>
      </w:r>
      <w:r>
        <w:rPr>
          <w:b/>
          <w:bCs/>
        </w:rPr>
        <w:tab/>
      </w:r>
      <w:r>
        <w:rPr>
          <w:b/>
          <w:bCs/>
        </w:rPr>
        <w:tab/>
      </w:r>
      <w:r>
        <w:rPr>
          <w:b/>
          <w:bCs/>
        </w:rPr>
        <w:tab/>
      </w:r>
      <w:r w:rsidRPr="00957573">
        <w:rPr>
          <w:b/>
          <w:i/>
          <w:iCs/>
          <w:lang w:val="en-US"/>
        </w:rPr>
        <w:t>Courtesy translation</w:t>
      </w:r>
      <w:r w:rsidRPr="00094588">
        <w:rPr>
          <w:b/>
          <w:bCs/>
          <w:i/>
          <w:iCs/>
        </w:rPr>
        <w:tab/>
      </w:r>
      <w:r w:rsidRPr="00094588">
        <w:rPr>
          <w:b/>
          <w:bCs/>
          <w:i/>
          <w:iCs/>
        </w:rPr>
        <w:tab/>
      </w:r>
      <w:r w:rsidRPr="00094588">
        <w:rPr>
          <w:b/>
          <w:bCs/>
          <w:i/>
          <w:iCs/>
        </w:rPr>
        <w:tab/>
      </w:r>
    </w:p>
    <w:p w:rsidRPr="00957573" w:rsidR="005D5DA7" w:rsidP="005D5DA7" w:rsidRDefault="005D5DA7" w14:paraId="54F78FF9" w14:textId="77777777">
      <w:pPr>
        <w:rPr>
          <w:b/>
          <w:lang w:val="en-US"/>
        </w:rPr>
      </w:pPr>
    </w:p>
    <w:p w:rsidR="005D5DA7" w:rsidP="005D5DA7" w:rsidRDefault="005D5DA7" w14:paraId="385B1A00" w14:textId="77777777">
      <w:pPr>
        <w:jc w:val="center"/>
        <w:rPr>
          <w:b/>
          <w:bCs/>
        </w:rPr>
      </w:pPr>
    </w:p>
    <w:p w:rsidRPr="00957573" w:rsidR="005D5DA7" w:rsidP="005D5DA7" w:rsidRDefault="005D5DA7" w14:paraId="1A0143F9" w14:textId="77777777">
      <w:pPr>
        <w:jc w:val="center"/>
        <w:rPr>
          <w:b/>
          <w:lang w:val="en-US"/>
        </w:rPr>
      </w:pPr>
      <w:r>
        <w:rPr>
          <w:b/>
          <w:bCs/>
        </w:rPr>
        <w:t>Opinion</w:t>
      </w:r>
    </w:p>
    <w:p w:rsidRPr="00957573" w:rsidR="005D5DA7" w:rsidP="005D5DA7" w:rsidRDefault="005D5DA7" w14:paraId="3D99765B" w14:textId="6B681555">
      <w:pPr>
        <w:jc w:val="center"/>
        <w:rPr>
          <w:b/>
          <w:lang w:val="en-US"/>
        </w:rPr>
      </w:pPr>
      <w:r>
        <w:rPr>
          <w:b/>
          <w:bCs/>
        </w:rPr>
        <w:t>of the European Union Affairs Committee of the Senate of the Republic of Poland</w:t>
      </w:r>
    </w:p>
    <w:p w:rsidRPr="00957573" w:rsidR="005D5DA7" w:rsidP="005D5DA7" w:rsidRDefault="005D5DA7" w14:paraId="435E652A" w14:textId="77777777">
      <w:pPr>
        <w:jc w:val="center"/>
        <w:rPr>
          <w:b/>
          <w:lang w:val="en-US"/>
        </w:rPr>
      </w:pPr>
      <w:r>
        <w:rPr>
          <w:b/>
          <w:bCs/>
        </w:rPr>
        <w:t xml:space="preserve">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w:t>
      </w:r>
    </w:p>
    <w:p w:rsidRPr="00957573" w:rsidR="005D5DA7" w:rsidP="005D5DA7" w:rsidRDefault="005D5DA7" w14:paraId="175BC983" w14:textId="77777777">
      <w:pPr>
        <w:jc w:val="center"/>
        <w:rPr>
          <w:b/>
          <w:lang w:val="en-US"/>
        </w:rPr>
      </w:pPr>
      <w:r>
        <w:rPr>
          <w:b/>
          <w:bCs/>
        </w:rPr>
        <w:t>(EU, Euratom) 2024/2509</w:t>
      </w:r>
    </w:p>
    <w:p w:rsidRPr="00957573" w:rsidR="005D5DA7" w:rsidP="005D5DA7" w:rsidRDefault="005D5DA7" w14:paraId="374E647B" w14:textId="77777777">
      <w:pPr>
        <w:jc w:val="center"/>
        <w:rPr>
          <w:b/>
          <w:lang w:val="en-US"/>
        </w:rPr>
      </w:pPr>
      <w:proofErr w:type="gramStart"/>
      <w:r>
        <w:rPr>
          <w:b/>
          <w:bCs/>
        </w:rPr>
        <w:t>COM(</w:t>
      </w:r>
      <w:proofErr w:type="gramEnd"/>
      <w:r>
        <w:rPr>
          <w:b/>
          <w:bCs/>
        </w:rPr>
        <w:t>2025)565</w:t>
      </w:r>
    </w:p>
    <w:p w:rsidRPr="00957573" w:rsidR="005D5DA7" w:rsidP="005D5DA7" w:rsidRDefault="005D5DA7" w14:paraId="55719DDF" w14:textId="77777777">
      <w:pPr>
        <w:adjustRightInd w:val="0"/>
        <w:jc w:val="center"/>
        <w:rPr>
          <w:b/>
          <w:lang w:val="en-US"/>
        </w:rPr>
      </w:pPr>
    </w:p>
    <w:p w:rsidRPr="00957573" w:rsidR="005D5DA7" w:rsidP="005D5DA7" w:rsidRDefault="005D5DA7" w14:paraId="02C25007" w14:textId="77777777">
      <w:pPr>
        <w:spacing w:before="120"/>
        <w:jc w:val="center"/>
        <w:rPr>
          <w:b/>
          <w:lang w:val="en-US"/>
        </w:rPr>
      </w:pPr>
      <w:r>
        <w:rPr>
          <w:b/>
          <w:bCs/>
        </w:rPr>
        <w:t>adopted at the meeting of 17 December 2025</w:t>
      </w:r>
    </w:p>
    <w:p w:rsidRPr="00957573" w:rsidR="005D5DA7" w:rsidP="005D5DA7" w:rsidRDefault="005D5DA7" w14:paraId="7384D21D" w14:textId="77777777">
      <w:pPr>
        <w:rPr>
          <w:lang w:val="en-US"/>
        </w:rPr>
      </w:pPr>
    </w:p>
    <w:p w:rsidRPr="00957573" w:rsidR="005D5DA7" w:rsidP="005D5DA7" w:rsidRDefault="005D5DA7" w14:paraId="497D9DDF" w14:textId="77777777">
      <w:pPr>
        <w:rPr>
          <w:lang w:val="en-US"/>
        </w:rPr>
      </w:pPr>
    </w:p>
    <w:p w:rsidRPr="00957573" w:rsidR="005D5DA7" w:rsidP="005D5DA7" w:rsidRDefault="005D5DA7" w14:paraId="731E3DD0" w14:textId="77777777">
      <w:pPr>
        <w:rPr>
          <w:lang w:val="en-US"/>
        </w:rPr>
      </w:pPr>
    </w:p>
    <w:p w:rsidRPr="00957573" w:rsidR="005D5DA7" w:rsidP="005D5DA7" w:rsidRDefault="005D5DA7" w14:paraId="6A36518A" w14:textId="77777777">
      <w:pPr>
        <w:numPr>
          <w:ilvl w:val="0"/>
          <w:numId w:val="3"/>
        </w:numPr>
        <w:spacing w:line="360" w:lineRule="auto"/>
        <w:jc w:val="both"/>
        <w:rPr>
          <w:iCs/>
          <w:szCs w:val="24"/>
          <w:lang w:val="en-US"/>
        </w:rPr>
      </w:pPr>
      <w:r>
        <w:rPr>
          <w:szCs w:val="24"/>
        </w:rPr>
        <w:t>The European Union Affairs Committee of the Senate of the Republic of Poland (EUAC) expresses doubts regarding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(COM(2025)565).</w:t>
      </w:r>
    </w:p>
    <w:p w:rsidRPr="00957573" w:rsidR="005D5DA7" w:rsidP="005D5DA7" w:rsidRDefault="005D5DA7" w14:paraId="40E31A70" w14:textId="77777777">
      <w:pPr>
        <w:numPr>
          <w:ilvl w:val="0"/>
          <w:numId w:val="3"/>
        </w:numPr>
        <w:spacing w:line="360" w:lineRule="auto"/>
        <w:jc w:val="both"/>
        <w:rPr>
          <w:iCs/>
          <w:szCs w:val="24"/>
          <w:lang w:val="en-US"/>
        </w:rPr>
      </w:pPr>
      <w:r>
        <w:rPr>
          <w:szCs w:val="24"/>
        </w:rPr>
        <w:t>In the opinion of the EUAC, although the proposed size of the budget for the next Multiannual Financial Framework, of which Poland is the most important beneficiary, is a good basis for further work, the proposal presented by the European Commission to establish a single fund combining several existing funds should be significantly improved in order to better serve the design and implementation of support.</w:t>
      </w:r>
    </w:p>
    <w:p w:rsidRPr="00957573" w:rsidR="005D5DA7" w:rsidP="005D5DA7" w:rsidRDefault="005D5DA7" w14:paraId="637A0577" w14:textId="77777777">
      <w:pPr>
        <w:numPr>
          <w:ilvl w:val="0"/>
          <w:numId w:val="3"/>
        </w:numPr>
        <w:spacing w:line="360" w:lineRule="auto"/>
        <w:jc w:val="both"/>
        <w:rPr>
          <w:iCs/>
          <w:szCs w:val="24"/>
          <w:lang w:val="en-US"/>
        </w:rPr>
      </w:pPr>
      <w:r>
        <w:rPr>
          <w:szCs w:val="24"/>
        </w:rPr>
        <w:t>The EUAC expresses doubts about the combining of various funds into a single fund due to concerns about the ability of smaller entities engaged in specific activities to obtain support, as they will have to compete for support and assistance with stronger entities.</w:t>
      </w:r>
    </w:p>
    <w:p w:rsidRPr="00957573" w:rsidR="005D5DA7" w:rsidP="005D5DA7" w:rsidRDefault="005D5DA7" w14:paraId="5B308AB5" w14:textId="77777777">
      <w:pPr>
        <w:numPr>
          <w:ilvl w:val="0"/>
          <w:numId w:val="3"/>
        </w:numPr>
        <w:spacing w:line="360" w:lineRule="auto"/>
        <w:jc w:val="both"/>
        <w:rPr>
          <w:iCs/>
          <w:szCs w:val="24"/>
          <w:lang w:val="en-US"/>
        </w:rPr>
      </w:pPr>
      <w:r>
        <w:rPr>
          <w:rFonts w:ascii="TimesNewRoman" w:hAnsi="TimesNewRoman" w:cs="TimesNewRoman"/>
          <w:szCs w:val="24"/>
        </w:rPr>
        <w:t xml:space="preserve">The EUAC believes that the proposed solutions on the allocation of tasks related to designing and implementing support will limit the role of regions, which to date have been a fundamental part of cohesion policy. Such a change will not contribute to bringing the European Union closer to its citizens. </w:t>
      </w:r>
    </w:p>
    <w:p w:rsidRPr="00957573" w:rsidR="005D5DA7" w:rsidP="005D5DA7" w:rsidRDefault="005D5DA7" w14:paraId="704631D8" w14:textId="77777777">
      <w:pPr>
        <w:numPr>
          <w:ilvl w:val="0"/>
          <w:numId w:val="3"/>
        </w:numPr>
        <w:spacing w:line="360" w:lineRule="auto"/>
        <w:jc w:val="both"/>
        <w:rPr>
          <w:iCs/>
          <w:szCs w:val="24"/>
          <w:lang w:val="en-US"/>
        </w:rPr>
      </w:pPr>
      <w:r>
        <w:rPr>
          <w:rFonts w:ascii="TimesNewRoman" w:hAnsi="TimesNewRoman" w:cs="TimesNewRoman"/>
          <w:szCs w:val="24"/>
        </w:rPr>
        <w:t xml:space="preserve">In the assessment of the EUAC, depriving EU regions of a broad influence over the programming of expenditure from the funds in the new financial perspective is contrary to the fundamental principles of the Union – </w:t>
      </w:r>
      <w:proofErr w:type="gramStart"/>
      <w:r>
        <w:rPr>
          <w:rFonts w:ascii="TimesNewRoman" w:hAnsi="TimesNewRoman" w:cs="TimesNewRoman"/>
          <w:szCs w:val="24"/>
        </w:rPr>
        <w:t>in particular,</w:t>
      </w:r>
      <w:proofErr w:type="gramEnd"/>
      <w:r>
        <w:rPr>
          <w:rFonts w:ascii="TimesNewRoman" w:hAnsi="TimesNewRoman" w:cs="TimesNewRoman"/>
          <w:szCs w:val="24"/>
        </w:rPr>
        <w:t xml:space="preserve"> the principle of subsidiarity, which applies not only in the relationship between the Union and the Member States but also between central </w:t>
      </w:r>
      <w:r>
        <w:rPr>
          <w:rFonts w:ascii="TimesNewRoman" w:hAnsi="TimesNewRoman" w:cs="TimesNewRoman"/>
          <w:szCs w:val="24"/>
        </w:rPr>
        <w:lastRenderedPageBreak/>
        <w:t xml:space="preserve">authorities and regions. In this respect, the subsidiarity principle is also a constitutional principle of the Republic of Poland, according to which central authorities should not impose solutions on local authorities. The centralised programming of funds proposed by the European Commission is contrary to this principle. </w:t>
      </w:r>
    </w:p>
    <w:p w:rsidRPr="00957573" w:rsidR="005D5DA7" w:rsidP="005D5DA7" w:rsidRDefault="005D5DA7" w14:paraId="4FF3217B" w14:textId="77777777">
      <w:pPr>
        <w:numPr>
          <w:ilvl w:val="0"/>
          <w:numId w:val="3"/>
        </w:numPr>
        <w:spacing w:line="360" w:lineRule="auto"/>
        <w:jc w:val="both"/>
        <w:rPr>
          <w:iCs/>
          <w:szCs w:val="24"/>
          <w:lang w:val="en-US"/>
        </w:rPr>
      </w:pPr>
      <w:r>
        <w:rPr>
          <w:rFonts w:ascii="TimesNewRoman" w:hAnsi="TimesNewRoman" w:cs="TimesNewRoman"/>
          <w:szCs w:val="24"/>
        </w:rPr>
        <w:t>Furthermore, the EUAC considers that the change proposed by the European Commission is incompatible with the spirit and objectives of the European Charter of Local Self-Government, to which all Member States are parties and in accordance with which as many powers as possible should be exercised by local authorities.</w:t>
      </w:r>
    </w:p>
    <w:p w:rsidRPr="00957573" w:rsidR="005D5DA7" w:rsidP="005D5DA7" w:rsidRDefault="005D5DA7" w14:paraId="3D5848D2" w14:textId="77777777">
      <w:pPr>
        <w:numPr>
          <w:ilvl w:val="0"/>
          <w:numId w:val="3"/>
        </w:numPr>
        <w:spacing w:line="360" w:lineRule="auto"/>
        <w:jc w:val="both"/>
        <w:rPr>
          <w:iCs/>
          <w:szCs w:val="24"/>
          <w:lang w:val="en-US"/>
        </w:rPr>
      </w:pPr>
      <w:r>
        <w:rPr>
          <w:szCs w:val="24"/>
        </w:rPr>
        <w:t xml:space="preserve">According to </w:t>
      </w:r>
      <w:proofErr w:type="gramStart"/>
      <w:r>
        <w:rPr>
          <w:szCs w:val="24"/>
        </w:rPr>
        <w:t>the  EUAC</w:t>
      </w:r>
      <w:proofErr w:type="gramEnd"/>
      <w:r>
        <w:rPr>
          <w:szCs w:val="24"/>
        </w:rPr>
        <w:t>, the proposed solutions  will result in unnecessary administrative costs related to their implementation and, moreover, will jeopardise several decades of experience in the design and implementation of support gained by public administrations in the Member States of the EU, as well as the knowledge acquired during that period by beneficiaries of support programmes.</w:t>
      </w:r>
    </w:p>
    <w:p w:rsidRPr="00957573" w:rsidR="005D5DA7" w:rsidP="005D5DA7" w:rsidRDefault="005D5DA7" w14:paraId="7EEE71A8" w14:textId="77777777">
      <w:pPr>
        <w:pStyle w:val="druk-stanard"/>
        <w:rPr>
          <w:i/>
          <w:color w:val="000080"/>
          <w:szCs w:val="24"/>
          <w:lang w:val="en-US"/>
        </w:rPr>
      </w:pPr>
    </w:p>
    <w:p w:rsidRPr="005D5DA7" w:rsidR="00EC4569" w:rsidRDefault="00EC4569" w14:paraId="1759D50C" w14:textId="77777777">
      <w:pPr>
        <w:pStyle w:val="druk-stanard"/>
        <w:rPr>
          <w:color w:val="000000"/>
          <w:lang w:val="en-US"/>
        </w:rPr>
      </w:pPr>
    </w:p>
    <w:sectPr w:rsidRPr="005D5DA7" w:rsidR="00EC4569" w:rsidSect="00C725F7">
      <w:footerReference w:type="even" r:id="R5f95cef600ea48c4"/>
      <w:footerReference w:type="first" r:id="R0b7b25cb737f44d2"/>
      <w:headerReference w:type="even" r:id="Re7fa6a8f243c4223"/>
      <w:headerReference w:type="first" r:id="R38c60dd5c85c4cc5"/>
      <w:headerReference w:type="default" r:id="R978c8d3892d94358"/>
      <w:pgSz w:w="11907" w:h="16839" w:code="9"/>
      <w:pgMar w:top="1134" w:right="1134" w:bottom="1134" w:left="1134" w:header="567"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7" w:usb1="00000000" w:usb2="00000000" w:usb3="00000000" w:csb0="00000003"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5104</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5104</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5F7" w:rsidRDefault="00C725F7" w14:paraId="0A90D0C4"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5104</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5104</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5F7" w:rsidRDefault="00C725F7" w14:paraId="0A90D0C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C725F7" w:rsidTr="00C725F7" w14:paraId="7ABA0465" w14:textId="77777777">
      <w:trPr>
        <w:jc w:val="center"/>
      </w:trPr>
      <w:tc>
        <w:tcPr>
          <w:tcW w:w="5000" w:type="pct"/>
          <w:gridSpan w:val="7"/>
          <w:shd w:val="clear" w:color="auto" w:fill="auto"/>
          <w:tcMar>
            <w:top w:w="57" w:type="dxa"/>
          </w:tcMar>
        </w:tcPr>
        <w:p w:rsidRPr="00D94637" w:rsidR="00C725F7" w:rsidP="00D94637" w:rsidRDefault="00C725F7" w14:paraId="7793C358" w14:textId="77777777">
          <w:pPr>
            <w:pStyle w:val="FooterText"/>
            <w:pBdr>
              <w:top w:val="single" w:color="auto" w:sz="4" w:space="1"/>
            </w:pBdr>
            <w:spacing w:before="200"/>
            <w:rPr>
              <w:sz w:val="2"/>
              <w:szCs w:val="2"/>
            </w:rPr>
          </w:pPr>
        </w:p>
      </w:tc>
    </w:tr>
    <w:tr w:rsidRPr="00B310DC" w:rsidR="00C725F7" w:rsidTr="00C725F7" w14:paraId="3E873C38" w14:textId="77777777">
      <w:trPr>
        <w:jc w:val="center"/>
      </w:trPr>
      <w:tc>
        <w:tcPr>
          <w:tcW w:w="2500" w:type="pct"/>
          <w:gridSpan w:val="2"/>
          <w:shd w:val="clear" w:color="auto" w:fill="auto"/>
          <w:tcMar>
            <w:top w:w="0" w:type="dxa"/>
          </w:tcMar>
        </w:tcPr>
        <w:p w:rsidRPr="00AD7BF2" w:rsidR="00C725F7" w:rsidP="004F54B2" w:rsidRDefault="00C725F7" w14:paraId="4D479997" w14:textId="79220AB4">
          <w:pPr>
            <w:pStyle w:val="FooterText"/>
          </w:pPr>
          <w:r>
            <w:t>5104/26</w:t>
          </w:r>
          <w:r w:rsidRPr="002511D8">
            <w:t xml:space="preserve"> </w:t>
          </w:r>
        </w:p>
      </w:tc>
      <w:tc>
        <w:tcPr>
          <w:tcW w:w="625" w:type="pct"/>
          <w:shd w:val="clear" w:color="auto" w:fill="auto"/>
          <w:tcMar>
            <w:top w:w="0" w:type="dxa"/>
          </w:tcMar>
        </w:tcPr>
        <w:p w:rsidRPr="00AD7BF2" w:rsidR="00C725F7" w:rsidP="00D94637" w:rsidRDefault="00C725F7" w14:paraId="4EDC1C48" w14:textId="77777777">
          <w:pPr>
            <w:pStyle w:val="FooterText"/>
            <w:jc w:val="center"/>
          </w:pPr>
        </w:p>
      </w:tc>
      <w:tc>
        <w:tcPr>
          <w:tcW w:w="1286" w:type="pct"/>
          <w:gridSpan w:val="3"/>
          <w:shd w:val="clear" w:color="auto" w:fill="auto"/>
          <w:tcMar>
            <w:top w:w="0" w:type="dxa"/>
          </w:tcMar>
        </w:tcPr>
        <w:p w:rsidRPr="002511D8" w:rsidR="00C725F7" w:rsidP="00D94637" w:rsidRDefault="00C725F7" w14:paraId="6D35DB9B" w14:textId="77777777">
          <w:pPr>
            <w:pStyle w:val="FooterText"/>
            <w:jc w:val="center"/>
          </w:pPr>
        </w:p>
      </w:tc>
      <w:tc>
        <w:tcPr>
          <w:tcW w:w="589" w:type="pct"/>
          <w:shd w:val="clear" w:color="auto" w:fill="auto"/>
          <w:tcMar>
            <w:top w:w="0" w:type="dxa"/>
          </w:tcMar>
        </w:tcPr>
        <w:p w:rsidRPr="00B310DC" w:rsidR="00C725F7" w:rsidP="00D94637" w:rsidRDefault="00C725F7" w14:paraId="4636C743" w14:textId="76C00B6C">
          <w:pPr>
            <w:pStyle w:val="FooterText"/>
            <w:jc w:val="right"/>
          </w:pPr>
        </w:p>
      </w:tc>
    </w:tr>
    <w:tr w:rsidRPr="00D94637" w:rsidR="00C725F7" w:rsidTr="00C725F7" w14:paraId="7BEDE462" w14:textId="77777777">
      <w:trPr>
        <w:jc w:val="center"/>
      </w:trPr>
      <w:tc>
        <w:tcPr>
          <w:tcW w:w="1774" w:type="pct"/>
          <w:shd w:val="clear" w:color="auto" w:fill="auto"/>
        </w:tcPr>
        <w:p w:rsidRPr="00AD7BF2" w:rsidR="00C725F7" w:rsidP="00D94637" w:rsidRDefault="00C725F7" w14:paraId="651DF2E1" w14:textId="79B67127">
          <w:pPr>
            <w:pStyle w:val="FooterText"/>
            <w:spacing w:before="40"/>
          </w:pPr>
        </w:p>
      </w:tc>
      <w:tc>
        <w:tcPr>
          <w:tcW w:w="1455" w:type="pct"/>
          <w:gridSpan w:val="3"/>
          <w:shd w:val="clear" w:color="auto" w:fill="auto"/>
        </w:tcPr>
        <w:p w:rsidRPr="00AD7BF2" w:rsidR="00C725F7" w:rsidP="00D204D6" w:rsidRDefault="00C725F7" w14:paraId="48FB86F7" w14:textId="70A55DA9">
          <w:pPr>
            <w:pStyle w:val="FooterText"/>
            <w:spacing w:before="40"/>
            <w:jc w:val="center"/>
          </w:pPr>
          <w:r>
            <w:t>ECOFIN.2.A</w:t>
          </w:r>
        </w:p>
      </w:tc>
      <w:tc>
        <w:tcPr>
          <w:tcW w:w="742" w:type="pct"/>
          <w:shd w:val="clear" w:color="auto" w:fill="auto"/>
        </w:tcPr>
        <w:p w:rsidRPr="00D94637" w:rsidR="00C725F7" w:rsidP="002F0099" w:rsidRDefault="00C725F7" w14:paraId="74759AC7" w14:textId="0EFA78F6">
          <w:pPr>
            <w:pStyle w:val="FooterText"/>
            <w:jc w:val="center"/>
            <w:rPr>
              <w:b/>
              <w:position w:val="-4"/>
              <w:sz w:val="36"/>
            </w:rPr>
          </w:pPr>
        </w:p>
      </w:tc>
      <w:tc>
        <w:tcPr>
          <w:tcW w:w="1029" w:type="pct"/>
          <w:gridSpan w:val="2"/>
          <w:shd w:val="clear" w:color="auto" w:fill="auto"/>
        </w:tcPr>
        <w:p w:rsidRPr="00695BAF" w:rsidR="00C725F7" w:rsidP="00D94637" w:rsidRDefault="00C725F7" w14:paraId="5EBFB775" w14:textId="3C894720">
          <w:pPr>
            <w:pStyle w:val="FooterText"/>
            <w:jc w:val="right"/>
            <w:rPr>
              <w:caps/>
              <w:spacing w:val="-20"/>
              <w:sz w:val="16"/>
            </w:rPr>
          </w:pPr>
          <w:r>
            <w:rPr>
              <w:b/>
              <w:caps/>
              <w:spacing w:val="-20"/>
              <w:position w:val="-4"/>
              <w:sz w:val="36"/>
            </w:rPr>
            <w:t>EN‌/PL</w:t>
          </w:r>
        </w:p>
      </w:tc>
    </w:tr>
  </w:tbl>
  <w:p w:rsidRPr="00C725F7" w:rsidR="00C725F7" w:rsidP="00C725F7" w:rsidRDefault="00C725F7" w14:paraId="0C9A46D1"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460" w:rsidRDefault="00F53460" w14:paraId="0A64F8F8" w14:textId="77777777">
      <w:r>
        <w:separator/>
      </w:r>
    </w:p>
  </w:footnote>
  <w:footnote w:type="continuationSeparator" w:id="0">
    <w:p w:rsidR="00F53460" w:rsidRDefault="00F53460" w14:paraId="1FFC6D3F" w14:textId="77777777">
      <w:r>
        <w:continuationSeparator/>
      </w:r>
    </w:p>
  </w:footnote>
  <w:footnote w:id="2">
    <w:p w:rsidRPr="005D5DA7" w:rsidR="005D5DA7" w:rsidRDefault="005D5DA7" w14:paraId="32CA8DD1" w14:textId="79DDFA2F">
      <w:pPr>
        <w:pStyle w:val="FootnoteText"/>
        <w:rPr>
          <w:lang w:val="en-US"/>
        </w:rPr>
      </w:pPr>
      <w:r>
        <w:rPr>
          <w:rStyle w:val="FootnoteReference"/>
        </w:rPr>
        <w:footnoteRef/>
      </w:r>
      <w:r>
        <w:t xml:space="preserve"> </w:t>
      </w:r>
      <w:r>
        <w:rPr>
          <w:lang w:val="en-US"/>
        </w:rPr>
        <w:tab/>
        <w:t xml:space="preserve">The </w:t>
      </w:r>
      <w:r w:rsidRPr="005D5DA7">
        <w:rPr>
          <w:lang w:val="en-US"/>
        </w:rPr>
        <w:t xml:space="preserve">translation(s) of the opinion may be available on the Interparliamentary EU Information Exchange website </w:t>
      </w:r>
      <w:r>
        <w:rPr>
          <w:lang w:val="en-US"/>
        </w:rPr>
        <w:tab/>
      </w:r>
      <w:r w:rsidRPr="005D5DA7">
        <w:rPr>
          <w:lang w:val="en-US"/>
        </w:rPr>
        <w:t xml:space="preserve">(IPEX) at the following address: </w:t>
      </w:r>
      <w:hyperlink w:history="1" r:id="rId1">
        <w:r w:rsidRPr="005D5DA7">
          <w:rPr>
            <w:rStyle w:val="Hyperlink"/>
            <w:lang w:val="en-US"/>
          </w:rPr>
          <w:t>https://secure.ipex.eu/IPEXL-WEB/document/COM-2025-0565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5F7" w:rsidRDefault="00C725F7" w14:paraId="72AD13A4"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5F7" w:rsidRDefault="00C725F7" w14:paraId="72AD13A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725F7" w:rsidR="00C725F7" w:rsidP="00C725F7" w:rsidRDefault="00C725F7" w14:paraId="4B207BF4" w14:textId="2A019C1E">
    <w:pPr>
      <w:pStyle w:val="HeaderCouncil"/>
    </w:pPr>
    <w:r>
      <w:t>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109C61FD"/>
    <w:multiLevelType w:val="singleLevel"/>
    <w:tmpl w:val="C72A26A4"/>
    <w:lvl w:ilvl="0">
      <w:start w:val="1"/>
      <w:numFmt w:val="upperRoman"/>
      <w:pStyle w:val="Heading6"/>
      <w:lvlText w:val="%1."/>
      <w:lvlJc w:val="left"/>
      <w:pPr>
        <w:tabs>
          <w:tab w:val="num" w:pos="720"/>
        </w:tabs>
        <w:ind w:left="720" w:hanging="720"/>
      </w:pPr>
    </w:lvl>
  </w:abstractNum>
  <w:abstractNum xmlns:p16="http://schemas.microsoft.com/office/word/2012/wordml" w:abstractNumId="1" p16:restartNumberingAfterBreak="0">
    <w:nsid w:val="22D3293C"/>
    <w:multiLevelType w:val="hybridMultilevel"/>
    <w:tmpl w:val="40E60FEA"/>
    <w:lvl w:ilvl="0" w:tplc="0415000F">
      <w:start w:val="1"/>
      <w:numFmt w:val="decimal"/>
      <w:lvlText w:val="%1."/>
      <w:lvlJc w:val="left"/>
      <w:pPr>
        <w:ind w:left="501"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xmlns:p16="http://schemas.microsoft.com/office/word/2012/wordml" w:abstractNumId="2" p16:restartNumberingAfterBreak="0">
    <w:nsid w:val="144F5596"/>
    <w:multiLevelType w:val="hybridMultilevel"/>
    <w:tmpl w:val="40E60FEA"/>
    <w:lvl w:ilvl="0" w:tplc="FFFFFFFF">
      <w:start w:val="1"/>
      <w:numFmt w:val="decimal"/>
      <w:lvlText w:val="%1."/>
      <w:lvlJc w:val="left"/>
      <w:pPr>
        <w:ind w:left="501"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xmlns:w16cid="http://schemas.microsoft.com/office/word/2016/wordml/cid" w:numId="1">
    <w:abstractNumId w:val="0"/>
  </w:num>
  <w:num xmlns:p16="http://schemas.microsoft.com/office/word/2016/wordml/cid"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PL&quot; text=&quot;PL&quot; /&gt;&#13;&#10;    &lt;/basicdatatypelist&gt;&#13;&#10;  &lt;/metadata&gt;&#13;&#10;  &lt;metadata key=&quot;md_OriginalLanguages&quot;&gt;&#13;&#10;    &lt;basicdatatypelist&gt;&#13;&#10;      &lt;language key=&quot;EN&quot; text=&quot;EN&quot; /&gt;&#13;&#10;      &lt;language key=&quot;PL&quot; text=&quot;PL&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1-07&lt;/text&gt;&#13;&#10;  &lt;/metadata&gt;&#13;&#10;  &lt;metadata key=&quot;md_Prefix&quot;&gt;&#13;&#10;    &lt;text&gt;&lt;/text&gt;&#13;&#10;  &lt;/metadata&gt;&#13;&#10;  &lt;metadata key=&quot;md_DocumentNumber&quot;&gt;&#13;&#10;    &lt;text&gt;5104&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OH 5&lt;/text&gt;&#13;&#10;      &lt;text&gt;SOC 10&lt;/text&gt;&#13;&#10;      &lt;text&gt;AGRI 5&lt;/text&gt;&#13;&#10;      &lt;text&gt;AGRIFIN 3&lt;/text&gt;&#13;&#10;      &lt;text&gt;PECHE 14&lt;/text&gt;&#13;&#10;      &lt;text&gt;FIN 5&lt;/text&gt;&#13;&#10;      &lt;text&gt;JAI 19&lt;/text&gt;&#13;&#10;      &lt;text&gt;SAN 9&lt;/text&gt;&#13;&#10;      &lt;text&gt;CODEC 14&lt;/text&gt;&#13;&#10;      &lt;text&gt;CADREFIN 5&lt;/text&gt;&#13;&#10;      &lt;text&gt;POLGEN 5&lt;/text&gt;&#13;&#10;      &lt;text&gt;IA 5&lt;/text&gt;&#13;&#10;      &lt;text&gt;INST 3&lt;/text&gt;&#13;&#10;      &lt;text&gt;PARLNAT 3&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240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Polish Senate&quot;&gt;&amp;lt;FlowDocument xmlns=&quot;http://schemas.microsoft.com/winfx/2006/xaml/presentation&quot;&amp;gt;&amp;lt;Paragraph&amp;gt;The Polish Senate&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5-12-19&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11815/1/25 - COM(2025) 565 final] - Opinion on the application of the Principles of Subsidiarity and Proportionality&quot;&gt;&amp;lt;FlowDocument xmlns=&quot;http://schemas.microsoft.com/winfx/2006/xaml/presentation&quot;&amp;gt;&amp;lt;Paragraph&amp;g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amp;lt;/Paragraph&amp;gt;&amp;lt;Paragraph&amp;gt;[11815/1/25 - COM(2025) 565 final]&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ECOFIN.2.A&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baza1" w:val="KSUE11.nsf"/>
    <w:docVar w:name="CoverPageOnWordDoc" w:val="true"/>
    <w:docVar w:name="DW_TechnicalBlockHash" w:val="d04cbd7ef62806ed815addb22f2962c90aad0d716d4b253820a0584ed5451dec"/>
    <w:docVar w:name="linki" w:val="Nie"/>
    <w:docVar w:name="serwer1" w:val="CN=beu/O=senat"/>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imes New Roman" w:hAnsi="Times New Roman" w:eastAsia="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szCs w:val="22"/>
      <w:lang w:val="en-DE"/>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szCs w:val="22"/>
      <w:lang w:val="en-DE"/>
    </w:rPr>
  </w:style>
  <w:style w:type="character" w:styleId="Heading1Char" w:customStyle="1">
    <w:name w:val="Heading 1 Char"/>
    <w:basedOn w:val="DefaultParagraphFont"/>
    <w:uiPriority w:val="9"/>
    <w:rsid w:val="00A8615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uiPriority w:val="9"/>
    <w:semiHidden/>
    <w:rsid w:val="00A8615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uiPriority w:val="9"/>
    <w:semiHidden/>
    <w:rsid w:val="00A86151"/>
    <w:rPr>
      <w:rFonts w:eastAsiaTheme="majorEastAsia" w:cstheme="majorBidi"/>
      <w:color w:val="0F4761" w:themeColor="accent1" w:themeShade="BF"/>
      <w:sz w:val="28"/>
      <w:szCs w:val="28"/>
    </w:rPr>
  </w:style>
  <w:style w:type="character" w:styleId="Heading4Char" w:customStyle="1">
    <w:name w:val="Heading 4 Char"/>
    <w:basedOn w:val="DefaultParagraphFont"/>
    <w:uiPriority w:val="9"/>
    <w:semiHidden/>
    <w:rsid w:val="00A86151"/>
    <w:rPr>
      <w:rFonts w:eastAsiaTheme="majorEastAsia" w:cstheme="majorBidi"/>
      <w:i/>
      <w:iCs/>
      <w:color w:val="0F4761" w:themeColor="accent1" w:themeShade="BF"/>
    </w:rPr>
  </w:style>
  <w:style w:type="character" w:styleId="Heading5Char" w:customStyle="1">
    <w:name w:val="Heading 5 Char"/>
    <w:basedOn w:val="DefaultParagraphFont"/>
    <w:uiPriority w:val="9"/>
    <w:semiHidden/>
    <w:rsid w:val="00A86151"/>
    <w:rPr>
      <w:rFonts w:eastAsiaTheme="majorEastAsia" w:cstheme="majorBidi"/>
      <w:color w:val="0F4761" w:themeColor="accent1" w:themeShade="BF"/>
    </w:rPr>
  </w:style>
  <w:style w:type="character" w:styleId="Heading6Char" w:customStyle="1">
    <w:name w:val="Heading 6 Char"/>
    <w:basedOn w:val="DefaultParagraphFont"/>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lang w:val="en-DE"/>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val="en-DE"/>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eastAsiaTheme="minorHAnsi" w:cstheme="minorBidi"/>
      <w:i/>
      <w:iCs/>
      <w:color w:val="404040" w:themeColor="text1" w:themeTint="BF"/>
      <w:kern w:val="2"/>
      <w:sz w:val="22"/>
      <w:szCs w:val="22"/>
      <w:lang w:val="en-DE"/>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eastAsiaTheme="minorHAnsi" w:cstheme="minorBidi"/>
      <w:kern w:val="2"/>
      <w:sz w:val="22"/>
      <w:szCs w:val="22"/>
      <w:lang w:val="en-DE"/>
    </w:rPr>
  </w:style>
  <w:style w:type="character" w:styleId="IntenseEmphasis">
    <w:name w:val="Intense Emphasis"/>
    <w:basedOn w:val="DefaultParagraphFont"/>
    <w:uiPriority w:val="21"/>
    <w:qFormat/>
    <w:rsid w:val="00A86151"/>
    <w:rPr>
      <w:i/>
      <w:iCs/>
      <w:color w:val="0F4761" w:themeColor="accent1" w:themeShade="BF"/>
    </w:rPr>
  </w:style>
  <w:style w:type="paragraph" w:styleId="IntenseQuote">
    <w:name w:val="Intense Quote"/>
    <w:basedOn w:val="Normal"/>
    <w:next w:val="Normal"/>
    <w:link w:val="IntenseQuoteChar"/>
    <w:uiPriority w:val="30"/>
    <w:qFormat/>
    <w:rsid w:val="00A86151"/>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eastAsiaTheme="minorHAnsi" w:cstheme="minorBidi"/>
      <w:i/>
      <w:iCs/>
      <w:color w:val="0F4761" w:themeColor="accent1" w:themeShade="BF"/>
      <w:kern w:val="2"/>
      <w:sz w:val="22"/>
      <w:szCs w:val="22"/>
      <w:lang w:val="en-DE"/>
    </w:rPr>
  </w:style>
  <w:style w:type="character" w:styleId="IntenseQuoteChar" w:customStyle="1">
    <w:name w:val="Intense Quote Char"/>
    <w:basedOn w:val="DefaultParagraphFont"/>
    <w:link w:val="IntenseQuote"/>
    <w:uiPriority w:val="30"/>
    <w:rsid w:val="00A86151"/>
    <w:rPr>
      <w:i/>
      <w:iCs/>
      <w:color w:val="0F4761" w:themeColor="accent1" w:themeShade="BF"/>
    </w:rPr>
  </w:style>
  <w:style w:type="character" w:styleId="IntenseReference">
    <w:name w:val="Intense Reference"/>
    <w:basedOn w:val="DefaultParagraphFont"/>
    <w:uiPriority w:val="32"/>
    <w:qFormat/>
    <w:rsid w:val="00A86151"/>
    <w:rPr>
      <w:b/>
      <w:bCs/>
      <w:smallCaps/>
      <w:color w:val="0F4761" w:themeColor="accent1" w:themeShade="BF"/>
      <w:spacing w:val="5"/>
    </w:rPr>
  </w:style>
  <w:style w:type="character" w:styleId="HeaderChar" w:customStyle="1">
    <w:name w:val="Header Char"/>
    <w:rsid w:val="00A43C50"/>
    <w:rPr>
      <w:rFonts w:ascii="Arial" w:hAnsi="Arial" w:eastAsia="Times New Roman" w:cs="Arial"/>
      <w:kern w:val="0"/>
      <w:sz w:val="23"/>
      <w:szCs w:val="20"/>
      <w:lang w:val="en-GB" w:eastAsia="fr-BE"/>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character" w:styleId="FooterChar" w:customStyle="1">
    <w:name w:val="Footer Char"/>
    <w:basedOn w:val="DefaultParagraphFont"/>
    <w:uiPriority w:val="99"/>
    <w:rsid w:val="00A43C50"/>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Normal" w:default="1">
    <w:name w:val="Normal"/>
    <w:qFormat/>
    <w:rPr>
      <w:sz w:val="24"/>
      <w:lang w:val="en-GB"/>
    </w:rPr>
  </w:style>
  <w:style w:type="paragraph" w:styleId="Heading1">
    <w:name w:val="heading 1"/>
    <w:next w:val="Normal"/>
    <w:qFormat/>
    <w:pPr>
      <w:keepNext/>
      <w:spacing w:line="360" w:lineRule="auto"/>
      <w:jc w:val="center"/>
      <w:outlineLvl w:val="0"/>
    </w:pPr>
    <w:rPr>
      <w:b/>
      <w:noProof/>
      <w:sz w:val="24"/>
    </w:rPr>
  </w:style>
  <w:style w:type="paragraph" w:styleId="Heading2">
    <w:name w:val="heading 2"/>
    <w:basedOn w:val="Normal"/>
    <w:next w:val="Normal"/>
    <w:qFormat/>
    <w:pPr>
      <w:keepNext/>
      <w:tabs>
        <w:tab w:val="left" w:pos="5040"/>
      </w:tabs>
      <w:spacing w:line="360" w:lineRule="atLeast"/>
      <w:jc w:val="center"/>
      <w:outlineLvl w:val="1"/>
    </w:pPr>
  </w:style>
  <w:style w:type="paragraph" w:styleId="Heading3">
    <w:name w:val="heading 3"/>
    <w:basedOn w:val="Normal"/>
    <w:next w:val="Normal"/>
    <w:qFormat/>
    <w:pPr>
      <w:keepNext/>
      <w:spacing w:after="360"/>
      <w:jc w:val="center"/>
      <w:outlineLvl w:val="2"/>
    </w:pPr>
    <w:rPr>
      <w:b/>
    </w:rPr>
  </w:style>
  <w:style w:type="paragraph" w:styleId="Heading4">
    <w:name w:val="heading 4"/>
    <w:basedOn w:val="Normal"/>
    <w:next w:val="Normal"/>
    <w:qFormat/>
    <w:pPr>
      <w:keepNext/>
      <w:spacing w:before="240" w:line="360" w:lineRule="atLeast"/>
      <w:jc w:val="center"/>
      <w:outlineLvl w:val="3"/>
    </w:pPr>
    <w:rPr>
      <w:b/>
      <w:sz w:val="36"/>
    </w:rPr>
  </w:style>
  <w:style w:type="paragraph" w:styleId="Heading5">
    <w:name w:val="heading 5"/>
    <w:basedOn w:val="Normal"/>
    <w:next w:val="Normal"/>
    <w:qFormat/>
    <w:pPr>
      <w:keepNext/>
      <w:spacing w:line="360" w:lineRule="atLeast"/>
      <w:jc w:val="center"/>
      <w:outlineLvl w:val="4"/>
    </w:pPr>
    <w:rPr>
      <w:b/>
      <w:sz w:val="28"/>
    </w:rPr>
  </w:style>
  <w:style w:type="paragraph" w:styleId="Heading6">
    <w:name w:val="heading 6"/>
    <w:basedOn w:val="Normal"/>
    <w:next w:val="Normal"/>
    <w:qFormat/>
    <w:pPr>
      <w:keepNext/>
      <w:numPr>
        <w:numId w:val="1"/>
      </w:numPr>
      <w:spacing w:line="360" w:lineRule="auto"/>
      <w:jc w:val="both"/>
      <w:outlineLvl w:val="5"/>
    </w:pPr>
    <w:rPr>
      <w:b/>
    </w:rPr>
  </w:style>
  <w:style w:type="paragraph" w:styleId="Heading7">
    <w:name w:val="heading 7"/>
    <w:basedOn w:val="Normal"/>
    <w:next w:val="Normal"/>
    <w:qFormat/>
    <w:pPr>
      <w:keepNext/>
      <w:outlineLvl w:val="6"/>
    </w:pPr>
    <w:rPr>
      <w:sz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enatorowie" w:customStyle="1">
    <w:name w:val="Senatorowie"/>
    <w:basedOn w:val="Normal"/>
    <w:pPr>
      <w:spacing w:line="360" w:lineRule="auto"/>
    </w:pPr>
  </w:style>
  <w:style w:type="paragraph" w:styleId="Header">
    <w:name w:val="header"/>
    <w:basedOn w:val="Normal"/>
    <w:pPr>
      <w:tabs>
        <w:tab w:val="center" w:pos="4536"/>
        <w:tab w:val="right" w:pos="9072"/>
      </w:tabs>
    </w:pPr>
  </w:style>
  <w:style w:type="paragraph" w:styleId="d-orzel" w:customStyle="1">
    <w:name w:val="d-orzel"/>
    <w:pPr>
      <w:jc w:val="center"/>
    </w:pPr>
    <w:rPr>
      <w:b/>
      <w:sz w:val="24"/>
    </w:rPr>
  </w:style>
  <w:style w:type="paragraph" w:styleId="d-linia1" w:customStyle="1">
    <w:name w:val="d-linia1"/>
    <w:pPr>
      <w:pBdr>
        <w:top w:val="single" w:color="auto" w:sz="4" w:space="1"/>
      </w:pBdr>
      <w:jc w:val="both"/>
    </w:pPr>
    <w:rPr>
      <w:sz w:val="24"/>
    </w:rPr>
  </w:style>
  <w:style w:type="paragraph" w:styleId="d-linia2" w:customStyle="1">
    <w:name w:val="d-linia2"/>
    <w:next w:val="d-linia1"/>
    <w:pPr>
      <w:tabs>
        <w:tab w:val="right" w:pos="9072"/>
      </w:tabs>
      <w:spacing w:after="60"/>
      <w:ind w:left="284"/>
    </w:pPr>
    <w:rPr>
      <w:sz w:val="24"/>
    </w:rPr>
  </w:style>
  <w:style w:type="paragraph" w:styleId="d-sro-18" w:customStyle="1">
    <w:name w:val="d-sro-18"/>
    <w:next w:val="d-ro-14"/>
    <w:pPr>
      <w:spacing w:after="120"/>
      <w:jc w:val="center"/>
    </w:pPr>
    <w:rPr>
      <w:b/>
      <w:sz w:val="36"/>
    </w:rPr>
  </w:style>
  <w:style w:type="paragraph" w:styleId="d-ro-14" w:customStyle="1">
    <w:name w:val="d-śro-14"/>
    <w:next w:val="d-ro-B"/>
    <w:pPr>
      <w:spacing w:before="120" w:after="120"/>
      <w:jc w:val="center"/>
    </w:pPr>
    <w:rPr>
      <w:b/>
      <w:sz w:val="28"/>
    </w:rPr>
  </w:style>
  <w:style w:type="paragraph" w:styleId="d-ro-kurs" w:customStyle="1">
    <w:name w:val="d-śro-kurs"/>
    <w:pPr>
      <w:spacing w:before="240"/>
      <w:jc w:val="center"/>
    </w:pPr>
    <w:rPr>
      <w:i/>
      <w:sz w:val="24"/>
    </w:rPr>
  </w:style>
  <w:style w:type="paragraph" w:styleId="d-ro-B" w:customStyle="1">
    <w:name w:val="d-śro-B"/>
    <w:pPr>
      <w:spacing w:before="120" w:after="120"/>
      <w:ind w:left="567"/>
      <w:jc w:val="center"/>
    </w:pPr>
    <w:rPr>
      <w:b/>
      <w:sz w:val="24"/>
    </w:rPr>
  </w:style>
  <w:style w:type="paragraph" w:styleId="d-skier" w:customStyle="1">
    <w:name w:val="d-skier"/>
    <w:pPr>
      <w:spacing w:after="120"/>
      <w:ind w:left="851"/>
    </w:pPr>
    <w:rPr>
      <w:sz w:val="24"/>
    </w:rPr>
  </w:style>
  <w:style w:type="paragraph" w:styleId="d-poroz" w:customStyle="1">
    <w:name w:val="d-poroz"/>
    <w:pPr>
      <w:spacing w:before="240"/>
      <w:ind w:left="1418"/>
    </w:pPr>
    <w:rPr>
      <w:sz w:val="24"/>
    </w:rPr>
  </w:style>
  <w:style w:type="paragraph" w:styleId="d-wnos" w:customStyle="1">
    <w:name w:val="d-wnos"/>
    <w:next w:val="d-skier"/>
    <w:pPr>
      <w:spacing w:before="180" w:after="180"/>
      <w:ind w:left="4820"/>
    </w:pPr>
    <w:rPr>
      <w:sz w:val="24"/>
    </w:rPr>
  </w:style>
  <w:style w:type="paragraph" w:styleId="d-raczy" w:customStyle="1">
    <w:name w:val="d-raczy"/>
    <w:basedOn w:val="Normal"/>
    <w:pPr>
      <w:ind w:left="1418"/>
    </w:pPr>
    <w:rPr>
      <w:b/>
    </w:rPr>
  </w:style>
  <w:style w:type="paragraph" w:styleId="d-podpis" w:customStyle="1">
    <w:name w:val="d-podpis"/>
    <w:pPr>
      <w:tabs>
        <w:tab w:val="center" w:pos="2835"/>
        <w:tab w:val="center" w:pos="7088"/>
      </w:tabs>
      <w:spacing w:after="60"/>
    </w:pPr>
    <w:rPr>
      <w:sz w:val="24"/>
    </w:rPr>
  </w:style>
  <w:style w:type="paragraph" w:styleId="d-tocz1" w:customStyle="1">
    <w:name w:val="d-tłocz1"/>
    <w:pPr>
      <w:keepNext/>
    </w:pPr>
    <w:rPr>
      <w:sz w:val="24"/>
    </w:rPr>
  </w:style>
  <w:style w:type="paragraph" w:styleId="druk-stanard" w:customStyle="1">
    <w:name w:val="druk-stanard"/>
    <w:rPr>
      <w:sz w:val="24"/>
    </w:rPr>
  </w:style>
  <w:style w:type="paragraph" w:styleId="d-linia3" w:customStyle="1">
    <w:name w:val="d-linia3"/>
    <w:next w:val="druk-stanard"/>
    <w:pPr>
      <w:pBdr>
        <w:bottom w:val="single" w:color="auto" w:sz="4" w:space="1"/>
      </w:pBdr>
    </w:pPr>
    <w:rPr>
      <w:noProof/>
      <w:sz w:val="24"/>
    </w:rPr>
  </w:style>
  <w:style w:type="paragraph" w:styleId="d-tocz2" w:customStyle="1">
    <w:name w:val="d-tłocz2"/>
    <w:pPr>
      <w:keepNext/>
      <w:spacing w:before="120" w:after="120"/>
      <w:jc w:val="center"/>
    </w:pPr>
    <w:rPr>
      <w:sz w:val="24"/>
    </w:rPr>
  </w:style>
  <w:style w:type="paragraph" w:styleId="Footer">
    <w:name w:val="footer"/>
    <w:basedOn w:val="Normal"/>
    <w:pPr>
      <w:tabs>
        <w:tab w:val="center" w:pos="4536"/>
        <w:tab w:val="right" w:pos="9072"/>
      </w:tabs>
    </w:pPr>
  </w:style>
  <w:style w:type="paragraph" w:styleId="BodyText">
    <w:name w:val="Body Text"/>
    <w:basedOn w:val="Normal"/>
    <w:pPr>
      <w:spacing w:line="360" w:lineRule="auto"/>
      <w:jc w:val="both"/>
    </w:pPr>
    <w:rPr>
      <w:b/>
    </w:rPr>
  </w:style>
  <w:style w:type="paragraph" w:styleId="BodyTextIndent">
    <w:name w:val="Body Text Indent"/>
    <w:basedOn w:val="Normal"/>
    <w:pPr>
      <w:ind w:firstLine="851"/>
      <w:jc w:val="both"/>
    </w:pPr>
  </w:style>
  <w:style w:type="character" w:styleId="CommentReference">
    <w:name w:val="annotation reference"/>
    <w:semiHidden/>
    <w:rPr>
      <w:sz w:val="16"/>
    </w:rPr>
  </w:style>
  <w:style w:type="paragraph" w:styleId="CommentText">
    <w:name w:val="annotation text"/>
    <w:basedOn w:val="Normal"/>
    <w:semiHidden/>
    <w:rPr>
      <w:sz w:val="20"/>
    </w:r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Tekstpodstawowybbtszarob1blockstyleTekstpodstawowyZnakZnakZnakZnakZnakZnakZnakZnakagaTekstpodstawowyZnakTekstpodstawowyGBodyTextCharTelobesedilaZnak1CharTelobesedilaZnakZnakCharBr" w:customStyle="1">
    <w:name w:val="Tekst podstawowy.b.bt.szaro.b1.block style.Tekst podstawowy Znak Znak Znak Znak Znak Znak Znak Znak.aga.Tekst podstawowy Znak.Tekst podstawowyG.Body Text Char.Telo besedila Znak1 Char.Telo besedila Znak Znak Char.Br"/>
    <w:basedOn w:val="Normal"/>
    <w:pPr>
      <w:jc w:val="both"/>
    </w:pPr>
    <w:rPr>
      <w:lang w:val="en-US"/>
    </w:rPr>
  </w:style>
  <w:style w:type="paragraph" w:styleId="BodyText3">
    <w:name w:val="Body Text 3"/>
    <w:basedOn w:val="Normal"/>
    <w:rPr>
      <w:snapToGrid w:val="0"/>
      <w:sz w:val="20"/>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TBEntInstit" w:customStyle="1">
    <w:name w:val="TBEntInstit"/>
    <w:basedOn w:val="TechnicalBlockBase"/>
    <w:link w:val="EntInstitChar"/>
    <w:rsid w:val="00C725F7"/>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C725F7"/>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C725F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C725F7"/>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link w:val="TBNormalTechnicalBlockChar"/>
    <w:rsid w:val="00C725F7"/>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C725F7"/>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C725F7"/>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C725F7"/>
    <w:rPr>
      <w:rFonts w:ascii="Arial" w:hAnsi="Arial" w:cs="Arial"/>
      <w:b/>
      <w:sz w:val="23"/>
      <w:u w:color="606060"/>
      <w:lang w:val="en-GB" w:eastAsia="fr-BE"/>
    </w:rPr>
  </w:style>
  <w:style w:type="paragraph" w:styleId="TBSubjectTable" w:customStyle="1">
    <w:name w:val="TBSubjectTable"/>
    <w:basedOn w:val="TechnicalBlockBase"/>
    <w:rsid w:val="00C725F7"/>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C725F7"/>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C725F7"/>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C725F7"/>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styleId="TechnicalBlockBaseChar" w:customStyle="1">
    <w:name w:val="TechnicalBlockBase Char"/>
    <w:basedOn w:val="EntInstitChar"/>
    <w:link w:val="TechnicalBlockBase"/>
    <w:rsid w:val="00C725F7"/>
    <w:rPr>
      <w:rFonts w:ascii="Arial New Roman" w:hAnsi="Arial New Roman" w:cs="Arial"/>
      <w:b/>
      <w:i/>
      <w:dstrike/>
      <w:color w:val="606060"/>
      <w:w w:val="98"/>
      <w:sz w:val="10"/>
      <w:u w:val="words" w:color="606060"/>
      <w:lang w:val="en-GB" w:eastAsia="fr-BE"/>
    </w:rPr>
  </w:style>
  <w:style w:type="paragraph" w:styleId="EntText" w:customStyle="1">
    <w:name w:val="EntText"/>
    <w:basedOn w:val="Normal"/>
    <w:rsid w:val="002345E3"/>
    <w:pPr>
      <w:spacing w:before="120" w:after="120" w:line="360" w:lineRule="auto"/>
    </w:pPr>
    <w:rPr>
      <w:rFonts w:eastAsiaTheme="minorHAnsi"/>
      <w:szCs w:val="22"/>
      <w:lang w:eastAsia="en-US"/>
    </w:rPr>
  </w:style>
  <w:style w:type="paragraph" w:styleId="Lignefinal" w:customStyle="1">
    <w:name w:val="Ligne final"/>
    <w:basedOn w:val="Normal"/>
    <w:next w:val="Normal"/>
    <w:rsid w:val="002345E3"/>
    <w:pPr>
      <w:pBdr>
        <w:bottom w:val="single" w:color="000000" w:sz="4" w:space="0"/>
      </w:pBdr>
      <w:spacing w:before="360" w:after="120" w:line="360" w:lineRule="auto"/>
      <w:ind w:left="3400" w:right="3400"/>
      <w:jc w:val="center"/>
    </w:pPr>
    <w:rPr>
      <w:rFonts w:eastAsiaTheme="minorHAnsi"/>
      <w:b/>
      <w:szCs w:val="22"/>
      <w:lang w:eastAsia="en-US"/>
    </w:rPr>
  </w:style>
  <w:style w:type="character" w:styleId="Marker" w:customStyle="1">
    <w:name w:val="Marker"/>
    <w:basedOn w:val="DefaultParagraphFont"/>
    <w:rsid w:val="002345E3"/>
    <w:rPr>
      <w:color w:val="0000FF"/>
      <w:bdr w:val="none" w:color="auto" w:sz="0" w:space="0"/>
      <w:shd w:val="clear" w:color="auto" w:fill="auto"/>
    </w:rPr>
  </w:style>
  <w:style w:type="paragraph" w:styleId="HeaderCouncil" w:customStyle="1">
    <w:name w:val="Header Council"/>
    <w:basedOn w:val="Normal"/>
    <w:link w:val="HeaderCouncilChar"/>
    <w:rsid w:val="002345E3"/>
    <w:pPr>
      <w:jc w:val="right"/>
      <w:spacing w:before="0" w:after="0"/>
    </w:pPr>
    <w:rPr>
      <w:rFonts w:ascii="Times New Roman" w:hAnsi="Times New Roman" w:cs="Arial"/>
      <w:b/>
      <w:dstrike/>
      <w:color w:val="606060"/>
      <w:w w:val="98"/>
      <w:sz w:val="2"/>
      <w:szCs w:val="23"/>
      <w:u w:val="words" w:color="606060"/>
      <w:lang w:eastAsia="fr-BE"/>
    </w:rPr>
  </w:style>
  <w:style w:type="character" w:styleId="TBNormalTechnicalBlockChar" w:customStyle="1">
    <w:name w:val="TBNormalTechnicalBlock Char"/>
    <w:basedOn w:val="TechnicalBlockBaseChar"/>
    <w:link w:val="TBNormalTechnicalBlock"/>
    <w:rsid w:val="002345E3"/>
    <w:rPr>
      <w:rFonts w:ascii="Arial" w:hAnsi="Arial" w:cs="Arial"/>
      <w:b/>
      <w:i w:val="0"/>
      <w:dstrike/>
      <w:color w:val="606060"/>
      <w:w w:val="98"/>
      <w:sz w:val="23"/>
      <w:szCs w:val="23"/>
      <w:u w:val="words" w:color="606060"/>
      <w:lang w:val="en-GB" w:eastAsia="fr-BE"/>
    </w:rPr>
  </w:style>
  <w:style w:type="character" w:styleId="HeaderCouncilChar" w:customStyle="1">
    <w:name w:val="Header Council Char"/>
    <w:basedOn w:val="TBNormalTechnicalBlockChar"/>
    <w:link w:val="HeaderCouncil"/>
    <w:rsid w:val="002345E3"/>
    <w:rPr>
      <w:rFonts w:ascii="Arial" w:hAnsi="Arial" w:cs="Arial"/>
      <w:b/>
      <w:i w:val="0"/>
      <w:dstrike/>
      <w:color w:val="606060"/>
      <w:w w:val="98"/>
      <w:sz w:val="2"/>
      <w:szCs w:val="23"/>
      <w:u w:val="words" w:color="606060"/>
      <w:lang w:val="en-GB" w:eastAsia="fr-BE"/>
    </w:rPr>
  </w:style>
  <w:style w:type="paragraph" w:styleId="HeaderCouncilLarge" w:customStyle="1">
    <w:name w:val="Header Council Large"/>
    <w:basedOn w:val="Normal"/>
    <w:link w:val="HeaderCouncilLargeChar"/>
    <w:rsid w:val="002345E3"/>
    <w:pPr>
      <w:spacing w:before="0" w:after="440"/>
      <w:jc w:val="right"/>
    </w:pPr>
    <w:rPr>
      <w:rFonts w:ascii="Times New Roman" w:hAnsi="Times New Roman" w:cs="Arial"/>
      <w:b/>
      <w:dstrike/>
      <w:color w:val="606060"/>
      <w:w w:val="98"/>
      <w:sz w:val="2"/>
      <w:szCs w:val="23"/>
      <w:u w:val="words" w:color="606060"/>
      <w:lang w:eastAsia="fr-BE"/>
    </w:rPr>
  </w:style>
  <w:style w:type="character" w:styleId="HeaderCouncilLargeChar" w:customStyle="1">
    <w:name w:val="Header Council Large Char"/>
    <w:basedOn w:val="TBNormalTechnicalBlockChar"/>
    <w:link w:val="HeaderCouncilLarge"/>
    <w:rsid w:val="002345E3"/>
    <w:rPr>
      <w:rFonts w:ascii="Arial" w:hAnsi="Arial" w:cs="Arial"/>
      <w:b/>
      <w:i w:val="0"/>
      <w:dstrike/>
      <w:color w:val="606060"/>
      <w:w w:val="98"/>
      <w:sz w:val="2"/>
      <w:szCs w:val="23"/>
      <w:u w:val="words" w:color="606060"/>
      <w:lang w:val="en-GB" w:eastAsia="fr-BE"/>
    </w:rPr>
  </w:style>
  <w:style w:type="paragraph" w:styleId="FooterCouncil" w:customStyle="1">
    <w:name w:val="Footer Council"/>
    <w:basedOn w:val="Normal"/>
    <w:link w:val="FooterCouncilChar"/>
    <w:rsid w:val="002345E3"/>
    <w:pPr>
      <w:jc w:val="right"/>
      <w:spacing w:before="0" w:after="0"/>
    </w:pPr>
    <w:rPr>
      <w:rFonts w:ascii="Times New Roman" w:hAnsi="Times New Roman" w:cs="Arial"/>
      <w:b/>
      <w:dstrike/>
      <w:color w:val="606060"/>
      <w:w w:val="98"/>
      <w:sz w:val="2"/>
      <w:szCs w:val="23"/>
      <w:u w:val="words" w:color="606060"/>
      <w:lang w:eastAsia="fr-BE"/>
    </w:rPr>
  </w:style>
  <w:style w:type="character" w:styleId="FooterCouncilChar" w:customStyle="1">
    <w:name w:val="Footer Council Char"/>
    <w:basedOn w:val="TBNormalTechnicalBlockChar"/>
    <w:link w:val="FooterCouncil"/>
    <w:rsid w:val="002345E3"/>
    <w:rPr>
      <w:rFonts w:ascii="Arial" w:hAnsi="Arial" w:cs="Arial"/>
      <w:b/>
      <w:i w:val="0"/>
      <w:dstrike/>
      <w:color w:val="606060"/>
      <w:w w:val="98"/>
      <w:sz w:val="2"/>
      <w:szCs w:val="23"/>
      <w:u w:val="words" w:color="606060"/>
      <w:lang w:val="en-GB" w:eastAsia="fr-BE"/>
    </w:rPr>
  </w:style>
  <w:style w:type="paragraph" w:styleId="FooterText" w:customStyle="1">
    <w:name w:val="Footer Text"/>
    <w:basedOn w:val="Normal"/>
    <w:rsid w:val="002345E3"/>
    <w:rPr>
      <w:szCs w:val="24"/>
      <w:lang w:eastAsia="en-US"/>
      <w:rFonts w:ascii="Times New Roman" w:hAnsi="Times New Roman"/>
      <w:sz w:val="24"/>
      <w:color w:val="auto"/>
    </w:rPr>
    <w:pPr>
      <w:spacing w:before="0" w:after="0" w:line="240"/>
    </w:pPr>
  </w:style>
  <w:style w:type="character" w:styleId="PlaceholderText">
    <w:name w:val="Placeholder Text"/>
    <w:basedOn w:val="DefaultParagraphFont"/>
    <w:uiPriority w:val="99"/>
    <w:semiHidden/>
    <w:rsid w:val="002345E3"/>
    <w:rPr>
      <w:color w:val="808080"/>
    </w:rPr>
  </w:style>
  <w:style w:type="character" w:styleId="UnresolvedMention">
    <w:name w:val="Unresolved Mention"/>
    <w:basedOn w:val="DefaultParagraphFont"/>
    <w:uiPriority w:val="99"/>
    <w:semiHidden/>
    <w:unhideWhenUsed/>
    <w:rsid w:val="005D5DA7"/>
    <w:rPr>
      <w:color w:val="605E5C"/>
      <w:shd w:val="clear" w:color="auto" w:fill="E1DFDD"/>
    </w:rPr>
  </w:style>
  <w:style w:type="paragraph" w:styleId="TBDistrbMarkers" w:customStyle="1">
    <w:name w:val="TBDistrbMarkers"/>
    <w:basedOn w:val="TBEntRefer"/>
    <w:qFormat/>
    <w:rsid w:val="00C725F7"/>
    <w:pPr>
      <w:tabs>
        <w:tab w:val="left" w:pos="2262"/>
      </w:tabs>
    </w:pPr>
    <w:rPr>
      <w:i/>
      <w:iCs/>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c38cfa51117049ef" Type="http://schemas.openxmlformats.org/officeDocument/2006/relationships/endnotes" Target="/word/endnotes.xml"/><Relationship Id="R7a92d7d800f74d00" Type="http://schemas.openxmlformats.org/officeDocument/2006/relationships/footer" Target="/word/footer5.xml"/><Relationship Id="R47983cbcc66f4549" Type="http://schemas.openxmlformats.org/officeDocument/2006/relationships/footnotes" Target="/word/footnotes.xml"/><Relationship Id="R0412f33c20284dc9" Type="http://schemas.openxmlformats.org/officeDocument/2006/relationships/header" Target="/word/header2.xml"/><Relationship Id="R5068264f84484e7f" Type="http://schemas.openxmlformats.org/officeDocument/2006/relationships/footer" Target="/word/footer6.xml"/><Relationship Id="R0b7b25cb737f44d2" Type="http://schemas.openxmlformats.org/officeDocument/2006/relationships/footer" Target="/word/footer9.xml"/><Relationship Id="rId3" Type="http://schemas.openxmlformats.org/officeDocument/2006/relationships/customXml" Target="../customXml/item3.xml"/><Relationship Id="R6c20a35c2cad4ff7" Type="http://schemas.openxmlformats.org/officeDocument/2006/relationships/footer" Target="/word/footer3.xml"/><Relationship Id="Rbccf36ba29c448a4" Type="http://schemas.openxmlformats.org/officeDocument/2006/relationships/footer" Target="/word/footer4.xml"/><Relationship Id="Rb8762e0c3076483f" Type="http://schemas.openxmlformats.org/officeDocument/2006/relationships/numbering" Target="/word/numbering.xml"/><Relationship Id="R3699edfe37734fce" Type="http://schemas.openxmlformats.org/officeDocument/2006/relationships/image" Target="/media/image.bin"/><Relationship Id="Rf77589ab2b7a42fe" Type="http://schemas.openxmlformats.org/officeDocument/2006/relationships/header" Target="/word/header6.xml"/><Relationship Id="R58bc969c6ce14919" Type="http://schemas.openxmlformats.org/officeDocument/2006/relationships/glossaryDocument" Target="/word/glossary/document.xml"/><Relationship Id="rId2" Type="http://schemas.openxmlformats.org/officeDocument/2006/relationships/customXml" Target="../customXml/item2.xml"/><Relationship Id="R6f6492f4b60841e1" Type="http://schemas.openxmlformats.org/officeDocument/2006/relationships/webSettings" Target="/word/webSettings.xml"/><Relationship Id="R8469e82e92e34bba" Type="http://schemas.openxmlformats.org/officeDocument/2006/relationships/fontTable" Target="/word/fontTable.xml"/><Relationship Id="R845a6901f96840cc" Type="http://schemas.openxmlformats.org/officeDocument/2006/relationships/footer" Target="/word/footer1.xml"/><Relationship Id="R873e1d1ed8874704" Type="http://schemas.openxmlformats.org/officeDocument/2006/relationships/footer" Target="/word/footer2.xml"/><Relationship Id="R856d59a7cf5a424f" Type="http://schemas.openxmlformats.org/officeDocument/2006/relationships/image" Target="/media/image2.bin"/><Relationship Id="Re7fa6a8f243c4223" Type="http://schemas.openxmlformats.org/officeDocument/2006/relationships/header" Target="/word/header7.xml"/><Relationship Id="rId1" Type="http://schemas.openxmlformats.org/officeDocument/2006/relationships/customXml" Target="../customXml/item1.xml"/><Relationship Id="R629ea8bda93d4467" Type="http://schemas.openxmlformats.org/officeDocument/2006/relationships/styles" Target="/word/styles.xml"/><Relationship Id="R6ea8ddd2874440f1" Type="http://schemas.openxmlformats.org/officeDocument/2006/relationships/header" Target="/word/header3.xml"/><Relationship Id="R10ed9761e71b43a5" Type="http://schemas.openxmlformats.org/officeDocument/2006/relationships/header" Target="/word/header5.xml"/><Relationship Id="R38c60dd5c85c4cc5" Type="http://schemas.openxmlformats.org/officeDocument/2006/relationships/header" Target="/word/header8.xml"/><Relationship Id="R5f95cef600ea48c4" Type="http://schemas.openxmlformats.org/officeDocument/2006/relationships/footer" Target="/word/footer8.xml"/><Relationship Id="R9460d55b0a394f8c" Type="http://schemas.openxmlformats.org/officeDocument/2006/relationships/theme" Target="/word/theme/theme1.xml"/><Relationship Id="Ra4193b0f28aa482c" Type="http://schemas.openxmlformats.org/officeDocument/2006/relationships/header" Target="/word/header4.xml"/><Relationship Id="R978c8d3892d94358" Type="http://schemas.openxmlformats.org/officeDocument/2006/relationships/header" Target="/word/header9.xml"/><Relationship Id="R9f9b8ba1cb79466a" Type="http://schemas.openxmlformats.org/officeDocument/2006/relationships/settings" Target="/word/settings.xml"/><Relationship Id="R81c7719b14a44c37" Type="http://schemas.openxmlformats.org/officeDocument/2006/relationships/header" Target="/word/header1.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565" TargetMode="External" Id="rId1" /></Relationships>
</file>

<file path=word/_rels/settings.xml.rels>&#65279;<?xml version="1.0" encoding="utf-8"?><Relationships xmlns="http://schemas.openxmlformats.org/package/2006/relationships"><Relationship Type="http://schemas.openxmlformats.org/officeDocument/2006/relationships/attachedTemplate" Target="C:\Program%25252520Files%25252520(x86)\lotus\notes\data\opinia.dot"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780d1f6be35744b7" /><Relationship Type="http://schemas.openxmlformats.org/officeDocument/2006/relationships/fontTable" Target="/word/glossary/fontTable2.xml" Id="R02c52005db4c4b03" /><Relationship Type="http://schemas.openxmlformats.org/officeDocument/2006/relationships/settings" Target="/word/glossary/settings2.xml" Id="Reedc93f1f7ea4a53" /><Relationship Type="http://schemas.openxmlformats.org/officeDocument/2006/relationships/webSettings" Target="/word/glossary/webSettings2.xml" Id="R2162158db3914869"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258D71-CF7A-4FC0-A02F-9F830B52DA87}"/>
</file>

<file path=customXml/itemProps2.xml><?xml version="1.0" encoding="utf-8"?>
<ds:datastoreItem xmlns:ds="http://schemas.openxmlformats.org/officeDocument/2006/customXml" ds:itemID="{585F1D6B-7354-4027-B2D8-52EB306A2BB9}"/>
</file>

<file path=customXml/itemProps3.xml><?xml version="1.0" encoding="utf-8"?>
<ds:datastoreItem xmlns:ds="http://schemas.openxmlformats.org/officeDocument/2006/customXml" ds:itemID="{F69990F7-EA1D-4C15-A73F-20B5E9B7E1CD}"/>
</file>

<file path=docProps/app.xml><?xml version="1.0" encoding="utf-8"?>
<ap:Properties xmlns:vt="http://schemas.openxmlformats.org/officeDocument/2006/docPropsVTypes" xmlns:ap="http://schemas.openxmlformats.org/officeDocument/2006/extended-properties">
  <ap:Template>opinia.dot</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Niewczas Agnieszka</dc:creator>
  <cp:keywords/>
  <dc:description/>
  <cp:lastModifiedBy>Athanasios%20GKOUTLAS</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2026-01-07T13:14:14Z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