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en-US"/>
        </w:rPr>
        <w:alias w:val="TechnicalBlock"/>
        <w:tag w:val="LCK:TechnicalBlock"/>
        <w:id w:val="2143612796"/>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C925E6" w:rsidRPr="005F5A6B" w14:paraId="31DA211B" w14:textId="77777777" w:rsidTr="00EE7DE6">
            <w:trPr>
              <w:cantSplit/>
              <w:trHeight w:val="510"/>
              <w:jc w:val="center"/>
            </w:trPr>
            <w:tc>
              <w:tcPr>
                <w:tcW w:w="11344" w:type="dxa"/>
                <w:gridSpan w:val="6"/>
                <w:vAlign w:val="bottom"/>
              </w:tcPr>
              <w:p w14:paraId="03AD7E7D" w14:textId="074A5F95" w:rsidR="00C925E6" w:rsidRPr="005F5A6B" w:rsidRDefault="00C925E6" w:rsidP="00EE7DE6">
                <w:pPr>
                  <w:pStyle w:val="TBNormalTechnicalBlock"/>
                  <w:jc w:val="right"/>
                  <w:rPr>
                    <w:b w:val="0"/>
                    <w:bCs/>
                  </w:rPr>
                </w:pPr>
              </w:p>
            </w:tc>
          </w:tr>
          <w:tr w:rsidR="00C925E6" w:rsidRPr="006720F9" w14:paraId="1D27E681" w14:textId="77777777" w:rsidTr="00296074">
            <w:trPr>
              <w:cantSplit/>
              <w:trHeight w:val="567"/>
              <w:jc w:val="center"/>
            </w:trPr>
            <w:tc>
              <w:tcPr>
                <w:tcW w:w="1820" w:type="dxa"/>
                <w:gridSpan w:val="2"/>
                <w:vAlign w:val="bottom"/>
              </w:tcPr>
              <w:p w14:paraId="1834DC48" w14:textId="77777777" w:rsidR="00C925E6" w:rsidRPr="006C5D93" w:rsidRDefault="00C925E6" w:rsidP="003C6CD1">
                <w:pPr>
                  <w:pStyle w:val="TBEntInstit"/>
                </w:pPr>
                <w:r w:rsidRPr="006C5D93">
                  <w:rPr>
                    <w:noProof/>
                  </w:rPr>
                  <w:drawing>
                    <wp:inline distT="0" distB="0" distL="0" distR="0" wp14:anchorId="25F2D0C2" wp14:editId="6F3F6E60">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3EF376F8" w14:textId="77777777" w:rsidR="00C925E6" w:rsidRPr="008414C3" w:rsidRDefault="00C925E6" w:rsidP="005125B1">
                <w:pPr>
                  <w:pStyle w:val="TBInstitution"/>
                </w:pPr>
                <w:r>
                  <w:t>Council of the</w:t>
                </w:r>
                <w:r>
                  <w:br/>
                  <w:t>European Union</w:t>
                </w:r>
              </w:p>
            </w:tc>
          </w:tr>
          <w:tr w:rsidR="00C925E6" w:rsidRPr="006720F9" w14:paraId="5BE176BF" w14:textId="77777777" w:rsidTr="00D5364D">
            <w:trPr>
              <w:gridBefore w:val="2"/>
              <w:wBefore w:w="1820" w:type="dxa"/>
              <w:cantSplit/>
              <w:trHeight w:val="1191"/>
              <w:jc w:val="center"/>
            </w:trPr>
            <w:tc>
              <w:tcPr>
                <w:tcW w:w="4558" w:type="dxa"/>
                <w:gridSpan w:val="2"/>
                <w:tcMar>
                  <w:top w:w="28" w:type="dxa"/>
                  <w:left w:w="85" w:type="dxa"/>
                </w:tcMar>
              </w:tcPr>
              <w:p w14:paraId="1EC2B79C" w14:textId="77777777" w:rsidR="00C925E6" w:rsidRPr="00327887" w:rsidRDefault="00C925E6" w:rsidP="00762DBC">
                <w:pPr>
                  <w:pStyle w:val="TBInstitutionSubwordmark"/>
                </w:pPr>
              </w:p>
            </w:tc>
            <w:tc>
              <w:tcPr>
                <w:tcW w:w="147" w:type="dxa"/>
                <w:vAlign w:val="bottom"/>
              </w:tcPr>
              <w:p w14:paraId="2F0A9FDC" w14:textId="77777777" w:rsidR="00C925E6" w:rsidRPr="00093255" w:rsidRDefault="00C925E6" w:rsidP="00D5364D">
                <w:pPr>
                  <w:pStyle w:val="TBNormalTechnicalBlock"/>
                  <w:jc w:val="right"/>
                  <w:rPr>
                    <w:b w:val="0"/>
                    <w:bCs/>
                  </w:rPr>
                </w:pPr>
              </w:p>
            </w:tc>
            <w:tc>
              <w:tcPr>
                <w:tcW w:w="4819" w:type="dxa"/>
                <w:vMerge w:val="restart"/>
                <w:tcMar>
                  <w:top w:w="0" w:type="dxa"/>
                </w:tcMar>
              </w:tcPr>
              <w:p w14:paraId="45A379A3" w14:textId="77777777" w:rsidR="00C925E6" w:rsidRPr="0012121B" w:rsidRDefault="00C925E6" w:rsidP="001A5B8F">
                <w:pPr>
                  <w:pStyle w:val="TBNormalTechnicalBlock"/>
                </w:pPr>
                <w:r>
                  <w:t>Brussels, 20 February 2026</w:t>
                </w:r>
              </w:p>
              <w:p w14:paraId="2B7E3D54" w14:textId="77777777" w:rsidR="00C925E6" w:rsidRPr="00871A20" w:rsidRDefault="00C925E6" w:rsidP="009024D2">
                <w:pPr>
                  <w:pStyle w:val="TBNormalTechnicalBlock"/>
                  <w:rPr>
                    <w:bCs/>
                  </w:rPr>
                </w:pPr>
                <w:r w:rsidRPr="00E60683">
                  <w:rPr>
                    <w:bCs/>
                  </w:rPr>
                  <w:t xml:space="preserve">(OR. </w:t>
                </w:r>
                <w:r>
                  <w:rPr>
                    <w:bCs/>
                  </w:rPr>
                  <w:t>en</w:t>
                </w:r>
                <w:r w:rsidRPr="00871A20">
                  <w:rPr>
                    <w:bCs/>
                  </w:rPr>
                  <w:t>)</w:t>
                </w:r>
              </w:p>
              <w:p w14:paraId="25039490" w14:textId="77777777" w:rsidR="00C925E6" w:rsidRPr="00871A20" w:rsidRDefault="00C925E6" w:rsidP="00871A20">
                <w:pPr>
                  <w:pStyle w:val="TBNormalTechnicalBlock"/>
                  <w:jc w:val="right"/>
                </w:pPr>
              </w:p>
              <w:p w14:paraId="15671203" w14:textId="77777777" w:rsidR="00C925E6" w:rsidRPr="00871A20" w:rsidRDefault="00C925E6" w:rsidP="00871A20">
                <w:pPr>
                  <w:pStyle w:val="TBNormalTechnicalBlock"/>
                  <w:jc w:val="right"/>
                </w:pPr>
              </w:p>
              <w:p w14:paraId="2E2AAB52" w14:textId="77777777" w:rsidR="00C925E6" w:rsidRPr="00F65A71" w:rsidRDefault="00C925E6" w:rsidP="009024D2">
                <w:pPr>
                  <w:pStyle w:val="TBNormalTechnicalBlock"/>
                  <w:rPr>
                    <w:bCs/>
                    <w:lang w:val="en-US"/>
                  </w:rPr>
                </w:pPr>
                <w:r>
                  <w:rPr>
                    <w:bCs/>
                    <w:lang w:val="en-US"/>
                  </w:rPr>
                  <w:t>6040</w:t>
                </w:r>
                <w:r w:rsidRPr="00F65A71">
                  <w:rPr>
                    <w:bCs/>
                    <w:lang w:val="en-US"/>
                  </w:rPr>
                  <w:t>/</w:t>
                </w:r>
                <w:r>
                  <w:rPr>
                    <w:bCs/>
                    <w:lang w:val="en-US"/>
                  </w:rPr>
                  <w:t>26</w:t>
                </w:r>
              </w:p>
              <w:p w14:paraId="35FB4567" w14:textId="77777777" w:rsidR="00C925E6" w:rsidRPr="00F65A71" w:rsidRDefault="00C925E6" w:rsidP="009024D2">
                <w:pPr>
                  <w:pStyle w:val="TBNormalTechnicalBlock"/>
                  <w:rPr>
                    <w:lang w:val="en-US"/>
                  </w:rPr>
                </w:pPr>
                <w:r>
                  <w:rPr>
                    <w:lang w:val="en-US"/>
                  </w:rPr>
                  <w:t>ADD 1</w:t>
                </w:r>
              </w:p>
              <w:p w14:paraId="03A24761" w14:textId="77777777" w:rsidR="00C925E6" w:rsidRPr="00F65A71" w:rsidRDefault="00C925E6" w:rsidP="00871A20">
                <w:pPr>
                  <w:pStyle w:val="TBNormalTechnicalBlock"/>
                  <w:jc w:val="right"/>
                  <w:rPr>
                    <w:lang w:val="en-US"/>
                  </w:rPr>
                </w:pPr>
              </w:p>
              <w:p w14:paraId="0399083E" w14:textId="77777777" w:rsidR="00C925E6" w:rsidRDefault="00C925E6" w:rsidP="009024D2">
                <w:pPr>
                  <w:pStyle w:val="TBNormalTechnicalBlock"/>
                </w:pPr>
                <w:r>
                  <w:t>LIMITE</w:t>
                </w:r>
              </w:p>
              <w:p w14:paraId="20DDE840" w14:textId="77777777" w:rsidR="00C925E6" w:rsidRDefault="00C925E6" w:rsidP="00871A20">
                <w:pPr>
                  <w:pStyle w:val="TBNormalTechnicalBlock"/>
                  <w:jc w:val="right"/>
                </w:pPr>
              </w:p>
              <w:p w14:paraId="7C239BCA" w14:textId="77777777" w:rsidR="00C925E6" w:rsidRDefault="00C925E6">
                <w:pPr>
                  <w:pStyle w:val="TBEntRefer"/>
                  <w:tabs>
                    <w:tab w:val="left" w:pos="2265"/>
                  </w:tabs>
                </w:pPr>
                <w:r>
                  <w:t>CORDROGUE 16</w:t>
                </w:r>
              </w:p>
              <w:p w14:paraId="7D1C8B97" w14:textId="77777777" w:rsidR="00C925E6" w:rsidRDefault="00C925E6">
                <w:pPr>
                  <w:pStyle w:val="TBEntRefer"/>
                  <w:tabs>
                    <w:tab w:val="left" w:pos="2265"/>
                  </w:tabs>
                </w:pPr>
                <w:r>
                  <w:t>SAN 68</w:t>
                </w:r>
              </w:p>
              <w:p w14:paraId="4B241FC2" w14:textId="77777777" w:rsidR="00C925E6" w:rsidRDefault="00C925E6">
                <w:pPr>
                  <w:pStyle w:val="TBEntRefer"/>
                  <w:tabs>
                    <w:tab w:val="left" w:pos="2265"/>
                  </w:tabs>
                </w:pPr>
                <w:r>
                  <w:t>RELEX 155</w:t>
                </w:r>
              </w:p>
              <w:p w14:paraId="43E331B7" w14:textId="77777777" w:rsidR="00C925E6" w:rsidRPr="00073AB8" w:rsidRDefault="00C925E6" w:rsidP="00DF51D5">
                <w:pPr>
                  <w:pStyle w:val="TBEntRefer"/>
                  <w:tabs>
                    <w:tab w:val="left" w:pos="2262"/>
                  </w:tabs>
                  <w:rPr>
                    <w:sz w:val="4"/>
                    <w:szCs w:val="4"/>
                  </w:rPr>
                </w:pPr>
              </w:p>
              <w:p w14:paraId="7DF703F5" w14:textId="77777777" w:rsidR="00C925E6" w:rsidRDefault="00C925E6">
                <w:pPr>
                  <w:pStyle w:val="TBDistrbMarkers"/>
                </w:pPr>
                <w:r>
                  <w:t>EUDA</w:t>
                </w:r>
              </w:p>
              <w:p w14:paraId="085FBCFA" w14:textId="77777777" w:rsidR="00C925E6" w:rsidRDefault="00C925E6">
                <w:pPr>
                  <w:pStyle w:val="TBDistrbMarkers"/>
                </w:pPr>
                <w:r>
                  <w:t>EUROPOL</w:t>
                </w:r>
              </w:p>
            </w:tc>
          </w:tr>
          <w:tr w:rsidR="00C925E6" w:rsidRPr="006720F9" w14:paraId="114662D5" w14:textId="77777777" w:rsidTr="00EE7DE6">
            <w:trPr>
              <w:gridBefore w:val="1"/>
              <w:wBefore w:w="850" w:type="dxa"/>
              <w:cantSplit/>
              <w:trHeight w:val="837"/>
              <w:jc w:val="center"/>
            </w:trPr>
            <w:tc>
              <w:tcPr>
                <w:tcW w:w="3832" w:type="dxa"/>
                <w:gridSpan w:val="2"/>
                <w:vAlign w:val="center"/>
              </w:tcPr>
              <w:p w14:paraId="73955281" w14:textId="77777777" w:rsidR="00C925E6" w:rsidRPr="002E211F" w:rsidRDefault="00C925E6" w:rsidP="00512AC5">
                <w:pPr>
                  <w:pStyle w:val="TBEntReferNew"/>
                </w:pPr>
              </w:p>
            </w:tc>
            <w:tc>
              <w:tcPr>
                <w:tcW w:w="1843" w:type="dxa"/>
                <w:gridSpan w:val="2"/>
                <w:vMerge w:val="restart"/>
                <w:vAlign w:val="bottom"/>
              </w:tcPr>
              <w:p w14:paraId="428B05E4" w14:textId="77777777" w:rsidR="00C925E6" w:rsidRPr="008F6E25" w:rsidRDefault="00C925E6" w:rsidP="00EE7DE6">
                <w:pPr>
                  <w:pStyle w:val="TBNormalTechnicalBlock"/>
                  <w:jc w:val="right"/>
                  <w:rPr>
                    <w:b w:val="0"/>
                    <w:bCs/>
                  </w:rPr>
                </w:pPr>
              </w:p>
            </w:tc>
            <w:tc>
              <w:tcPr>
                <w:tcW w:w="4819" w:type="dxa"/>
                <w:vMerge/>
              </w:tcPr>
              <w:p w14:paraId="6A6DCC60" w14:textId="77777777" w:rsidR="00C925E6" w:rsidRPr="00F26BF3" w:rsidRDefault="00C925E6">
                <w:pPr>
                  <w:pStyle w:val="TBEntRefer"/>
                  <w:rPr>
                    <w:szCs w:val="23"/>
                  </w:rPr>
                </w:pPr>
              </w:p>
            </w:tc>
          </w:tr>
          <w:tr w:rsidR="00C925E6" w:rsidRPr="007D65B2" w14:paraId="21A5EFEB" w14:textId="77777777" w:rsidTr="00327887">
            <w:trPr>
              <w:gridBefore w:val="1"/>
              <w:wBefore w:w="850" w:type="dxa"/>
              <w:cantSplit/>
              <w:trHeight w:val="998"/>
              <w:jc w:val="center"/>
            </w:trPr>
            <w:tc>
              <w:tcPr>
                <w:tcW w:w="3832" w:type="dxa"/>
                <w:gridSpan w:val="2"/>
                <w:vAlign w:val="center"/>
              </w:tcPr>
              <w:p w14:paraId="544A44B1" w14:textId="77777777" w:rsidR="00C925E6" w:rsidRPr="007D65B2" w:rsidRDefault="00C925E6" w:rsidP="0058695F">
                <w:pPr>
                  <w:pStyle w:val="TBSousEmbargo"/>
                </w:pPr>
              </w:p>
            </w:tc>
            <w:tc>
              <w:tcPr>
                <w:tcW w:w="1843" w:type="dxa"/>
                <w:gridSpan w:val="2"/>
                <w:vMerge/>
                <w:vAlign w:val="center"/>
              </w:tcPr>
              <w:p w14:paraId="403A26CC" w14:textId="77777777" w:rsidR="00C925E6" w:rsidRPr="008F6E25" w:rsidRDefault="00C925E6" w:rsidP="008F6E25">
                <w:pPr>
                  <w:pStyle w:val="TBNormalTechnicalBlock"/>
                  <w:rPr>
                    <w:b w:val="0"/>
                    <w:bCs/>
                  </w:rPr>
                </w:pPr>
              </w:p>
            </w:tc>
            <w:tc>
              <w:tcPr>
                <w:tcW w:w="4819" w:type="dxa"/>
                <w:vMerge/>
              </w:tcPr>
              <w:p w14:paraId="11EF3A8D" w14:textId="77777777" w:rsidR="00C925E6" w:rsidRPr="007D65B2" w:rsidRDefault="00C925E6">
                <w:pPr>
                  <w:pStyle w:val="TBEntRefer"/>
                  <w:rPr>
                    <w:szCs w:val="23"/>
                  </w:rPr>
                </w:pPr>
              </w:p>
            </w:tc>
          </w:tr>
        </w:tbl>
        <w:p w14:paraId="75F1C2CA" w14:textId="77777777" w:rsidR="00C925E6" w:rsidRPr="007D65B2" w:rsidRDefault="00C925E6"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C925E6" w:rsidRPr="008C093D" w14:paraId="39DA1E0A" w14:textId="77777777" w:rsidTr="000E0DFC">
            <w:trPr>
              <w:jc w:val="center"/>
            </w:trPr>
            <w:tc>
              <w:tcPr>
                <w:tcW w:w="9640" w:type="dxa"/>
                <w:gridSpan w:val="2"/>
              </w:tcPr>
              <w:p w14:paraId="56CAB6F8" w14:textId="77777777" w:rsidR="00C925E6" w:rsidRPr="008C093D" w:rsidRDefault="00C925E6" w:rsidP="004F2640">
                <w:pPr>
                  <w:pStyle w:val="TBHeadingTable"/>
                </w:pPr>
                <w:r>
                  <w:t>LEGISLATIVE ACTS AND OTHER INSTRUMENTS</w:t>
                </w:r>
              </w:p>
            </w:tc>
          </w:tr>
          <w:tr w:rsidR="00C925E6" w:rsidRPr="00F13D39" w14:paraId="626F52CC" w14:textId="77777777" w:rsidTr="00B511A2">
            <w:trPr>
              <w:jc w:val="center"/>
            </w:trPr>
            <w:tc>
              <w:tcPr>
                <w:tcW w:w="1985" w:type="dxa"/>
                <w:tcBorders>
                  <w:top w:val="single" w:sz="4" w:space="0" w:color="auto"/>
                  <w:bottom w:val="single" w:sz="4" w:space="0" w:color="auto"/>
                </w:tcBorders>
              </w:tcPr>
              <w:p w14:paraId="7FBF2638" w14:textId="77777777" w:rsidR="00C925E6" w:rsidRPr="00F13D39" w:rsidRDefault="00C925E6" w:rsidP="00F13D39">
                <w:pPr>
                  <w:pStyle w:val="TBSubjectTable"/>
                </w:pPr>
                <w:r>
                  <w:t>Subject:</w:t>
                </w:r>
              </w:p>
            </w:tc>
            <w:tc>
              <w:tcPr>
                <w:tcW w:w="7660" w:type="dxa"/>
                <w:tcBorders>
                  <w:top w:val="single" w:sz="4" w:space="0" w:color="auto"/>
                  <w:bottom w:val="single" w:sz="4" w:space="0" w:color="auto"/>
                </w:tcBorders>
              </w:tcPr>
              <w:p w14:paraId="632A2236" w14:textId="77777777" w:rsidR="00C925E6" w:rsidRPr="00F13D39" w:rsidRDefault="00C925E6" w:rsidP="00A56B75">
                <w:pPr>
                  <w:pStyle w:val="TBSubjectText"/>
                </w:pPr>
                <w:bookmarkStart w:id="0" w:name="SplitParasInCell_1"/>
                <w:bookmarkEnd w:id="0"/>
                <w:r>
                  <w:t>COUNCIL DECISION on the position to be taken on behalf of the European Union in the 69th session of the Commission on Narcotic Drugs on the scheduling of substances under the Single Convention on Narcotic Drugs of 1961, as amended by the 1972 Protocol, and the Convention on Psychotropic Substances of 1971</w:t>
                </w:r>
              </w:p>
            </w:tc>
          </w:tr>
        </w:tbl>
        <w:p w14:paraId="63C84C80" w14:textId="77777777" w:rsidR="00C925E6" w:rsidRPr="00F751C6" w:rsidRDefault="00CB21E5" w:rsidP="00F751C6">
          <w:pPr>
            <w:spacing w:before="20" w:after="240" w:line="20" w:lineRule="exact"/>
            <w:rPr>
              <w:sz w:val="2"/>
              <w:szCs w:val="2"/>
            </w:rPr>
          </w:pPr>
        </w:p>
      </w:sdtContent>
    </w:sdt>
    <w:p w14:paraId="5CD2F84E" w14:textId="77777777" w:rsidR="0096129F" w:rsidRDefault="0096129F">
      <w:pPr>
        <w:sectPr w:rsidR="0096129F" w:rsidSect="00C925E6">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p>
    <w:p w14:paraId="384C2E3E" w14:textId="153304BE" w:rsidR="008C43F4" w:rsidRPr="00FA325C" w:rsidRDefault="008C43F4" w:rsidP="00FA325C">
      <w:pPr>
        <w:pStyle w:val="NormalCentered"/>
        <w:rPr>
          <w:b/>
          <w:bCs/>
          <w:noProof/>
          <w:u w:val="single"/>
        </w:rPr>
      </w:pPr>
      <w:bookmarkStart w:id="2" w:name="_Hlk221610951"/>
      <w:r w:rsidRPr="00FA325C">
        <w:rPr>
          <w:b/>
          <w:bCs/>
          <w:noProof/>
          <w:u w:val="single"/>
        </w:rPr>
        <w:lastRenderedPageBreak/>
        <w:t>ANNEX</w:t>
      </w:r>
    </w:p>
    <w:p w14:paraId="5D96CC6D" w14:textId="223A25EA" w:rsidR="008C43F4" w:rsidRDefault="008C43F4" w:rsidP="008C43F4">
      <w:pPr>
        <w:rPr>
          <w:noProof/>
        </w:rPr>
      </w:pPr>
      <w:r>
        <w:rPr>
          <w:noProof/>
        </w:rPr>
        <w:t>Position to be taken by the Member States which are members of the Commission on Narcotic Drugs, acting jointly in the interest of the Union</w:t>
      </w:r>
      <w:r w:rsidR="00A23DF4">
        <w:rPr>
          <w:noProof/>
        </w:rPr>
        <w:t>,</w:t>
      </w:r>
      <w:r>
        <w:rPr>
          <w:noProof/>
        </w:rPr>
        <w:t xml:space="preserve"> during the 69</w:t>
      </w:r>
      <w:r w:rsidRPr="00FA325C">
        <w:rPr>
          <w:noProof/>
        </w:rPr>
        <w:t>th</w:t>
      </w:r>
      <w:r w:rsidR="00FA325C">
        <w:rPr>
          <w:noProof/>
        </w:rPr>
        <w:t xml:space="preserve"> </w:t>
      </w:r>
      <w:r>
        <w:rPr>
          <w:noProof/>
        </w:rPr>
        <w:t>session of the Commission on Narcotic Drugs from 9</w:t>
      </w:r>
      <w:r w:rsidR="00FA325C">
        <w:rPr>
          <w:noProof/>
        </w:rPr>
        <w:t xml:space="preserve"> </w:t>
      </w:r>
      <w:r>
        <w:rPr>
          <w:noProof/>
        </w:rPr>
        <w:t>to</w:t>
      </w:r>
      <w:r w:rsidR="00FA325C">
        <w:rPr>
          <w:noProof/>
        </w:rPr>
        <w:t xml:space="preserve"> </w:t>
      </w:r>
      <w:r>
        <w:rPr>
          <w:noProof/>
        </w:rPr>
        <w:t>13</w:t>
      </w:r>
      <w:r w:rsidR="00FA325C">
        <w:rPr>
          <w:noProof/>
        </w:rPr>
        <w:t xml:space="preserve"> </w:t>
      </w:r>
      <w:r>
        <w:rPr>
          <w:noProof/>
        </w:rPr>
        <w:t>March 2026</w:t>
      </w:r>
      <w:r w:rsidR="007110F1">
        <w:rPr>
          <w:noProof/>
        </w:rPr>
        <w:t xml:space="preserve"> on </w:t>
      </w:r>
      <w:r w:rsidR="00A23DF4">
        <w:rPr>
          <w:noProof/>
        </w:rPr>
        <w:t>the scheduling</w:t>
      </w:r>
      <w:r>
        <w:rPr>
          <w:noProof/>
        </w:rPr>
        <w:t xml:space="preserve"> of substances:</w:t>
      </w:r>
    </w:p>
    <w:p w14:paraId="7D2D4B82" w14:textId="2754C366" w:rsidR="008C43F4" w:rsidRDefault="008C43F4" w:rsidP="008C43F4">
      <w:pPr>
        <w:pStyle w:val="Point0"/>
        <w:rPr>
          <w:noProof/>
        </w:rPr>
      </w:pPr>
      <w:r>
        <w:rPr>
          <w:iCs/>
          <w:noProof/>
        </w:rPr>
        <w:t>(1)</w:t>
      </w:r>
      <w:r>
        <w:rPr>
          <w:iCs/>
          <w:noProof/>
        </w:rPr>
        <w:tab/>
      </w:r>
      <w:r>
        <w:rPr>
          <w:i/>
          <w:noProof/>
        </w:rPr>
        <w:t>N</w:t>
      </w:r>
      <w:r>
        <w:rPr>
          <w:noProof/>
        </w:rPr>
        <w:t>-pyrrolidino isotonitazene (Isotonitazepyne) (IUPAC name: 5-nitro-2-({4-[(propan-2-yl)oxy]phenyl}methyl)-1-[2-(pyrrolidin-1-yl)ethyl]-1</w:t>
      </w:r>
      <w:r w:rsidRPr="00881FAB">
        <w:rPr>
          <w:i/>
          <w:iCs/>
          <w:noProof/>
        </w:rPr>
        <w:t>H</w:t>
      </w:r>
      <w:r>
        <w:rPr>
          <w:noProof/>
        </w:rPr>
        <w:t>-1,3-benzimidazole)</w:t>
      </w:r>
      <w:r w:rsidR="002D239D">
        <w:rPr>
          <w:noProof/>
        </w:rPr>
        <w:t xml:space="preserve"> is to be included in Schedule I to the Convention on Narcotic Drugs</w:t>
      </w:r>
      <w:r>
        <w:rPr>
          <w:noProof/>
        </w:rPr>
        <w:t>;</w:t>
      </w:r>
    </w:p>
    <w:p w14:paraId="4DB6B93B" w14:textId="30266BDC" w:rsidR="008C43F4" w:rsidRDefault="008C43F4" w:rsidP="008C43F4">
      <w:pPr>
        <w:pStyle w:val="Point0"/>
        <w:rPr>
          <w:noProof/>
        </w:rPr>
      </w:pPr>
      <w:r>
        <w:rPr>
          <w:noProof/>
        </w:rPr>
        <w:t>(2)</w:t>
      </w:r>
      <w:r>
        <w:rPr>
          <w:noProof/>
        </w:rPr>
        <w:tab/>
      </w:r>
      <w:r>
        <w:rPr>
          <w:i/>
          <w:noProof/>
        </w:rPr>
        <w:t>N</w:t>
      </w:r>
      <w:r>
        <w:rPr>
          <w:noProof/>
        </w:rPr>
        <w:t>-desethyl etonitazene (IUPAC name: 2-[2-[(4-ethoxyphenyl)methyl]-5-nitro-benzimidazol-1-yl]-</w:t>
      </w:r>
      <w:r w:rsidRPr="00881FAB">
        <w:rPr>
          <w:i/>
          <w:iCs/>
          <w:noProof/>
        </w:rPr>
        <w:t>N</w:t>
      </w:r>
      <w:r>
        <w:rPr>
          <w:noProof/>
        </w:rPr>
        <w:t>-ethyl-ethanamine)</w:t>
      </w:r>
      <w:r w:rsidR="002D239D">
        <w:rPr>
          <w:noProof/>
        </w:rPr>
        <w:t xml:space="preserve"> is to be included in Schedule I to the Convention on Narcotic Drugs</w:t>
      </w:r>
      <w:r>
        <w:rPr>
          <w:noProof/>
        </w:rPr>
        <w:t>;</w:t>
      </w:r>
    </w:p>
    <w:p w14:paraId="75ECE1C6" w14:textId="561EE527" w:rsidR="008C43F4" w:rsidRDefault="008C43F4" w:rsidP="008C43F4">
      <w:pPr>
        <w:pStyle w:val="Point0"/>
        <w:rPr>
          <w:noProof/>
        </w:rPr>
      </w:pPr>
      <w:r>
        <w:rPr>
          <w:noProof/>
        </w:rPr>
        <w:t>(3)</w:t>
      </w:r>
      <w:r>
        <w:rPr>
          <w:noProof/>
        </w:rPr>
        <w:tab/>
        <w:t>MDMB-FUBINACA (IUPAC name: methyl 2-[[1-[(4-fluorophenyl)methyl]indazole-3-carbonyl]amino]-3,3-dimethyl-butanoate)</w:t>
      </w:r>
      <w:r w:rsidR="002D239D">
        <w:rPr>
          <w:noProof/>
        </w:rPr>
        <w:t xml:space="preserve"> is to be included in Schedule II to the Convention on Psychotropic Substances</w:t>
      </w:r>
      <w:r>
        <w:rPr>
          <w:noProof/>
        </w:rPr>
        <w:t>.</w:t>
      </w:r>
      <w:bookmarkEnd w:id="2"/>
    </w:p>
    <w:p w14:paraId="6CA64CE4" w14:textId="00D11C4D" w:rsidR="0096129F" w:rsidRPr="0096129F" w:rsidRDefault="0096129F" w:rsidP="008C43F4">
      <w:pPr>
        <w:pStyle w:val="Lignefinal"/>
      </w:pPr>
    </w:p>
    <w:sectPr w:rsidR="0096129F" w:rsidRPr="0096129F" w:rsidSect="00C925E6">
      <w:headerReference w:type="even" r:id="rId18"/>
      <w:headerReference w:type="default" r:id="rId19"/>
      <w:footerReference w:type="even" r:id="rId20"/>
      <w:headerReference w:type="first" r:id="rId21"/>
      <w:footerReference w:type="first" r:id="rId22"/>
      <w:pgSz w:w="11907" w:h="16839"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D6824" w14:textId="77777777" w:rsidR="0096129F" w:rsidRPr="00245855" w:rsidRDefault="0096129F" w:rsidP="00245855">
      <w:pPr>
        <w:spacing w:before="0" w:after="0"/>
      </w:pPr>
      <w:r w:rsidRPr="00245855">
        <w:separator/>
      </w:r>
    </w:p>
  </w:endnote>
  <w:endnote w:type="continuationSeparator" w:id="0">
    <w:p w14:paraId="2DB83831" w14:textId="77777777" w:rsidR="0096129F" w:rsidRDefault="0096129F"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DD56" w14:textId="77777777" w:rsidR="00CB21E5" w:rsidRDefault="00CB21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C925E6" w:rsidRPr="0035025C" w14:paraId="4B64BFDA" w14:textId="77777777" w:rsidTr="00C925E6">
      <w:trPr>
        <w:jc w:val="center"/>
      </w:trPr>
      <w:tc>
        <w:tcPr>
          <w:tcW w:w="5000" w:type="pct"/>
          <w:gridSpan w:val="7"/>
          <w:shd w:val="clear" w:color="auto" w:fill="auto"/>
          <w:tcMar>
            <w:top w:w="57" w:type="dxa"/>
          </w:tcMar>
        </w:tcPr>
        <w:p w14:paraId="2CA830CC" w14:textId="77777777" w:rsidR="00C925E6" w:rsidRPr="0035025C" w:rsidRDefault="00C925E6" w:rsidP="0035025C">
          <w:pPr>
            <w:pStyle w:val="FooterText"/>
            <w:pBdr>
              <w:top w:val="single" w:sz="4" w:space="1" w:color="auto"/>
            </w:pBdr>
            <w:spacing w:before="200"/>
            <w:rPr>
              <w:sz w:val="2"/>
              <w:szCs w:val="2"/>
            </w:rPr>
          </w:pPr>
          <w:bookmarkStart w:id="1" w:name="FOOTER_LEGACTS"/>
        </w:p>
      </w:tc>
    </w:tr>
    <w:tr w:rsidR="00C925E6" w:rsidRPr="00B310DC" w14:paraId="3C2CDAFC" w14:textId="77777777" w:rsidTr="00C925E6">
      <w:trPr>
        <w:jc w:val="center"/>
      </w:trPr>
      <w:tc>
        <w:tcPr>
          <w:tcW w:w="2499" w:type="pct"/>
          <w:gridSpan w:val="2"/>
          <w:shd w:val="clear" w:color="auto" w:fill="auto"/>
          <w:tcMar>
            <w:top w:w="0" w:type="dxa"/>
          </w:tcMar>
        </w:tcPr>
        <w:p w14:paraId="7320DB72" w14:textId="32320364" w:rsidR="00C925E6" w:rsidRPr="00AD7BF2" w:rsidRDefault="00C925E6" w:rsidP="0035025C">
          <w:pPr>
            <w:pStyle w:val="FooterText"/>
          </w:pPr>
          <w:r>
            <w:t>6040/26 ADD 1</w:t>
          </w:r>
          <w:r w:rsidRPr="00C15257">
            <w:rPr>
              <w:sz w:val="16"/>
              <w:szCs w:val="16"/>
            </w:rPr>
            <w:t xml:space="preserve"> </w:t>
          </w:r>
        </w:p>
      </w:tc>
      <w:tc>
        <w:tcPr>
          <w:tcW w:w="625" w:type="pct"/>
          <w:shd w:val="clear" w:color="auto" w:fill="auto"/>
          <w:tcMar>
            <w:top w:w="0" w:type="dxa"/>
          </w:tcMar>
        </w:tcPr>
        <w:p w14:paraId="4E8F88AB" w14:textId="77777777" w:rsidR="00C925E6" w:rsidRPr="00AD7BF2" w:rsidRDefault="00C925E6" w:rsidP="0035025C">
          <w:pPr>
            <w:pStyle w:val="FooterText"/>
            <w:jc w:val="center"/>
          </w:pPr>
        </w:p>
      </w:tc>
      <w:tc>
        <w:tcPr>
          <w:tcW w:w="1287" w:type="pct"/>
          <w:gridSpan w:val="3"/>
          <w:shd w:val="clear" w:color="auto" w:fill="auto"/>
          <w:tcMar>
            <w:top w:w="0" w:type="dxa"/>
          </w:tcMar>
        </w:tcPr>
        <w:p w14:paraId="737AE375" w14:textId="77777777" w:rsidR="00C925E6" w:rsidRPr="002511D8" w:rsidRDefault="00C925E6" w:rsidP="0035025C">
          <w:pPr>
            <w:pStyle w:val="FooterText"/>
            <w:jc w:val="center"/>
          </w:pPr>
        </w:p>
      </w:tc>
      <w:tc>
        <w:tcPr>
          <w:tcW w:w="589" w:type="pct"/>
          <w:shd w:val="clear" w:color="auto" w:fill="auto"/>
          <w:tcMar>
            <w:top w:w="0" w:type="dxa"/>
          </w:tcMar>
        </w:tcPr>
        <w:p w14:paraId="4C74E974" w14:textId="591674BF" w:rsidR="00C925E6" w:rsidRPr="00B310DC" w:rsidRDefault="00C925E6"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C925E6" w:rsidRPr="0035025C" w14:paraId="0DC5A8DD" w14:textId="77777777" w:rsidTr="00C925E6">
      <w:trPr>
        <w:jc w:val="center"/>
      </w:trPr>
      <w:tc>
        <w:tcPr>
          <w:tcW w:w="1774" w:type="pct"/>
          <w:shd w:val="clear" w:color="auto" w:fill="auto"/>
        </w:tcPr>
        <w:p w14:paraId="1FD9D934" w14:textId="080A0B1E" w:rsidR="00C925E6" w:rsidRPr="00AD7BF2" w:rsidRDefault="00C925E6" w:rsidP="0035025C">
          <w:pPr>
            <w:pStyle w:val="FooterText"/>
            <w:spacing w:before="40"/>
          </w:pPr>
        </w:p>
      </w:tc>
      <w:tc>
        <w:tcPr>
          <w:tcW w:w="1494" w:type="pct"/>
          <w:gridSpan w:val="3"/>
          <w:shd w:val="clear" w:color="auto" w:fill="auto"/>
        </w:tcPr>
        <w:p w14:paraId="036E69B3" w14:textId="19371CE8" w:rsidR="00C925E6" w:rsidRPr="00AD7BF2" w:rsidRDefault="00C925E6" w:rsidP="0035025C">
          <w:pPr>
            <w:pStyle w:val="FooterText"/>
            <w:spacing w:before="40"/>
            <w:jc w:val="center"/>
          </w:pPr>
          <w:r>
            <w:t>JAI.B</w:t>
          </w:r>
        </w:p>
      </w:tc>
      <w:tc>
        <w:tcPr>
          <w:tcW w:w="703" w:type="pct"/>
          <w:shd w:val="clear" w:color="auto" w:fill="auto"/>
        </w:tcPr>
        <w:p w14:paraId="3DD9A848" w14:textId="4ECF7900" w:rsidR="00C925E6" w:rsidRPr="0035025C" w:rsidRDefault="00C925E6" w:rsidP="004B628B">
          <w:pPr>
            <w:pStyle w:val="FooterText"/>
            <w:jc w:val="center"/>
            <w:rPr>
              <w:b/>
              <w:position w:val="-4"/>
              <w:sz w:val="36"/>
            </w:rPr>
          </w:pPr>
          <w:r>
            <w:rPr>
              <w:b/>
              <w:position w:val="-4"/>
              <w:sz w:val="36"/>
            </w:rPr>
            <w:t>LIMITE</w:t>
          </w:r>
        </w:p>
      </w:tc>
      <w:tc>
        <w:tcPr>
          <w:tcW w:w="1029" w:type="pct"/>
          <w:gridSpan w:val="2"/>
          <w:shd w:val="clear" w:color="auto" w:fill="auto"/>
        </w:tcPr>
        <w:p w14:paraId="6219AB18" w14:textId="5CF2BFDF" w:rsidR="00C925E6" w:rsidRPr="00695BAF" w:rsidRDefault="00C925E6" w:rsidP="0035025C">
          <w:pPr>
            <w:pStyle w:val="FooterText"/>
            <w:jc w:val="right"/>
            <w:rPr>
              <w:caps/>
              <w:sz w:val="16"/>
            </w:rPr>
          </w:pPr>
          <w:r>
            <w:rPr>
              <w:b/>
              <w:caps/>
              <w:spacing w:val="-20"/>
              <w:position w:val="-4"/>
              <w:sz w:val="36"/>
            </w:rPr>
            <w:t>EN</w:t>
          </w:r>
        </w:p>
      </w:tc>
    </w:tr>
    <w:bookmarkEnd w:id="1"/>
  </w:tbl>
  <w:p w14:paraId="7C7E4BC5" w14:textId="4AF99188" w:rsidR="0096129F" w:rsidRPr="00C925E6" w:rsidRDefault="0096129F" w:rsidP="00C925E6">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C925E6" w:rsidRPr="0035025C" w14:paraId="0B98D1E0" w14:textId="77777777" w:rsidTr="00C925E6">
      <w:trPr>
        <w:jc w:val="center"/>
      </w:trPr>
      <w:tc>
        <w:tcPr>
          <w:tcW w:w="5000" w:type="pct"/>
          <w:gridSpan w:val="7"/>
          <w:shd w:val="clear" w:color="auto" w:fill="auto"/>
          <w:tcMar>
            <w:top w:w="57" w:type="dxa"/>
          </w:tcMar>
        </w:tcPr>
        <w:p w14:paraId="3C7FBD95" w14:textId="77777777" w:rsidR="00C925E6" w:rsidRPr="0035025C" w:rsidRDefault="00C925E6" w:rsidP="0035025C">
          <w:pPr>
            <w:pStyle w:val="FooterText"/>
            <w:pBdr>
              <w:top w:val="single" w:sz="4" w:space="1" w:color="auto"/>
            </w:pBdr>
            <w:spacing w:before="200"/>
            <w:rPr>
              <w:sz w:val="2"/>
              <w:szCs w:val="2"/>
            </w:rPr>
          </w:pPr>
        </w:p>
      </w:tc>
    </w:tr>
    <w:tr w:rsidR="00C925E6" w:rsidRPr="00B310DC" w14:paraId="32D71F2D" w14:textId="77777777" w:rsidTr="00C925E6">
      <w:trPr>
        <w:jc w:val="center"/>
      </w:trPr>
      <w:tc>
        <w:tcPr>
          <w:tcW w:w="2499" w:type="pct"/>
          <w:gridSpan w:val="2"/>
          <w:shd w:val="clear" w:color="auto" w:fill="auto"/>
          <w:tcMar>
            <w:top w:w="0" w:type="dxa"/>
          </w:tcMar>
        </w:tcPr>
        <w:p w14:paraId="00B84290" w14:textId="75AAA8FB" w:rsidR="00C925E6" w:rsidRPr="00AD7BF2" w:rsidRDefault="00C925E6" w:rsidP="0035025C">
          <w:pPr>
            <w:pStyle w:val="FooterText"/>
          </w:pPr>
          <w:r>
            <w:t>6040/26 ADD 1</w:t>
          </w:r>
          <w:r w:rsidRPr="00C15257">
            <w:rPr>
              <w:sz w:val="16"/>
              <w:szCs w:val="16"/>
            </w:rPr>
            <w:t xml:space="preserve"> </w:t>
          </w:r>
        </w:p>
      </w:tc>
      <w:tc>
        <w:tcPr>
          <w:tcW w:w="625" w:type="pct"/>
          <w:shd w:val="clear" w:color="auto" w:fill="auto"/>
          <w:tcMar>
            <w:top w:w="0" w:type="dxa"/>
          </w:tcMar>
        </w:tcPr>
        <w:p w14:paraId="37DE4D07" w14:textId="77777777" w:rsidR="00C925E6" w:rsidRPr="00AD7BF2" w:rsidRDefault="00C925E6" w:rsidP="0035025C">
          <w:pPr>
            <w:pStyle w:val="FooterText"/>
            <w:jc w:val="center"/>
          </w:pPr>
        </w:p>
      </w:tc>
      <w:tc>
        <w:tcPr>
          <w:tcW w:w="1287" w:type="pct"/>
          <w:gridSpan w:val="3"/>
          <w:shd w:val="clear" w:color="auto" w:fill="auto"/>
          <w:tcMar>
            <w:top w:w="0" w:type="dxa"/>
          </w:tcMar>
        </w:tcPr>
        <w:p w14:paraId="663DE0A8" w14:textId="77777777" w:rsidR="00C925E6" w:rsidRPr="002511D8" w:rsidRDefault="00C925E6" w:rsidP="0035025C">
          <w:pPr>
            <w:pStyle w:val="FooterText"/>
            <w:jc w:val="center"/>
          </w:pPr>
        </w:p>
      </w:tc>
      <w:tc>
        <w:tcPr>
          <w:tcW w:w="589" w:type="pct"/>
          <w:shd w:val="clear" w:color="auto" w:fill="auto"/>
          <w:tcMar>
            <w:top w:w="0" w:type="dxa"/>
          </w:tcMar>
        </w:tcPr>
        <w:p w14:paraId="6EE06D89" w14:textId="6B440269" w:rsidR="00C925E6" w:rsidRPr="00B310DC" w:rsidRDefault="00C925E6" w:rsidP="0035025C">
          <w:pPr>
            <w:pStyle w:val="FooterText"/>
            <w:jc w:val="right"/>
          </w:pPr>
        </w:p>
      </w:tc>
    </w:tr>
    <w:tr w:rsidR="00C925E6" w:rsidRPr="0035025C" w14:paraId="4D77616F" w14:textId="77777777" w:rsidTr="00C925E6">
      <w:trPr>
        <w:jc w:val="center"/>
      </w:trPr>
      <w:tc>
        <w:tcPr>
          <w:tcW w:w="1774" w:type="pct"/>
          <w:shd w:val="clear" w:color="auto" w:fill="auto"/>
        </w:tcPr>
        <w:p w14:paraId="01D3C550" w14:textId="7471E3AA" w:rsidR="00C925E6" w:rsidRPr="00AD7BF2" w:rsidRDefault="00C925E6" w:rsidP="0035025C">
          <w:pPr>
            <w:pStyle w:val="FooterText"/>
            <w:spacing w:before="40"/>
          </w:pPr>
        </w:p>
      </w:tc>
      <w:tc>
        <w:tcPr>
          <w:tcW w:w="1494" w:type="pct"/>
          <w:gridSpan w:val="3"/>
          <w:shd w:val="clear" w:color="auto" w:fill="auto"/>
        </w:tcPr>
        <w:p w14:paraId="344537E0" w14:textId="4C8AFD0F" w:rsidR="00C925E6" w:rsidRPr="00AD7BF2" w:rsidRDefault="00C925E6" w:rsidP="0035025C">
          <w:pPr>
            <w:pStyle w:val="FooterText"/>
            <w:spacing w:before="40"/>
            <w:jc w:val="center"/>
          </w:pPr>
          <w:r>
            <w:t>JAI.B</w:t>
          </w:r>
        </w:p>
      </w:tc>
      <w:tc>
        <w:tcPr>
          <w:tcW w:w="703" w:type="pct"/>
          <w:shd w:val="clear" w:color="auto" w:fill="auto"/>
        </w:tcPr>
        <w:p w14:paraId="5E7D4D7D" w14:textId="69DB16A5" w:rsidR="00C925E6" w:rsidRPr="0035025C" w:rsidRDefault="00C925E6" w:rsidP="004B628B">
          <w:pPr>
            <w:pStyle w:val="FooterText"/>
            <w:jc w:val="center"/>
            <w:rPr>
              <w:b/>
              <w:position w:val="-4"/>
              <w:sz w:val="36"/>
            </w:rPr>
          </w:pPr>
          <w:r>
            <w:rPr>
              <w:b/>
              <w:position w:val="-4"/>
              <w:sz w:val="36"/>
            </w:rPr>
            <w:t>LIMITE</w:t>
          </w:r>
        </w:p>
      </w:tc>
      <w:tc>
        <w:tcPr>
          <w:tcW w:w="1029" w:type="pct"/>
          <w:gridSpan w:val="2"/>
          <w:shd w:val="clear" w:color="auto" w:fill="auto"/>
        </w:tcPr>
        <w:p w14:paraId="08129F56" w14:textId="0345AF6D" w:rsidR="00C925E6" w:rsidRPr="00695BAF" w:rsidRDefault="00C925E6" w:rsidP="0035025C">
          <w:pPr>
            <w:pStyle w:val="FooterText"/>
            <w:jc w:val="right"/>
            <w:rPr>
              <w:caps/>
              <w:sz w:val="16"/>
            </w:rPr>
          </w:pPr>
          <w:r>
            <w:rPr>
              <w:b/>
              <w:caps/>
              <w:spacing w:val="-20"/>
              <w:position w:val="-4"/>
              <w:sz w:val="36"/>
            </w:rPr>
            <w:t>EN</w:t>
          </w:r>
        </w:p>
      </w:tc>
    </w:tr>
  </w:tbl>
  <w:p w14:paraId="791434F0" w14:textId="77777777" w:rsidR="0096129F" w:rsidRPr="00C925E6" w:rsidRDefault="0096129F" w:rsidP="00C925E6">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7DD4" w14:textId="77777777" w:rsidR="008C43F4" w:rsidRPr="00C925E6" w:rsidRDefault="008C43F4" w:rsidP="00C925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BDAA" w14:textId="77777777" w:rsidR="008C43F4" w:rsidRPr="00C925E6" w:rsidRDefault="008C43F4" w:rsidP="00C92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7888" w14:textId="77777777" w:rsidR="0096129F" w:rsidRPr="00245855" w:rsidRDefault="0096129F" w:rsidP="00245855">
      <w:pPr>
        <w:spacing w:before="0" w:after="0"/>
      </w:pPr>
      <w:r w:rsidRPr="00245855">
        <w:separator/>
      </w:r>
    </w:p>
  </w:footnote>
  <w:footnote w:type="continuationSeparator" w:id="0">
    <w:p w14:paraId="581F8831" w14:textId="77777777" w:rsidR="0096129F" w:rsidRDefault="0096129F" w:rsidP="0024585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9794" w14:textId="77777777" w:rsidR="00CB21E5" w:rsidRDefault="00CB2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EE5F" w14:textId="00F5BCAF" w:rsidR="0096129F" w:rsidRPr="00C925E6" w:rsidRDefault="00C925E6" w:rsidP="00C925E6">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37998" w14:textId="2F218DDC" w:rsidR="0096129F" w:rsidRPr="00C925E6" w:rsidRDefault="00C925E6" w:rsidP="00C925E6">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64DD" w14:textId="77777777" w:rsidR="008C43F4" w:rsidRPr="00C925E6" w:rsidRDefault="008C43F4" w:rsidP="00C925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5E8C" w14:textId="77777777" w:rsidR="008C43F4" w:rsidRPr="00C925E6" w:rsidRDefault="008C43F4" w:rsidP="00C925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E9D" w14:textId="77777777" w:rsidR="008C43F4" w:rsidRPr="00C925E6" w:rsidRDefault="008C43F4" w:rsidP="00C925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8"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9"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20"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371224461">
    <w:abstractNumId w:val="4"/>
  </w:num>
  <w:num w:numId="2" w16cid:durableId="1583297739">
    <w:abstractNumId w:val="10"/>
  </w:num>
  <w:num w:numId="3" w16cid:durableId="493028266">
    <w:abstractNumId w:val="14"/>
  </w:num>
  <w:num w:numId="4" w16cid:durableId="19748251">
    <w:abstractNumId w:val="13"/>
  </w:num>
  <w:num w:numId="5" w16cid:durableId="194975596">
    <w:abstractNumId w:val="24"/>
  </w:num>
  <w:num w:numId="6" w16cid:durableId="2051998500">
    <w:abstractNumId w:val="7"/>
  </w:num>
  <w:num w:numId="7" w16cid:durableId="920985168">
    <w:abstractNumId w:val="8"/>
  </w:num>
  <w:num w:numId="8" w16cid:durableId="859395038">
    <w:abstractNumId w:val="9"/>
  </w:num>
  <w:num w:numId="9" w16cid:durableId="1884709445">
    <w:abstractNumId w:val="11"/>
  </w:num>
  <w:num w:numId="10" w16cid:durableId="907809623">
    <w:abstractNumId w:val="5"/>
  </w:num>
  <w:num w:numId="11" w16cid:durableId="147790786">
    <w:abstractNumId w:val="0"/>
  </w:num>
  <w:num w:numId="12" w16cid:durableId="1276255905">
    <w:abstractNumId w:val="25"/>
  </w:num>
  <w:num w:numId="13" w16cid:durableId="641539383">
    <w:abstractNumId w:val="6"/>
  </w:num>
  <w:num w:numId="14" w16cid:durableId="1463424940">
    <w:abstractNumId w:val="2"/>
  </w:num>
  <w:num w:numId="15" w16cid:durableId="1445808034">
    <w:abstractNumId w:val="1"/>
  </w:num>
  <w:num w:numId="16" w16cid:durableId="1852645536">
    <w:abstractNumId w:val="20"/>
  </w:num>
  <w:num w:numId="17" w16cid:durableId="850142578">
    <w:abstractNumId w:val="19"/>
  </w:num>
  <w:num w:numId="18" w16cid:durableId="9839530">
    <w:abstractNumId w:val="15"/>
  </w:num>
  <w:num w:numId="19" w16cid:durableId="1073358758">
    <w:abstractNumId w:val="22"/>
  </w:num>
  <w:num w:numId="20" w16cid:durableId="1326860946">
    <w:abstractNumId w:val="21"/>
  </w:num>
  <w:num w:numId="21" w16cid:durableId="1663196454">
    <w:abstractNumId w:val="23"/>
  </w:num>
  <w:num w:numId="22" w16cid:durableId="808937615">
    <w:abstractNumId w:val="3"/>
  </w:num>
  <w:num w:numId="23" w16cid:durableId="232594412">
    <w:abstractNumId w:val="18"/>
  </w:num>
  <w:num w:numId="24" w16cid:durableId="15310659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12289"/>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3257694086971904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20&lt;/text&gt;_x000d__x000a_  &lt;/metadata&gt;_x000d__x000a_  &lt;metadata key=&quot;md_Prefix&quot;&gt;_x000d__x000a_    &lt;text&gt;&lt;/text&gt;_x000d__x000a_  &lt;/metadata&gt;_x000d__x000a_  &lt;metadata key=&quot;md_DocumentNumber&quot;&gt;_x000d__x000a_    &lt;text&gt;6040&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CORDROGUE 16&lt;/text&gt;_x000d__x000a_      &lt;text&gt;SAN 68&lt;/text&gt;_x000d__x000a_      &lt;text&gt;RELEX 155&lt;/text&gt;_x000d__x000a_    &lt;/textlist&gt;_x000d__x000a_  &lt;/metadata&gt;_x000d__x000a_  &lt;metadata key=&quot;md_ThirdPartyDistributionMarkers&quot;&gt;_x000d__x000a_    &lt;textlist&gt;_x000d__x000a_      &lt;text&gt;EUDA&lt;/text&gt;_x000d__x000a_      &lt;text&gt;EUROPOL&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COUNCIL DECISION on the position to be taken on behalf of the European Union in the 69th session of the Commission on Narcotic Drugs on the scheduling of substances under the Single Convention on Narcotic Drugs of 1961, as amended by the 1972 Protocol, and the Convention on Psychotropic Substances of 1971&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amp;gt;COUNCIL DECISION&amp;lt;Run xml:lang=&quot;et-ee&quot; xml:space=&quot;preserve&quot;&amp;gt; &amp;lt;/Run&amp;gt;on the position to be taken on behalf of the European Union in the 69th session of the Commission on Narcotic Drugs on the scheduling of substances under the Single Convention on Narcotic Drugs of 1961, as amended by&amp;lt;Run xml:lang=&quot;et-ee&quot; xml:space=&quot;preserve&quot;&amp;gt; &amp;lt;/Run&amp;gt;the 1972 Protocol, and the Convention on Psychotropic Substances of 1971&amp;lt;/Paragraph&amp;gt;&amp;lt;/FlowDocument&amp;gt;&lt;/xaml&gt;_x000d__x000a_  &lt;/metadata&gt;_x000d__x000a_  &lt;metadata key=&quot;md_SubjectFootnote&quot; /&gt;_x000d__x000a_  &lt;metadata key=&quot;md_DG&quot;&gt;_x000d__x000a_    &lt;text&gt;JAI.B&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 w:name="DW_TechnicalBlockHash" w:val="ec1114cf8d0537f3c65aa3dcbe9c1632b07ef53fa87ae38d6a3b97f5400c9db4"/>
    <w:docVar w:name="EPKit_DocumentHasBeenSaved" w:val="true"/>
  </w:docVars>
  <w:rsids>
    <w:rsidRoot w:val="0096129F"/>
    <w:rsid w:val="00081F4F"/>
    <w:rsid w:val="000C5C3D"/>
    <w:rsid w:val="0010098C"/>
    <w:rsid w:val="00126209"/>
    <w:rsid w:val="00245855"/>
    <w:rsid w:val="002D187E"/>
    <w:rsid w:val="002D239D"/>
    <w:rsid w:val="002E245B"/>
    <w:rsid w:val="00334087"/>
    <w:rsid w:val="003E1039"/>
    <w:rsid w:val="004610C5"/>
    <w:rsid w:val="0046785F"/>
    <w:rsid w:val="005641EA"/>
    <w:rsid w:val="005C3F8F"/>
    <w:rsid w:val="007110F1"/>
    <w:rsid w:val="007C26E7"/>
    <w:rsid w:val="00851F9F"/>
    <w:rsid w:val="0089396A"/>
    <w:rsid w:val="008B4C44"/>
    <w:rsid w:val="008C43F4"/>
    <w:rsid w:val="008E7A6D"/>
    <w:rsid w:val="0092351C"/>
    <w:rsid w:val="0096129F"/>
    <w:rsid w:val="00A22788"/>
    <w:rsid w:val="00A23DF4"/>
    <w:rsid w:val="00AC2C32"/>
    <w:rsid w:val="00BB1852"/>
    <w:rsid w:val="00BE2C8A"/>
    <w:rsid w:val="00C925E6"/>
    <w:rsid w:val="00CB21E5"/>
    <w:rsid w:val="00D02644"/>
    <w:rsid w:val="00E152CE"/>
    <w:rsid w:val="00F6295B"/>
    <w:rsid w:val="00F73B73"/>
    <w:rsid w:val="00F93549"/>
    <w:rsid w:val="00FA325C"/>
    <w:rsid w:val="00FB39B0"/>
    <w:rsid w:val="00FC0E3F"/>
    <w:rsid w:val="00FC43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D00A089"/>
  <w15:chartTrackingRefBased/>
  <w15:docId w15:val="{D108DC9F-518F-4A1D-B7CB-06FDEB2F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qFormat/>
    <w:rsid w:val="00245855"/>
    <w:pPr>
      <w:keepNext/>
      <w:numPr>
        <w:numId w:val="11"/>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nhideWhenUsed/>
    <w:qFormat/>
    <w:rsid w:val="00245855"/>
    <w:pPr>
      <w:keepNext/>
      <w:numPr>
        <w:ilvl w:val="1"/>
        <w:numId w:val="11"/>
      </w:numPr>
      <w:tabs>
        <w:tab w:val="left" w:pos="850"/>
      </w:tabs>
      <w:outlineLvl w:val="1"/>
    </w:pPr>
    <w:rPr>
      <w:rFonts w:eastAsiaTheme="majorEastAsia"/>
      <w:b/>
      <w:szCs w:val="26"/>
    </w:rPr>
  </w:style>
  <w:style w:type="paragraph" w:styleId="Heading3">
    <w:name w:val="heading 3"/>
    <w:basedOn w:val="Normal"/>
    <w:next w:val="Text1"/>
    <w:link w:val="Heading3Char"/>
    <w:unhideWhenUsed/>
    <w:qFormat/>
    <w:rsid w:val="00245855"/>
    <w:pPr>
      <w:keepNext/>
      <w:numPr>
        <w:ilvl w:val="2"/>
        <w:numId w:val="11"/>
      </w:numPr>
      <w:tabs>
        <w:tab w:val="left" w:pos="850"/>
      </w:tabs>
      <w:outlineLvl w:val="2"/>
    </w:pPr>
    <w:rPr>
      <w:rFonts w:eastAsiaTheme="majorEastAsia"/>
      <w:i/>
      <w:szCs w:val="24"/>
    </w:rPr>
  </w:style>
  <w:style w:type="paragraph" w:styleId="Heading4">
    <w:name w:val="heading 4"/>
    <w:basedOn w:val="Normal"/>
    <w:next w:val="Text1"/>
    <w:link w:val="Heading4Char"/>
    <w:unhideWhenUsed/>
    <w:qFormat/>
    <w:rsid w:val="00245855"/>
    <w:pPr>
      <w:keepNext/>
      <w:numPr>
        <w:ilvl w:val="3"/>
        <w:numId w:val="11"/>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1"/>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1"/>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1"/>
      </w:numPr>
      <w:tabs>
        <w:tab w:val="left" w:pos="850"/>
      </w:tabs>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1"/>
      </w:numPr>
    </w:pPr>
  </w:style>
  <w:style w:type="paragraph" w:customStyle="1" w:styleId="Tiret1">
    <w:name w:val="Tiret 1"/>
    <w:basedOn w:val="Normal"/>
    <w:rsid w:val="00245855"/>
    <w:pPr>
      <w:numPr>
        <w:numId w:val="2"/>
      </w:numPr>
    </w:pPr>
  </w:style>
  <w:style w:type="paragraph" w:customStyle="1" w:styleId="Tiret2">
    <w:name w:val="Tiret 2"/>
    <w:basedOn w:val="Normal"/>
    <w:rsid w:val="00245855"/>
    <w:pPr>
      <w:numPr>
        <w:numId w:val="3"/>
      </w:numPr>
    </w:pPr>
  </w:style>
  <w:style w:type="paragraph" w:customStyle="1" w:styleId="Tiret3">
    <w:name w:val="Tiret 3"/>
    <w:basedOn w:val="Normal"/>
    <w:rsid w:val="00245855"/>
    <w:pPr>
      <w:numPr>
        <w:numId w:val="4"/>
      </w:numPr>
    </w:pPr>
  </w:style>
  <w:style w:type="paragraph" w:customStyle="1" w:styleId="Tiret4">
    <w:name w:val="Tiret 4"/>
    <w:basedOn w:val="Normal"/>
    <w:rsid w:val="00245855"/>
    <w:pPr>
      <w:numPr>
        <w:numId w:val="5"/>
      </w:numPr>
    </w:pPr>
  </w:style>
  <w:style w:type="paragraph" w:customStyle="1" w:styleId="Tiret5">
    <w:name w:val="Tiret 5"/>
    <w:basedOn w:val="Normal"/>
    <w:rsid w:val="00245855"/>
    <w:pPr>
      <w:numPr>
        <w:numId w:val="6"/>
      </w:numPr>
    </w:pPr>
  </w:style>
  <w:style w:type="paragraph" w:customStyle="1" w:styleId="Tiret6">
    <w:name w:val="Tiret 6"/>
    <w:basedOn w:val="Normal"/>
    <w:rsid w:val="00245855"/>
    <w:pPr>
      <w:numPr>
        <w:numId w:val="7"/>
      </w:numPr>
    </w:pPr>
  </w:style>
  <w:style w:type="paragraph" w:customStyle="1" w:styleId="Tiret7">
    <w:name w:val="Tiret 7"/>
    <w:basedOn w:val="Normal"/>
    <w:rsid w:val="00245855"/>
    <w:pPr>
      <w:numPr>
        <w:numId w:val="8"/>
      </w:numPr>
    </w:pPr>
  </w:style>
  <w:style w:type="paragraph" w:customStyle="1" w:styleId="Tiret8">
    <w:name w:val="Tiret 8"/>
    <w:basedOn w:val="Normal"/>
    <w:rsid w:val="00245855"/>
    <w:pPr>
      <w:numPr>
        <w:numId w:val="9"/>
      </w:numPr>
    </w:pPr>
  </w:style>
  <w:style w:type="paragraph" w:customStyle="1" w:styleId="NumPar1">
    <w:name w:val="NumPar 1"/>
    <w:basedOn w:val="Normal"/>
    <w:next w:val="Text1"/>
    <w:rsid w:val="00245855"/>
    <w:pPr>
      <w:numPr>
        <w:numId w:val="10"/>
      </w:numPr>
      <w:tabs>
        <w:tab w:val="left" w:pos="850"/>
      </w:tabs>
    </w:pPr>
  </w:style>
  <w:style w:type="paragraph" w:customStyle="1" w:styleId="NumPar2">
    <w:name w:val="NumPar 2"/>
    <w:basedOn w:val="Normal"/>
    <w:next w:val="Text1"/>
    <w:rsid w:val="00245855"/>
    <w:pPr>
      <w:numPr>
        <w:ilvl w:val="1"/>
        <w:numId w:val="10"/>
      </w:numPr>
      <w:tabs>
        <w:tab w:val="left" w:pos="850"/>
      </w:tabs>
    </w:pPr>
  </w:style>
  <w:style w:type="paragraph" w:customStyle="1" w:styleId="NumPar3">
    <w:name w:val="NumPar 3"/>
    <w:basedOn w:val="Normal"/>
    <w:next w:val="Text1"/>
    <w:rsid w:val="00245855"/>
    <w:pPr>
      <w:numPr>
        <w:ilvl w:val="2"/>
        <w:numId w:val="10"/>
      </w:numPr>
      <w:tabs>
        <w:tab w:val="left" w:pos="850"/>
      </w:tabs>
    </w:pPr>
  </w:style>
  <w:style w:type="paragraph" w:customStyle="1" w:styleId="NumPar4">
    <w:name w:val="NumPar 4"/>
    <w:basedOn w:val="Normal"/>
    <w:next w:val="Text1"/>
    <w:rsid w:val="00245855"/>
    <w:pPr>
      <w:numPr>
        <w:ilvl w:val="3"/>
        <w:numId w:val="10"/>
      </w:numPr>
      <w:tabs>
        <w:tab w:val="left" w:pos="850"/>
      </w:tabs>
    </w:pPr>
  </w:style>
  <w:style w:type="paragraph" w:customStyle="1" w:styleId="NumPar5">
    <w:name w:val="NumPar 5"/>
    <w:basedOn w:val="Normal"/>
    <w:next w:val="Text2"/>
    <w:rsid w:val="00245855"/>
    <w:pPr>
      <w:numPr>
        <w:ilvl w:val="4"/>
        <w:numId w:val="10"/>
      </w:numPr>
      <w:tabs>
        <w:tab w:val="left" w:pos="1417"/>
      </w:tabs>
    </w:pPr>
  </w:style>
  <w:style w:type="paragraph" w:customStyle="1" w:styleId="NumPar6">
    <w:name w:val="NumPar 6"/>
    <w:basedOn w:val="Normal"/>
    <w:next w:val="Text2"/>
    <w:rsid w:val="00245855"/>
    <w:pPr>
      <w:numPr>
        <w:ilvl w:val="5"/>
        <w:numId w:val="10"/>
      </w:numPr>
      <w:tabs>
        <w:tab w:val="left" w:pos="1417"/>
      </w:tabs>
    </w:pPr>
  </w:style>
  <w:style w:type="paragraph" w:customStyle="1" w:styleId="NumPar7">
    <w:name w:val="NumPar 7"/>
    <w:basedOn w:val="Normal"/>
    <w:next w:val="Text2"/>
    <w:rsid w:val="00245855"/>
    <w:pPr>
      <w:numPr>
        <w:ilvl w:val="6"/>
        <w:numId w:val="10"/>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2"/>
      </w:numPr>
    </w:pPr>
  </w:style>
  <w:style w:type="paragraph" w:customStyle="1" w:styleId="Point1number">
    <w:name w:val="Point 1 (number)"/>
    <w:basedOn w:val="Normal"/>
    <w:rsid w:val="00245855"/>
    <w:pPr>
      <w:numPr>
        <w:ilvl w:val="2"/>
        <w:numId w:val="12"/>
      </w:numPr>
    </w:pPr>
  </w:style>
  <w:style w:type="paragraph" w:customStyle="1" w:styleId="Point2number">
    <w:name w:val="Point 2 (number)"/>
    <w:basedOn w:val="Normal"/>
    <w:rsid w:val="00245855"/>
    <w:pPr>
      <w:numPr>
        <w:ilvl w:val="4"/>
        <w:numId w:val="12"/>
      </w:numPr>
    </w:pPr>
  </w:style>
  <w:style w:type="paragraph" w:customStyle="1" w:styleId="Point3number">
    <w:name w:val="Point 3 (number)"/>
    <w:basedOn w:val="Normal"/>
    <w:rsid w:val="00245855"/>
    <w:pPr>
      <w:numPr>
        <w:ilvl w:val="6"/>
        <w:numId w:val="12"/>
      </w:numPr>
    </w:pPr>
  </w:style>
  <w:style w:type="paragraph" w:customStyle="1" w:styleId="Point0letter">
    <w:name w:val="Point 0 (letter)"/>
    <w:basedOn w:val="Normal"/>
    <w:rsid w:val="00245855"/>
    <w:pPr>
      <w:numPr>
        <w:ilvl w:val="1"/>
        <w:numId w:val="12"/>
      </w:numPr>
    </w:pPr>
  </w:style>
  <w:style w:type="paragraph" w:customStyle="1" w:styleId="Point1letter">
    <w:name w:val="Point 1 (letter)"/>
    <w:basedOn w:val="Normal"/>
    <w:rsid w:val="00245855"/>
    <w:pPr>
      <w:numPr>
        <w:ilvl w:val="3"/>
        <w:numId w:val="12"/>
      </w:numPr>
    </w:pPr>
  </w:style>
  <w:style w:type="paragraph" w:customStyle="1" w:styleId="Point2letter">
    <w:name w:val="Point 2 (letter)"/>
    <w:basedOn w:val="Normal"/>
    <w:rsid w:val="00245855"/>
    <w:pPr>
      <w:numPr>
        <w:ilvl w:val="5"/>
        <w:numId w:val="12"/>
      </w:numPr>
    </w:pPr>
  </w:style>
  <w:style w:type="paragraph" w:customStyle="1" w:styleId="Point3letter">
    <w:name w:val="Point 3 (letter)"/>
    <w:basedOn w:val="Normal"/>
    <w:rsid w:val="00245855"/>
    <w:pPr>
      <w:numPr>
        <w:ilvl w:val="7"/>
        <w:numId w:val="12"/>
      </w:numPr>
    </w:pPr>
  </w:style>
  <w:style w:type="paragraph" w:customStyle="1" w:styleId="Point4letter">
    <w:name w:val="Point 4 (letter)"/>
    <w:basedOn w:val="Normal"/>
    <w:rsid w:val="00245855"/>
    <w:pPr>
      <w:numPr>
        <w:ilvl w:val="8"/>
        <w:numId w:val="12"/>
      </w:numPr>
    </w:pPr>
  </w:style>
  <w:style w:type="paragraph" w:customStyle="1" w:styleId="Bullet0">
    <w:name w:val="Bullet 0"/>
    <w:basedOn w:val="Normal"/>
    <w:rsid w:val="00245855"/>
    <w:pPr>
      <w:numPr>
        <w:numId w:val="13"/>
      </w:numPr>
    </w:pPr>
  </w:style>
  <w:style w:type="paragraph" w:customStyle="1" w:styleId="Bullet1">
    <w:name w:val="Bullet 1"/>
    <w:basedOn w:val="Normal"/>
    <w:rsid w:val="00245855"/>
    <w:pPr>
      <w:numPr>
        <w:numId w:val="14"/>
      </w:numPr>
    </w:pPr>
  </w:style>
  <w:style w:type="paragraph" w:customStyle="1" w:styleId="Bullet2">
    <w:name w:val="Bullet 2"/>
    <w:basedOn w:val="Normal"/>
    <w:rsid w:val="00245855"/>
    <w:pPr>
      <w:numPr>
        <w:numId w:val="15"/>
      </w:numPr>
    </w:pPr>
  </w:style>
  <w:style w:type="paragraph" w:customStyle="1" w:styleId="Bullet3">
    <w:name w:val="Bullet 3"/>
    <w:basedOn w:val="Normal"/>
    <w:rsid w:val="00245855"/>
    <w:pPr>
      <w:numPr>
        <w:numId w:val="16"/>
      </w:numPr>
    </w:pPr>
  </w:style>
  <w:style w:type="paragraph" w:customStyle="1" w:styleId="Bullet4">
    <w:name w:val="Bullet 4"/>
    <w:basedOn w:val="Normal"/>
    <w:rsid w:val="00245855"/>
    <w:pPr>
      <w:numPr>
        <w:numId w:val="17"/>
      </w:numPr>
    </w:pPr>
  </w:style>
  <w:style w:type="paragraph" w:customStyle="1" w:styleId="Bullet5">
    <w:name w:val="Bullet 5"/>
    <w:basedOn w:val="Normal"/>
    <w:rsid w:val="00245855"/>
    <w:pPr>
      <w:numPr>
        <w:numId w:val="18"/>
      </w:numPr>
    </w:pPr>
  </w:style>
  <w:style w:type="paragraph" w:customStyle="1" w:styleId="Bullet6">
    <w:name w:val="Bullet 6"/>
    <w:basedOn w:val="Normal"/>
    <w:rsid w:val="00245855"/>
    <w:pPr>
      <w:numPr>
        <w:numId w:val="19"/>
      </w:numPr>
    </w:pPr>
  </w:style>
  <w:style w:type="paragraph" w:customStyle="1" w:styleId="Bullet7">
    <w:name w:val="Bullet 7"/>
    <w:basedOn w:val="Normal"/>
    <w:rsid w:val="00245855"/>
    <w:pPr>
      <w:numPr>
        <w:numId w:val="20"/>
      </w:numPr>
    </w:pPr>
  </w:style>
  <w:style w:type="paragraph" w:customStyle="1" w:styleId="Bullet8">
    <w:name w:val="Bullet 8"/>
    <w:basedOn w:val="Normal"/>
    <w:rsid w:val="00245855"/>
    <w:pPr>
      <w:numPr>
        <w:numId w:val="21"/>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2"/>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TBEntInstit">
    <w:name w:val="TBEntInstit"/>
    <w:basedOn w:val="TechnicalBlockBase"/>
    <w:link w:val="EntInstitChar"/>
    <w:rsid w:val="00C925E6"/>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C925E6"/>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C925E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925E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C925E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925E6"/>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C925E6"/>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C925E6"/>
    <w:rPr>
      <w:rFonts w:ascii="Arial" w:eastAsia="Times New Roman" w:hAnsi="Arial" w:cs="Arial"/>
      <w:b/>
      <w:sz w:val="23"/>
      <w:szCs w:val="20"/>
      <w:u w:color="606060"/>
      <w:lang w:val="en-GB" w:eastAsia="fr-BE"/>
    </w:rPr>
  </w:style>
  <w:style w:type="paragraph" w:customStyle="1" w:styleId="TBDistrbMarkers">
    <w:name w:val="TBDistrbMarkers"/>
    <w:basedOn w:val="TBEntRefer"/>
    <w:qFormat/>
    <w:rsid w:val="00C925E6"/>
    <w:pPr>
      <w:tabs>
        <w:tab w:val="left" w:pos="2262"/>
      </w:tabs>
    </w:pPr>
    <w:rPr>
      <w:i/>
      <w:iCs/>
      <w:szCs w:val="23"/>
    </w:rPr>
  </w:style>
  <w:style w:type="paragraph" w:customStyle="1" w:styleId="TBSubjectTable">
    <w:name w:val="TBSubjectTable"/>
    <w:basedOn w:val="TechnicalBlockBase"/>
    <w:rsid w:val="00C925E6"/>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C925E6"/>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C925E6"/>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C925E6"/>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C925E6"/>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96129F"/>
    <w:pPr>
      <w:numPr>
        <w:numId w:val="23"/>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96129F"/>
    <w:pPr>
      <w:numPr>
        <w:numId w:val="24"/>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96129F"/>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96129F"/>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96129F"/>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96129F"/>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96129F"/>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96129F"/>
    <w:pPr>
      <w:spacing w:before="0" w:after="0" w:line="240" w:lineRule="auto"/>
    </w:pPr>
    <w:rPr>
      <w:rFonts w:eastAsia="Times New Roman"/>
      <w:szCs w:val="24"/>
    </w:rPr>
  </w:style>
  <w:style w:type="character" w:styleId="PlaceholderText">
    <w:name w:val="Placeholder Text"/>
    <w:basedOn w:val="DefaultParagraphFont"/>
    <w:uiPriority w:val="99"/>
    <w:semiHidden/>
    <w:rsid w:val="0096129F"/>
    <w:rPr>
      <w:color w:val="808080"/>
    </w:rPr>
  </w:style>
  <w:style w:type="paragraph" w:styleId="Revision">
    <w:name w:val="Revision"/>
    <w:hidden/>
    <w:uiPriority w:val="99"/>
    <w:semiHidden/>
    <w:rsid w:val="00A23DF4"/>
    <w:pPr>
      <w:spacing w:after="0" w:line="240" w:lineRule="auto"/>
    </w:pPr>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2.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4.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DW_LEGACTS.dotm</Template>
  <TotalTime>0</TotalTime>
  <Pages>2</Pages>
  <Words>189</Words>
  <Characters>1204</Characters>
  <Application>Microsoft Office Word</Application>
  <DocSecurity>0</DocSecurity>
  <Lines>52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ZUZJONOK Riina</dc:creator>
  <cp:keywords/>
  <dc:description/>
  <cp:lastModifiedBy>ZUZJONOK Riina</cp:lastModifiedBy>
  <cp:revision>3</cp:revision>
  <dcterms:created xsi:type="dcterms:W3CDTF">2026-02-18T08:50:00Z</dcterms:created>
  <dcterms:modified xsi:type="dcterms:W3CDTF">2026-02-18T08:50:00Z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2026-02-18T08:50:43Z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