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b w:val="0"/>
          <w:sz w:val="24"/>
          <w:szCs w:val="20"/>
          <w:lang w:eastAsia="en-US"/>
        </w:rPr>
        <w:alias w:val="TechnicalBlock"/>
        <w:tag w:val="LCK:TechnicalBlock"/>
        <w:id w:val="886845205"/>
        <w:lock w:val="contentLocked"/>
      </w:sdtPr>
      <w:sdtEndPr>
        <w:rPr>
          <w:szCs w:val="22"/>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FE4851" w:rsidRPr="005F5A6B" w14:paraId="3DDC2EA3" w14:textId="77777777" w:rsidTr="00EE7DE6">
            <w:trPr>
              <w:cantSplit/>
              <w:trHeight w:val="510"/>
              <w:jc w:val="center"/>
            </w:trPr>
            <w:tc>
              <w:tcPr>
                <w:tcW w:w="11344" w:type="dxa"/>
                <w:gridSpan w:val="6"/>
                <w:vAlign w:val="bottom"/>
              </w:tcPr>
              <w:p w14:paraId="79188CBD" w14:textId="77777777" w:rsidR="00FE4851" w:rsidRPr="005F5A6B" w:rsidRDefault="00FE4851" w:rsidP="00EE7DE6">
                <w:pPr>
                  <w:pStyle w:val="TBNormalTechnicalBlock"/>
                  <w:jc w:val="right"/>
                  <w:rPr>
                    <w:b w:val="0"/>
                    <w:bCs/>
                  </w:rPr>
                </w:pPr>
              </w:p>
            </w:tc>
          </w:tr>
          <w:tr w:rsidR="00FE4851" w:rsidRPr="006720F9" w14:paraId="0258DD50" w14:textId="77777777" w:rsidTr="00296074">
            <w:trPr>
              <w:cantSplit/>
              <w:trHeight w:val="567"/>
              <w:jc w:val="center"/>
            </w:trPr>
            <w:tc>
              <w:tcPr>
                <w:tcW w:w="1820" w:type="dxa"/>
                <w:gridSpan w:val="2"/>
                <w:vAlign w:val="bottom"/>
              </w:tcPr>
              <w:p w14:paraId="42F60658" w14:textId="77777777" w:rsidR="00FE4851" w:rsidRPr="006C5D93" w:rsidRDefault="00FE4851" w:rsidP="003C6CD1">
                <w:pPr>
                  <w:pStyle w:val="TBEntInstit"/>
                </w:pPr>
                <w:r w:rsidRPr="006C5D93">
                  <w:rPr>
                    <w:noProof/>
                  </w:rPr>
                  <w:drawing>
                    <wp:inline distT="0" distB="0" distL="0" distR="0" wp14:anchorId="770E0984" wp14:editId="7090025D">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735E43B8" w14:textId="77777777" w:rsidR="00FE4851" w:rsidRPr="008414C3" w:rsidRDefault="00FE4851" w:rsidP="005125B1">
                <w:pPr>
                  <w:pStyle w:val="TBInstitution"/>
                </w:pPr>
                <w:r>
                  <w:t>Council of the</w:t>
                </w:r>
                <w:r>
                  <w:br/>
                  <w:t>European Union</w:t>
                </w:r>
              </w:p>
            </w:tc>
          </w:tr>
          <w:tr w:rsidR="00FE4851" w:rsidRPr="006720F9" w14:paraId="2760D7FA" w14:textId="77777777" w:rsidTr="00D5364D">
            <w:trPr>
              <w:gridBefore w:val="2"/>
              <w:wBefore w:w="1820" w:type="dxa"/>
              <w:cantSplit/>
              <w:trHeight w:val="1191"/>
              <w:jc w:val="center"/>
            </w:trPr>
            <w:tc>
              <w:tcPr>
                <w:tcW w:w="4558" w:type="dxa"/>
                <w:gridSpan w:val="2"/>
                <w:tcMar>
                  <w:top w:w="28" w:type="dxa"/>
                  <w:left w:w="85" w:type="dxa"/>
                </w:tcMar>
              </w:tcPr>
              <w:p w14:paraId="262EF618" w14:textId="77777777" w:rsidR="00FE4851" w:rsidRPr="00327887" w:rsidRDefault="00FE4851" w:rsidP="00762DBC">
                <w:pPr>
                  <w:pStyle w:val="TBInstitutionSubwordmark"/>
                </w:pPr>
              </w:p>
            </w:tc>
            <w:tc>
              <w:tcPr>
                <w:tcW w:w="147" w:type="dxa"/>
                <w:vAlign w:val="bottom"/>
              </w:tcPr>
              <w:p w14:paraId="72A3BAC1" w14:textId="77777777" w:rsidR="00FE4851" w:rsidRPr="00093255" w:rsidRDefault="00FE4851" w:rsidP="00D5364D">
                <w:pPr>
                  <w:pStyle w:val="TBNormalTechnicalBlock"/>
                  <w:jc w:val="right"/>
                  <w:rPr>
                    <w:b w:val="0"/>
                    <w:bCs/>
                  </w:rPr>
                </w:pPr>
              </w:p>
            </w:tc>
            <w:tc>
              <w:tcPr>
                <w:tcW w:w="4819" w:type="dxa"/>
                <w:vMerge w:val="restart"/>
                <w:tcMar>
                  <w:top w:w="0" w:type="dxa"/>
                </w:tcMar>
              </w:tcPr>
              <w:p w14:paraId="0E406C43" w14:textId="77777777" w:rsidR="00FE4851" w:rsidRPr="0012121B" w:rsidRDefault="00FE4851" w:rsidP="001A5B8F">
                <w:pPr>
                  <w:pStyle w:val="TBNormalTechnicalBlock"/>
                </w:pPr>
                <w:r>
                  <w:t>Brussels, 20 February 2026</w:t>
                </w:r>
              </w:p>
              <w:p w14:paraId="5885FA6A" w14:textId="77777777" w:rsidR="00FE4851" w:rsidRPr="00871A20" w:rsidRDefault="00FE4851" w:rsidP="009024D2">
                <w:pPr>
                  <w:pStyle w:val="TBNormalTechnicalBlock"/>
                  <w:rPr>
                    <w:bCs/>
                  </w:rPr>
                </w:pPr>
                <w:r w:rsidRPr="00E60683">
                  <w:rPr>
                    <w:bCs/>
                  </w:rPr>
                  <w:t xml:space="preserve">(OR. </w:t>
                </w:r>
                <w:r>
                  <w:rPr>
                    <w:bCs/>
                  </w:rPr>
                  <w:t>en</w:t>
                </w:r>
                <w:r w:rsidRPr="00871A20">
                  <w:rPr>
                    <w:bCs/>
                  </w:rPr>
                  <w:t>)</w:t>
                </w:r>
              </w:p>
              <w:p w14:paraId="26E49791" w14:textId="77777777" w:rsidR="00FE4851" w:rsidRPr="00871A20" w:rsidRDefault="00FE4851" w:rsidP="00871A20">
                <w:pPr>
                  <w:pStyle w:val="TBNormalTechnicalBlock"/>
                  <w:jc w:val="right"/>
                </w:pPr>
              </w:p>
              <w:p w14:paraId="2A974E19" w14:textId="77777777" w:rsidR="00FE4851" w:rsidRPr="00871A20" w:rsidRDefault="00FE4851" w:rsidP="00871A20">
                <w:pPr>
                  <w:pStyle w:val="TBNormalTechnicalBlock"/>
                  <w:jc w:val="right"/>
                </w:pPr>
              </w:p>
              <w:p w14:paraId="099BE64F" w14:textId="77777777" w:rsidR="00FE4851" w:rsidRPr="00F65A71" w:rsidRDefault="00FE4851" w:rsidP="009024D2">
                <w:pPr>
                  <w:pStyle w:val="TBNormalTechnicalBlock"/>
                  <w:rPr>
                    <w:bCs/>
                    <w:lang w:val="en-US"/>
                  </w:rPr>
                </w:pPr>
                <w:r>
                  <w:rPr>
                    <w:bCs/>
                    <w:lang w:val="en-US"/>
                  </w:rPr>
                  <w:t>6040</w:t>
                </w:r>
                <w:r w:rsidRPr="00F65A71">
                  <w:rPr>
                    <w:bCs/>
                    <w:lang w:val="en-US"/>
                  </w:rPr>
                  <w:t>/</w:t>
                </w:r>
                <w:r>
                  <w:rPr>
                    <w:bCs/>
                    <w:lang w:val="en-US"/>
                  </w:rPr>
                  <w:t>26</w:t>
                </w:r>
              </w:p>
              <w:p w14:paraId="3CDF1447" w14:textId="77777777" w:rsidR="00FE4851" w:rsidRPr="00F65A71" w:rsidRDefault="00FE4851" w:rsidP="009024D2">
                <w:pPr>
                  <w:pStyle w:val="TBNormalTechnicalBlock"/>
                  <w:rPr>
                    <w:lang w:val="en-US"/>
                  </w:rPr>
                </w:pPr>
              </w:p>
              <w:p w14:paraId="5519CEBE" w14:textId="77777777" w:rsidR="00FE4851" w:rsidRPr="00F65A71" w:rsidRDefault="00FE4851" w:rsidP="00871A20">
                <w:pPr>
                  <w:pStyle w:val="TBNormalTechnicalBlock"/>
                  <w:jc w:val="right"/>
                  <w:rPr>
                    <w:lang w:val="en-US"/>
                  </w:rPr>
                </w:pPr>
              </w:p>
              <w:p w14:paraId="5A1D3EE4" w14:textId="77777777" w:rsidR="00FE4851" w:rsidRDefault="00FE4851" w:rsidP="009024D2">
                <w:pPr>
                  <w:pStyle w:val="TBNormalTechnicalBlock"/>
                </w:pPr>
                <w:r>
                  <w:t>LIMITE</w:t>
                </w:r>
              </w:p>
              <w:p w14:paraId="2F0291F0" w14:textId="77777777" w:rsidR="00FE4851" w:rsidRDefault="00FE4851" w:rsidP="00871A20">
                <w:pPr>
                  <w:pStyle w:val="TBNormalTechnicalBlock"/>
                  <w:jc w:val="right"/>
                </w:pPr>
              </w:p>
              <w:p w14:paraId="10A56740" w14:textId="77777777" w:rsidR="00FE4851" w:rsidRDefault="00FE4851">
                <w:pPr>
                  <w:pStyle w:val="TBEntRefer"/>
                  <w:tabs>
                    <w:tab w:val="left" w:pos="2265"/>
                  </w:tabs>
                </w:pPr>
                <w:r>
                  <w:t>CORDROGUE 16</w:t>
                </w:r>
              </w:p>
              <w:p w14:paraId="3476CB88" w14:textId="77777777" w:rsidR="00FE4851" w:rsidRDefault="00FE4851">
                <w:pPr>
                  <w:pStyle w:val="TBEntRefer"/>
                  <w:tabs>
                    <w:tab w:val="left" w:pos="2265"/>
                  </w:tabs>
                </w:pPr>
                <w:r>
                  <w:t>SAN 68</w:t>
                </w:r>
              </w:p>
              <w:p w14:paraId="4C6AEC9C" w14:textId="77777777" w:rsidR="00FE4851" w:rsidRDefault="00FE4851">
                <w:pPr>
                  <w:pStyle w:val="TBEntRefer"/>
                  <w:tabs>
                    <w:tab w:val="left" w:pos="2265"/>
                  </w:tabs>
                </w:pPr>
                <w:r>
                  <w:t>RELEX 155</w:t>
                </w:r>
              </w:p>
              <w:p w14:paraId="3D03EC19" w14:textId="77777777" w:rsidR="00FE4851" w:rsidRPr="00073AB8" w:rsidRDefault="00FE4851" w:rsidP="00DF51D5">
                <w:pPr>
                  <w:pStyle w:val="TBEntRefer"/>
                  <w:tabs>
                    <w:tab w:val="left" w:pos="2262"/>
                  </w:tabs>
                  <w:rPr>
                    <w:sz w:val="4"/>
                    <w:szCs w:val="4"/>
                  </w:rPr>
                </w:pPr>
              </w:p>
              <w:p w14:paraId="5A85433D" w14:textId="77777777" w:rsidR="00FE4851" w:rsidRDefault="00FE4851">
                <w:pPr>
                  <w:pStyle w:val="TBDistrbMarkers"/>
                </w:pPr>
                <w:r>
                  <w:t>EUDA</w:t>
                </w:r>
              </w:p>
              <w:p w14:paraId="457151ED" w14:textId="77777777" w:rsidR="00FE4851" w:rsidRDefault="00FE4851">
                <w:pPr>
                  <w:pStyle w:val="TBDistrbMarkers"/>
                </w:pPr>
                <w:r>
                  <w:t>EUROPOL</w:t>
                </w:r>
              </w:p>
            </w:tc>
          </w:tr>
          <w:tr w:rsidR="00FE4851" w:rsidRPr="006720F9" w14:paraId="0F52EED8" w14:textId="77777777" w:rsidTr="00EE7DE6">
            <w:trPr>
              <w:gridBefore w:val="1"/>
              <w:wBefore w:w="850" w:type="dxa"/>
              <w:cantSplit/>
              <w:trHeight w:val="837"/>
              <w:jc w:val="center"/>
            </w:trPr>
            <w:tc>
              <w:tcPr>
                <w:tcW w:w="3832" w:type="dxa"/>
                <w:gridSpan w:val="2"/>
                <w:vAlign w:val="center"/>
              </w:tcPr>
              <w:p w14:paraId="494A545B" w14:textId="77777777" w:rsidR="00FE4851" w:rsidRPr="002E211F" w:rsidRDefault="00FE4851" w:rsidP="00512AC5">
                <w:pPr>
                  <w:pStyle w:val="TBEntReferNew"/>
                </w:pPr>
              </w:p>
            </w:tc>
            <w:tc>
              <w:tcPr>
                <w:tcW w:w="1843" w:type="dxa"/>
                <w:gridSpan w:val="2"/>
                <w:vMerge w:val="restart"/>
                <w:vAlign w:val="bottom"/>
              </w:tcPr>
              <w:p w14:paraId="43930C49" w14:textId="77777777" w:rsidR="00FE4851" w:rsidRPr="008F6E25" w:rsidRDefault="00FE4851" w:rsidP="00EE7DE6">
                <w:pPr>
                  <w:pStyle w:val="TBNormalTechnicalBlock"/>
                  <w:jc w:val="right"/>
                  <w:rPr>
                    <w:b w:val="0"/>
                    <w:bCs/>
                  </w:rPr>
                </w:pPr>
              </w:p>
            </w:tc>
            <w:tc>
              <w:tcPr>
                <w:tcW w:w="4819" w:type="dxa"/>
                <w:vMerge/>
              </w:tcPr>
              <w:p w14:paraId="7B4B3591" w14:textId="77777777" w:rsidR="00FE4851" w:rsidRPr="00F26BF3" w:rsidRDefault="00FE4851">
                <w:pPr>
                  <w:pStyle w:val="TBEntRefer"/>
                  <w:rPr>
                    <w:szCs w:val="23"/>
                  </w:rPr>
                </w:pPr>
              </w:p>
            </w:tc>
          </w:tr>
          <w:tr w:rsidR="00FE4851" w:rsidRPr="007D65B2" w14:paraId="0D056677" w14:textId="77777777" w:rsidTr="00327887">
            <w:trPr>
              <w:gridBefore w:val="1"/>
              <w:wBefore w:w="850" w:type="dxa"/>
              <w:cantSplit/>
              <w:trHeight w:val="998"/>
              <w:jc w:val="center"/>
            </w:trPr>
            <w:tc>
              <w:tcPr>
                <w:tcW w:w="3832" w:type="dxa"/>
                <w:gridSpan w:val="2"/>
                <w:vAlign w:val="center"/>
              </w:tcPr>
              <w:p w14:paraId="7BA18EFC" w14:textId="77777777" w:rsidR="00FE4851" w:rsidRPr="007D65B2" w:rsidRDefault="00FE4851" w:rsidP="0058695F">
                <w:pPr>
                  <w:pStyle w:val="TBSousEmbargo"/>
                </w:pPr>
              </w:p>
            </w:tc>
            <w:tc>
              <w:tcPr>
                <w:tcW w:w="1843" w:type="dxa"/>
                <w:gridSpan w:val="2"/>
                <w:vMerge/>
                <w:vAlign w:val="center"/>
              </w:tcPr>
              <w:p w14:paraId="7FF7546D" w14:textId="77777777" w:rsidR="00FE4851" w:rsidRPr="008F6E25" w:rsidRDefault="00FE4851" w:rsidP="008F6E25">
                <w:pPr>
                  <w:pStyle w:val="TBNormalTechnicalBlock"/>
                  <w:rPr>
                    <w:b w:val="0"/>
                    <w:bCs/>
                  </w:rPr>
                </w:pPr>
              </w:p>
            </w:tc>
            <w:tc>
              <w:tcPr>
                <w:tcW w:w="4819" w:type="dxa"/>
                <w:vMerge/>
              </w:tcPr>
              <w:p w14:paraId="4E6ED59A" w14:textId="77777777" w:rsidR="00FE4851" w:rsidRPr="007D65B2" w:rsidRDefault="00FE4851">
                <w:pPr>
                  <w:pStyle w:val="TBEntRefer"/>
                  <w:rPr>
                    <w:szCs w:val="23"/>
                  </w:rPr>
                </w:pPr>
              </w:p>
            </w:tc>
          </w:tr>
        </w:tbl>
        <w:p w14:paraId="23389DD4" w14:textId="77777777" w:rsidR="00FE4851" w:rsidRPr="007D65B2" w:rsidRDefault="00FE4851"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FE4851" w:rsidRPr="008C093D" w14:paraId="2AB2CD9A" w14:textId="77777777" w:rsidTr="000E0DFC">
            <w:trPr>
              <w:jc w:val="center"/>
            </w:trPr>
            <w:tc>
              <w:tcPr>
                <w:tcW w:w="9640" w:type="dxa"/>
                <w:gridSpan w:val="2"/>
              </w:tcPr>
              <w:p w14:paraId="4E0B8324" w14:textId="77777777" w:rsidR="00FE4851" w:rsidRPr="008C093D" w:rsidRDefault="00FE4851" w:rsidP="004F2640">
                <w:pPr>
                  <w:pStyle w:val="TBHeadingTable"/>
                </w:pPr>
                <w:r>
                  <w:t>LEGISLATIVE ACTS AND OTHER INSTRUMENTS</w:t>
                </w:r>
              </w:p>
            </w:tc>
          </w:tr>
          <w:tr w:rsidR="00FE4851" w:rsidRPr="00F13D39" w14:paraId="49653AAF" w14:textId="77777777" w:rsidTr="00B511A2">
            <w:trPr>
              <w:jc w:val="center"/>
            </w:trPr>
            <w:tc>
              <w:tcPr>
                <w:tcW w:w="1985" w:type="dxa"/>
                <w:tcBorders>
                  <w:top w:val="single" w:sz="4" w:space="0" w:color="auto"/>
                  <w:bottom w:val="single" w:sz="4" w:space="0" w:color="auto"/>
                </w:tcBorders>
              </w:tcPr>
              <w:p w14:paraId="28865866" w14:textId="77777777" w:rsidR="00FE4851" w:rsidRPr="00F13D39" w:rsidRDefault="00FE4851" w:rsidP="00F13D39">
                <w:pPr>
                  <w:pStyle w:val="TBSubjectTable"/>
                </w:pPr>
                <w:r>
                  <w:t>Subject:</w:t>
                </w:r>
              </w:p>
            </w:tc>
            <w:tc>
              <w:tcPr>
                <w:tcW w:w="7660" w:type="dxa"/>
                <w:tcBorders>
                  <w:top w:val="single" w:sz="4" w:space="0" w:color="auto"/>
                  <w:bottom w:val="single" w:sz="4" w:space="0" w:color="auto"/>
                </w:tcBorders>
              </w:tcPr>
              <w:p w14:paraId="44FA1786" w14:textId="77777777" w:rsidR="00FE4851" w:rsidRPr="00F13D39" w:rsidRDefault="00FE4851" w:rsidP="00A56B75">
                <w:pPr>
                  <w:pStyle w:val="TBSubjectText"/>
                </w:pPr>
                <w:bookmarkStart w:id="0" w:name="SplitParasInCell_1"/>
                <w:bookmarkEnd w:id="0"/>
                <w:r>
                  <w:t>COUNCIL DECISION on the position to be taken on behalf of the European Union in the 69th session of the Commission on Narcotic Drugs on the scheduling of substances under the Single Convention on Narcotic Drugs of 1961, as amended by the 1972 Protocol, and the Convention on Psychotropic Substances of 1971</w:t>
                </w:r>
              </w:p>
            </w:tc>
          </w:tr>
        </w:tbl>
        <w:p w14:paraId="4B891E98" w14:textId="77777777" w:rsidR="00FE4851" w:rsidRPr="00F751C6" w:rsidRDefault="00A57C43" w:rsidP="00F751C6">
          <w:pPr>
            <w:spacing w:before="20" w:after="240" w:line="20" w:lineRule="exact"/>
            <w:rPr>
              <w:sz w:val="2"/>
              <w:szCs w:val="2"/>
            </w:rPr>
          </w:pPr>
        </w:p>
      </w:sdtContent>
    </w:sdt>
    <w:p w14:paraId="666790F2" w14:textId="77777777" w:rsidR="000C4992" w:rsidRDefault="000C4992">
      <w:pPr>
        <w:sectPr w:rsidR="000C4992" w:rsidSect="00FE4851">
          <w:headerReference w:type="default" r:id="rId12"/>
          <w:footerReference w:type="default" r:id="rId13"/>
          <w:headerReference w:type="first" r:id="rId14"/>
          <w:footerReference w:type="first" r:id="rId15"/>
          <w:pgSz w:w="11907" w:h="16840" w:code="9"/>
          <w:pgMar w:top="624" w:right="1134" w:bottom="1134" w:left="1134" w:header="567" w:footer="567" w:gutter="0"/>
          <w:pgNumType w:start="0"/>
          <w:cols w:space="720"/>
          <w:titlePg/>
          <w:docGrid w:linePitch="326"/>
        </w:sectPr>
      </w:pPr>
      <w:bookmarkStart w:id="2" w:name="DQC_RangeToBeChecked"/>
    </w:p>
    <w:p w14:paraId="2E308B0D" w14:textId="77777777" w:rsidR="009F3B66" w:rsidRDefault="009F3B66" w:rsidP="009F3B66">
      <w:pPr>
        <w:pStyle w:val="Typedudocument"/>
      </w:pPr>
      <w:r w:rsidRPr="00BB75CD">
        <w:lastRenderedPageBreak/>
        <w:t>COUNCIL DECISION</w:t>
      </w:r>
      <w:r>
        <w:t xml:space="preserve"> (EU) </w:t>
      </w:r>
      <w:r w:rsidR="007A3E11">
        <w:t>2026</w:t>
      </w:r>
      <w:r>
        <w:t>/…</w:t>
      </w:r>
    </w:p>
    <w:p w14:paraId="17534439" w14:textId="77777777" w:rsidR="009F3B66" w:rsidRDefault="009F3B66" w:rsidP="003D10B6">
      <w:pPr>
        <w:pStyle w:val="Datedadoption"/>
      </w:pPr>
      <w:r>
        <w:t>of …</w:t>
      </w:r>
    </w:p>
    <w:p w14:paraId="706CF1A8" w14:textId="77777777" w:rsidR="009F3B66" w:rsidRDefault="009F3B66" w:rsidP="009F3B66">
      <w:pPr>
        <w:pStyle w:val="Titreobjet"/>
      </w:pPr>
      <w:r w:rsidRPr="00BB75CD">
        <w:t xml:space="preserve">on the position to be taken on behalf of the European Union </w:t>
      </w:r>
      <w:r w:rsidR="005B30E8">
        <w:br/>
      </w:r>
      <w:r w:rsidRPr="00BB75CD">
        <w:t xml:space="preserve">in the </w:t>
      </w:r>
      <w:r>
        <w:t>69th</w:t>
      </w:r>
      <w:r w:rsidRPr="00BB75CD">
        <w:t xml:space="preserve"> session of the Commission on Narcotic Drugs </w:t>
      </w:r>
      <w:r w:rsidR="005B30E8">
        <w:br/>
      </w:r>
      <w:r w:rsidRPr="00BB75CD">
        <w:t xml:space="preserve">on the scheduling of substances under the Single Convention </w:t>
      </w:r>
      <w:r w:rsidR="005B30E8">
        <w:br/>
      </w:r>
      <w:r w:rsidRPr="00BB75CD">
        <w:t xml:space="preserve">on Narcotic Drugs of 1961, as amended by the 1972 Protocol, and the Convention </w:t>
      </w:r>
      <w:r w:rsidR="005B30E8">
        <w:br/>
      </w:r>
      <w:r w:rsidRPr="00BB75CD">
        <w:t>on Psychotropic Substances of 1971</w:t>
      </w:r>
    </w:p>
    <w:p w14:paraId="1E7FA7A7" w14:textId="77777777" w:rsidR="009F3B66" w:rsidRDefault="009F3B66" w:rsidP="009F3B66">
      <w:pPr>
        <w:pStyle w:val="Institutionquiagit"/>
      </w:pPr>
      <w:r>
        <w:t>THE COUNCIL OF THE EUROPEAN UNION,</w:t>
      </w:r>
    </w:p>
    <w:p w14:paraId="224F819E" w14:textId="77777777" w:rsidR="009F3B66" w:rsidRDefault="009F3B66" w:rsidP="009F3B66">
      <w:r>
        <w:t>Having regard to the Treaty on the Functioning of the European Union, and in particular Article</w:t>
      </w:r>
      <w:r w:rsidR="005B30E8">
        <w:t> </w:t>
      </w:r>
      <w:r>
        <w:t>83(1), in conjunction with Article 218(9) thereof,</w:t>
      </w:r>
    </w:p>
    <w:p w14:paraId="5F2C5CF8" w14:textId="77777777" w:rsidR="009F3B66" w:rsidRDefault="009F3B66" w:rsidP="009F3B66">
      <w:r>
        <w:t>Having regard to the proposal from the European Commission,</w:t>
      </w:r>
    </w:p>
    <w:p w14:paraId="43F77660" w14:textId="77777777" w:rsidR="003D10B6" w:rsidRDefault="003D10B6">
      <w:pPr>
        <w:spacing w:before="0" w:after="160" w:line="259" w:lineRule="auto"/>
      </w:pPr>
      <w:r>
        <w:br w:type="page"/>
      </w:r>
    </w:p>
    <w:p w14:paraId="07852A61" w14:textId="77777777" w:rsidR="009F3B66" w:rsidRDefault="009F3B66" w:rsidP="009F3B66">
      <w:r>
        <w:t>Whereas:</w:t>
      </w:r>
    </w:p>
    <w:p w14:paraId="1AB77520" w14:textId="77777777" w:rsidR="009F3B66" w:rsidRDefault="009F3B66" w:rsidP="009F3B66">
      <w:pPr>
        <w:pStyle w:val="ManualConsidrant"/>
      </w:pPr>
      <w:r w:rsidRPr="0070454F">
        <w:t>(1)</w:t>
      </w:r>
      <w:r w:rsidRPr="0070454F">
        <w:tab/>
      </w:r>
      <w:r>
        <w:t xml:space="preserve">The United Nations (UN) Single Convention on Narcotic Drugs of 1961, as amended by the 1972 Protocol (the </w:t>
      </w:r>
      <w:r w:rsidRPr="006A141F">
        <w:rPr>
          <w:rFonts w:asciiTheme="majorBidi" w:hAnsiTheme="majorBidi" w:cstheme="majorBidi"/>
          <w:szCs w:val="24"/>
        </w:rPr>
        <w:t>‘</w:t>
      </w:r>
      <w:r>
        <w:t>Convention on Narcotic Drugs</w:t>
      </w:r>
      <w:r w:rsidRPr="006A141F">
        <w:rPr>
          <w:rFonts w:asciiTheme="majorBidi" w:hAnsiTheme="majorBidi" w:cstheme="majorBidi"/>
          <w:szCs w:val="24"/>
        </w:rPr>
        <w:t>’</w:t>
      </w:r>
      <w:r>
        <w:t>), entered into force on</w:t>
      </w:r>
      <w:r w:rsidR="005B30E8">
        <w:t> </w:t>
      </w:r>
      <w:r>
        <w:t>8 August</w:t>
      </w:r>
      <w:r w:rsidR="005B30E8">
        <w:t> </w:t>
      </w:r>
      <w:r>
        <w:t>1975.</w:t>
      </w:r>
    </w:p>
    <w:p w14:paraId="0B1514B6" w14:textId="77777777" w:rsidR="009F3B66" w:rsidRDefault="009F3B66" w:rsidP="009F3B66">
      <w:pPr>
        <w:pStyle w:val="ManualConsidrant"/>
      </w:pPr>
      <w:r w:rsidRPr="0070454F">
        <w:t>(2)</w:t>
      </w:r>
      <w:r w:rsidRPr="0070454F">
        <w:tab/>
      </w:r>
      <w:r>
        <w:t>Pursuant to Article 3 of the Convention on Narcotic Drugs, the Commission on Narcotic Drugs (CND) can decide to add substances to the Schedules to that Convention. When the World Health Organization (WHO) notifies the CND to add substances to the Schedules, the CND can make changes in the Schedules only in accordance with that notification of the WHO, but it can also decide not to make the changes so notified.</w:t>
      </w:r>
    </w:p>
    <w:p w14:paraId="42C8338D" w14:textId="77777777" w:rsidR="009F3B66" w:rsidRDefault="009F3B66" w:rsidP="009F3B66">
      <w:pPr>
        <w:pStyle w:val="ManualConsidrant"/>
      </w:pPr>
      <w:r w:rsidRPr="0070454F">
        <w:t>(3)</w:t>
      </w:r>
      <w:r w:rsidRPr="0070454F">
        <w:tab/>
      </w:r>
      <w:r>
        <w:t xml:space="preserve">The UN Convention on Psychotropic Substances of 1971 (the </w:t>
      </w:r>
      <w:r w:rsidRPr="006A141F">
        <w:rPr>
          <w:rFonts w:asciiTheme="majorBidi" w:hAnsiTheme="majorBidi" w:cstheme="majorBidi"/>
          <w:szCs w:val="24"/>
        </w:rPr>
        <w:t>‘</w:t>
      </w:r>
      <w:r>
        <w:t>Convention on Psychotropic Substances</w:t>
      </w:r>
      <w:r w:rsidRPr="006A141F">
        <w:rPr>
          <w:rFonts w:asciiTheme="majorBidi" w:hAnsiTheme="majorBidi" w:cstheme="majorBidi"/>
          <w:szCs w:val="24"/>
        </w:rPr>
        <w:t>’</w:t>
      </w:r>
      <w:r>
        <w:t>)</w:t>
      </w:r>
      <w:r w:rsidR="005B30E8">
        <w:t xml:space="preserve"> </w:t>
      </w:r>
      <w:r>
        <w:t>entered into force on 16 August 1976.</w:t>
      </w:r>
    </w:p>
    <w:p w14:paraId="156E9339" w14:textId="77777777" w:rsidR="009F3B66" w:rsidRDefault="009F3B66" w:rsidP="009F3B66">
      <w:pPr>
        <w:pStyle w:val="ManualConsidrant"/>
      </w:pPr>
      <w:r w:rsidRPr="0070454F">
        <w:t>(4)</w:t>
      </w:r>
      <w:r w:rsidRPr="0070454F">
        <w:tab/>
      </w:r>
      <w:r>
        <w:t>Pursuant to Article 2 of the Convention on Psychotropic Substances, the CND can decide to add substances to the Schedules to that Convention or to remove them. It has broad discretionary powers to take into account the recommendations of the WHO, as well as economic, social, legal, administrative and other factors, but the CND is not empowered to act arbitrarily.</w:t>
      </w:r>
    </w:p>
    <w:p w14:paraId="4E12B3DE" w14:textId="77777777" w:rsidR="003D10B6" w:rsidRDefault="003D10B6">
      <w:pPr>
        <w:spacing w:before="0" w:after="160" w:line="259" w:lineRule="auto"/>
      </w:pPr>
      <w:r>
        <w:br w:type="page"/>
      </w:r>
    </w:p>
    <w:p w14:paraId="3E8B3466" w14:textId="77777777" w:rsidR="009F3B66" w:rsidRDefault="009F3B66" w:rsidP="009F3B66">
      <w:pPr>
        <w:pStyle w:val="ManualConsidrant"/>
      </w:pPr>
      <w:r w:rsidRPr="0070454F">
        <w:t>(5)</w:t>
      </w:r>
      <w:r w:rsidRPr="0070454F">
        <w:tab/>
      </w:r>
      <w:r>
        <w:t>Changes to the Schedules of the Convention on Narcotic Drugs and the Convention on Psychotropic Substances have direct repercussions on the scope of application of Union law in the area of drug control. Council Framework Decision 2004/757/JHA</w:t>
      </w:r>
      <w:r w:rsidR="005B30E8">
        <w:rPr>
          <w:rStyle w:val="FootnoteReference"/>
        </w:rPr>
        <w:footnoteReference w:id="1"/>
      </w:r>
      <w:r w:rsidR="005B30E8">
        <w:t xml:space="preserve"> </w:t>
      </w:r>
      <w:r>
        <w:t xml:space="preserve">applies to substances listed in the Schedules to those Conventions. Thus, any change to the Schedules </w:t>
      </w:r>
      <w:r w:rsidRPr="008E0917">
        <w:t xml:space="preserve">to </w:t>
      </w:r>
      <w:r>
        <w:t>those Conventions is directly incorporated into common Union rules.</w:t>
      </w:r>
      <w:r w:rsidRPr="002D094B">
        <w:t xml:space="preserve"> </w:t>
      </w:r>
      <w:r w:rsidRPr="0004597A">
        <w:t xml:space="preserve">It is </w:t>
      </w:r>
      <w:r>
        <w:t xml:space="preserve">therefore </w:t>
      </w:r>
      <w:r w:rsidRPr="0004597A">
        <w:t>necessary for the Council to authorise the Member States to express the position of the Union on the scheduling of substances under those Conventions</w:t>
      </w:r>
      <w:r>
        <w:t>,</w:t>
      </w:r>
      <w:r w:rsidRPr="0004597A">
        <w:t xml:space="preserve"> </w:t>
      </w:r>
      <w:r>
        <w:t xml:space="preserve">because </w:t>
      </w:r>
      <w:r w:rsidRPr="0004597A">
        <w:t xml:space="preserve">decisions on the addition of new substances to </w:t>
      </w:r>
      <w:r>
        <w:t xml:space="preserve">those </w:t>
      </w:r>
      <w:r w:rsidRPr="0004597A">
        <w:t>Schedules fall under the exclusive competence of the Union.</w:t>
      </w:r>
    </w:p>
    <w:p w14:paraId="7D660458" w14:textId="77777777" w:rsidR="009F3B66" w:rsidRDefault="009F3B66" w:rsidP="009F3B66">
      <w:pPr>
        <w:pStyle w:val="ManualConsidrant"/>
      </w:pPr>
      <w:r w:rsidRPr="0070454F">
        <w:t>(6)</w:t>
      </w:r>
      <w:r w:rsidRPr="0070454F">
        <w:tab/>
      </w:r>
      <w:r>
        <w:t>The CND is to decide, during its 69th session planned to take place from</w:t>
      </w:r>
      <w:r w:rsidR="005B30E8">
        <w:t> </w:t>
      </w:r>
      <w:r>
        <w:t>9 to 13 March</w:t>
      </w:r>
      <w:r w:rsidR="005B30E8">
        <w:t> </w:t>
      </w:r>
      <w:r>
        <w:t>2026 in Vienna, on the addition of three</w:t>
      </w:r>
      <w:r w:rsidR="005B30E8">
        <w:t xml:space="preserve"> </w:t>
      </w:r>
      <w:r>
        <w:t>new substances to the Schedules to the Convention on Narcotic Drugs and to the Convention on Psychotropic Substances.</w:t>
      </w:r>
    </w:p>
    <w:p w14:paraId="4DC19543" w14:textId="77777777" w:rsidR="009F3B66" w:rsidRDefault="009F3B66" w:rsidP="009F3B66">
      <w:pPr>
        <w:pStyle w:val="ManualConsidrant"/>
      </w:pPr>
      <w:r w:rsidRPr="0070454F">
        <w:t>(7)</w:t>
      </w:r>
      <w:r w:rsidRPr="0070454F">
        <w:tab/>
      </w:r>
      <w:r>
        <w:t>The WHO has recommended the addition of two new substances to Schedule I to the Convention on Narcotic Drugs, and one new substance to Schedule II to the Convention on Psychotropic Substances.</w:t>
      </w:r>
    </w:p>
    <w:p w14:paraId="1687F765" w14:textId="77777777" w:rsidR="003D10B6" w:rsidRDefault="003D10B6">
      <w:pPr>
        <w:spacing w:before="0" w:after="160" w:line="259" w:lineRule="auto"/>
      </w:pPr>
      <w:r>
        <w:br w:type="page"/>
      </w:r>
    </w:p>
    <w:p w14:paraId="792A9F2D" w14:textId="77777777" w:rsidR="003D10B6" w:rsidRDefault="009F3B66" w:rsidP="003D10B6">
      <w:pPr>
        <w:pStyle w:val="ManualConsidrant"/>
      </w:pPr>
      <w:r w:rsidRPr="0070454F">
        <w:t>(8)</w:t>
      </w:r>
      <w:r w:rsidRPr="0070454F">
        <w:tab/>
      </w:r>
      <w:r>
        <w:t>All substances reviewed by the WHO Expert Committee on Drug Dependence (ECDD) and recommended for scheduling by the WHO are monitored by the European Union Drugs Agency (EUDA) as new psychoactive substances under Regulation (EU) 2023/1322 of the European Parliament and of the Council</w:t>
      </w:r>
      <w:r w:rsidR="005B30E8">
        <w:rPr>
          <w:rStyle w:val="FootnoteReference"/>
        </w:rPr>
        <w:footnoteReference w:id="2"/>
      </w:r>
      <w:r w:rsidR="005B30E8">
        <w:t>.</w:t>
      </w:r>
    </w:p>
    <w:p w14:paraId="7329781B" w14:textId="77777777" w:rsidR="009F3B66" w:rsidRDefault="009F3B66" w:rsidP="009F3B66">
      <w:pPr>
        <w:pStyle w:val="ManualConsidrant"/>
      </w:pPr>
      <w:r w:rsidRPr="0070454F">
        <w:t>(9)</w:t>
      </w:r>
      <w:r w:rsidRPr="0070454F">
        <w:tab/>
      </w:r>
      <w:r>
        <w:t>According to the assessment by the ECDD, </w:t>
      </w:r>
      <w:r>
        <w:rPr>
          <w:i/>
        </w:rPr>
        <w:t>N</w:t>
      </w:r>
      <w:r>
        <w:t>-</w:t>
      </w:r>
      <w:proofErr w:type="spellStart"/>
      <w:r>
        <w:t>pyrrolidino</w:t>
      </w:r>
      <w:proofErr w:type="spellEnd"/>
      <w:r>
        <w:t xml:space="preserve"> </w:t>
      </w:r>
      <w:proofErr w:type="spellStart"/>
      <w:r>
        <w:t>isotonitazene</w:t>
      </w:r>
      <w:proofErr w:type="spellEnd"/>
      <w:r>
        <w:t xml:space="preserve"> (</w:t>
      </w:r>
      <w:proofErr w:type="spellStart"/>
      <w:r>
        <w:t>Isotonitazepyne</w:t>
      </w:r>
      <w:proofErr w:type="spellEnd"/>
      <w:r>
        <w:t>) (IUPAC name: 5-nitro-2-({4-[(propan-2-yl)oxy]phenyl}methyl)-1-[2-(pyrrolidin-1-yl)ethyl]-1</w:t>
      </w:r>
      <w:r w:rsidRPr="00E3334D">
        <w:rPr>
          <w:i/>
          <w:iCs/>
        </w:rPr>
        <w:t>H</w:t>
      </w:r>
      <w:r>
        <w:t xml:space="preserve">-1,3-benzimidazole) is a synthetic opioid belonging to the class of benzimidazoles or </w:t>
      </w:r>
      <w:proofErr w:type="spellStart"/>
      <w:r>
        <w:t>nitazenes</w:t>
      </w:r>
      <w:proofErr w:type="spellEnd"/>
      <w:r>
        <w:t>. </w:t>
      </w:r>
      <w:r>
        <w:rPr>
          <w:i/>
        </w:rPr>
        <w:t>N</w:t>
      </w:r>
      <w:r>
        <w:t>-</w:t>
      </w:r>
      <w:proofErr w:type="spellStart"/>
      <w:r>
        <w:t>pyrrolidino</w:t>
      </w:r>
      <w:proofErr w:type="spellEnd"/>
      <w:r>
        <w:t xml:space="preserve"> </w:t>
      </w:r>
      <w:proofErr w:type="spellStart"/>
      <w:r>
        <w:t>isotonitazene</w:t>
      </w:r>
      <w:proofErr w:type="spellEnd"/>
      <w:r>
        <w:t> has not previously been formally reviewed by the WHO. </w:t>
      </w:r>
      <w:r>
        <w:rPr>
          <w:i/>
        </w:rPr>
        <w:t>N</w:t>
      </w:r>
      <w:r>
        <w:t>-</w:t>
      </w:r>
      <w:proofErr w:type="spellStart"/>
      <w:r>
        <w:t>pyrrolidino</w:t>
      </w:r>
      <w:proofErr w:type="spellEnd"/>
      <w:r>
        <w:t xml:space="preserve"> </w:t>
      </w:r>
      <w:proofErr w:type="spellStart"/>
      <w:r>
        <w:t>isotonitazene</w:t>
      </w:r>
      <w:proofErr w:type="spellEnd"/>
      <w:r>
        <w:t xml:space="preserve"> has no known therapeutic uses or marketing authorisations. There is sufficient evidence that </w:t>
      </w:r>
      <w:r>
        <w:rPr>
          <w:i/>
        </w:rPr>
        <w:t>N</w:t>
      </w:r>
      <w:r>
        <w:rPr>
          <w:i/>
        </w:rPr>
        <w:noBreakHyphen/>
      </w:r>
      <w:proofErr w:type="spellStart"/>
      <w:r>
        <w:t>pyrrolidino</w:t>
      </w:r>
      <w:proofErr w:type="spellEnd"/>
      <w:r>
        <w:t xml:space="preserve"> </w:t>
      </w:r>
      <w:proofErr w:type="spellStart"/>
      <w:r>
        <w:t>isotonitazene</w:t>
      </w:r>
      <w:proofErr w:type="spellEnd"/>
      <w:r>
        <w:t xml:space="preserve"> is being, or is likely to be, abused and can constitute a public health and social problem that warrants placing it under international control. Thus, the WHO recommends that </w:t>
      </w:r>
      <w:r>
        <w:rPr>
          <w:i/>
        </w:rPr>
        <w:t>N</w:t>
      </w:r>
      <w:r>
        <w:t>-</w:t>
      </w:r>
      <w:proofErr w:type="spellStart"/>
      <w:r>
        <w:t>pyrrolidino</w:t>
      </w:r>
      <w:proofErr w:type="spellEnd"/>
      <w:r>
        <w:t xml:space="preserve"> </w:t>
      </w:r>
      <w:proofErr w:type="spellStart"/>
      <w:r>
        <w:t>isotonitazene</w:t>
      </w:r>
      <w:proofErr w:type="spellEnd"/>
      <w:r>
        <w:t xml:space="preserve"> be listed in Schedule I to the Convention on Narcotic Drugs.</w:t>
      </w:r>
    </w:p>
    <w:p w14:paraId="18F1A044" w14:textId="77777777" w:rsidR="009F3B66" w:rsidRDefault="009F3B66" w:rsidP="009F3B66">
      <w:pPr>
        <w:pStyle w:val="ManualConsidrant"/>
      </w:pPr>
      <w:r w:rsidRPr="0070454F">
        <w:t>(10)</w:t>
      </w:r>
      <w:r w:rsidRPr="0070454F">
        <w:tab/>
      </w:r>
      <w:r>
        <w:rPr>
          <w:i/>
        </w:rPr>
        <w:t>N</w:t>
      </w:r>
      <w:r>
        <w:t>-</w:t>
      </w:r>
      <w:proofErr w:type="spellStart"/>
      <w:r>
        <w:t>pyrrolidino</w:t>
      </w:r>
      <w:proofErr w:type="spellEnd"/>
      <w:r>
        <w:t xml:space="preserve"> </w:t>
      </w:r>
      <w:proofErr w:type="spellStart"/>
      <w:r>
        <w:t>isotonitazene</w:t>
      </w:r>
      <w:proofErr w:type="spellEnd"/>
      <w:r>
        <w:t> has been detected in nine Member States, and is controlled in at least two Member States</w:t>
      </w:r>
      <w:r w:rsidRPr="00624C72">
        <w:t>. </w:t>
      </w:r>
      <w:r w:rsidRPr="00624C72">
        <w:rPr>
          <w:i/>
        </w:rPr>
        <w:t>N</w:t>
      </w:r>
      <w:r w:rsidRPr="00624C72">
        <w:t>-</w:t>
      </w:r>
      <w:proofErr w:type="spellStart"/>
      <w:r w:rsidRPr="00624C72">
        <w:t>pyrrolidino</w:t>
      </w:r>
      <w:proofErr w:type="spellEnd"/>
      <w:r w:rsidRPr="00624C72">
        <w:t xml:space="preserve"> </w:t>
      </w:r>
      <w:proofErr w:type="spellStart"/>
      <w:r w:rsidRPr="00624C72">
        <w:t>isotonitazene</w:t>
      </w:r>
      <w:proofErr w:type="spellEnd"/>
      <w:r w:rsidRPr="00624C72">
        <w:t> is under intensive monitoring by the EUDA.</w:t>
      </w:r>
      <w:r>
        <w:t xml:space="preserve"> </w:t>
      </w:r>
      <w:bookmarkStart w:id="3" w:name="_Hlk222217898"/>
      <w:r>
        <w:t>A</w:t>
      </w:r>
      <w:r w:rsidR="0028055A">
        <w:t xml:space="preserve"> total of a</w:t>
      </w:r>
      <w:r>
        <w:t xml:space="preserve">t least three deaths with confirmed exposure to </w:t>
      </w:r>
      <w:r>
        <w:rPr>
          <w:i/>
        </w:rPr>
        <w:t>N</w:t>
      </w:r>
      <w:r>
        <w:rPr>
          <w:i/>
        </w:rPr>
        <w:noBreakHyphen/>
      </w:r>
      <w:proofErr w:type="spellStart"/>
      <w:r>
        <w:t>pyrrolidino</w:t>
      </w:r>
      <w:proofErr w:type="spellEnd"/>
      <w:r>
        <w:t xml:space="preserve"> </w:t>
      </w:r>
      <w:proofErr w:type="spellStart"/>
      <w:r>
        <w:t>isotonitazene</w:t>
      </w:r>
      <w:proofErr w:type="spellEnd"/>
      <w:r>
        <w:t> have been reported by two Member States</w:t>
      </w:r>
      <w:bookmarkEnd w:id="3"/>
      <w:r>
        <w:t xml:space="preserve">. At least one acute poisoning with </w:t>
      </w:r>
      <w:r w:rsidRPr="005312CD">
        <w:t>suspected exposure</w:t>
      </w:r>
      <w:r>
        <w:t xml:space="preserve"> to</w:t>
      </w:r>
      <w:r w:rsidRPr="000165BE">
        <w:rPr>
          <w:i/>
        </w:rPr>
        <w:t xml:space="preserve"> </w:t>
      </w:r>
      <w:r>
        <w:rPr>
          <w:i/>
        </w:rPr>
        <w:t>N</w:t>
      </w:r>
      <w:r>
        <w:t>-</w:t>
      </w:r>
      <w:proofErr w:type="spellStart"/>
      <w:r>
        <w:t>pyrrolidino</w:t>
      </w:r>
      <w:proofErr w:type="spellEnd"/>
      <w:r>
        <w:t xml:space="preserve"> </w:t>
      </w:r>
      <w:proofErr w:type="spellStart"/>
      <w:r>
        <w:t>isotonitazene</w:t>
      </w:r>
      <w:proofErr w:type="spellEnd"/>
      <w:r>
        <w:t> has been reported by a Member State.</w:t>
      </w:r>
    </w:p>
    <w:p w14:paraId="089E1F4E" w14:textId="77777777" w:rsidR="003D10B6" w:rsidRDefault="003D10B6">
      <w:pPr>
        <w:spacing w:before="0" w:after="160" w:line="259" w:lineRule="auto"/>
      </w:pPr>
      <w:r>
        <w:br w:type="page"/>
      </w:r>
    </w:p>
    <w:p w14:paraId="3523BB91" w14:textId="77777777" w:rsidR="009F3B66" w:rsidRDefault="009F3B66" w:rsidP="009F3B66">
      <w:pPr>
        <w:pStyle w:val="ManualConsidrant"/>
      </w:pPr>
      <w:r w:rsidRPr="0070454F">
        <w:t>(11)</w:t>
      </w:r>
      <w:r w:rsidRPr="0070454F">
        <w:tab/>
      </w:r>
      <w:r>
        <w:t xml:space="preserve">Therefore, the position of the Union should be to support adding </w:t>
      </w:r>
      <w:r>
        <w:rPr>
          <w:i/>
        </w:rPr>
        <w:t>N</w:t>
      </w:r>
      <w:r>
        <w:t>-</w:t>
      </w:r>
      <w:proofErr w:type="spellStart"/>
      <w:r>
        <w:t>pyrrolidino</w:t>
      </w:r>
      <w:proofErr w:type="spellEnd"/>
      <w:r>
        <w:t xml:space="preserve"> </w:t>
      </w:r>
      <w:proofErr w:type="spellStart"/>
      <w:r>
        <w:t>isotonitazene</w:t>
      </w:r>
      <w:proofErr w:type="spellEnd"/>
      <w:r w:rsidR="005B30E8">
        <w:t xml:space="preserve"> </w:t>
      </w:r>
      <w:r>
        <w:t>to Schedule I to the Convention on Narcotic Drugs.</w:t>
      </w:r>
    </w:p>
    <w:p w14:paraId="36DF8769" w14:textId="77777777" w:rsidR="009F3B66" w:rsidRDefault="009F3B66" w:rsidP="009F3B66">
      <w:pPr>
        <w:pStyle w:val="ManualConsidrant"/>
      </w:pPr>
      <w:r w:rsidRPr="0070454F">
        <w:t>(12)</w:t>
      </w:r>
      <w:r w:rsidRPr="0070454F">
        <w:tab/>
      </w:r>
      <w:r>
        <w:t>According to the assessment by the ECDD, </w:t>
      </w:r>
      <w:r>
        <w:rPr>
          <w:i/>
        </w:rPr>
        <w:t>N</w:t>
      </w:r>
      <w:r>
        <w:t>-</w:t>
      </w:r>
      <w:proofErr w:type="spellStart"/>
      <w:r>
        <w:t>desethyl</w:t>
      </w:r>
      <w:proofErr w:type="spellEnd"/>
      <w:r>
        <w:t xml:space="preserve"> etonitazene (IUPAC name: 2-[2-[(4-ethoxyphenyl)methyl]-5-nitro-benzimidazol-1-yl]-</w:t>
      </w:r>
      <w:r w:rsidRPr="00E3334D">
        <w:rPr>
          <w:i/>
          <w:iCs/>
        </w:rPr>
        <w:t>N</w:t>
      </w:r>
      <w:r>
        <w:t>-ethyl-ethanamine) is a novel</w:t>
      </w:r>
      <w:r w:rsidR="005B30E8">
        <w:t xml:space="preserve"> </w:t>
      </w:r>
      <w:r>
        <w:t>synthetic</w:t>
      </w:r>
      <w:r w:rsidR="005B30E8">
        <w:t xml:space="preserve"> </w:t>
      </w:r>
      <w:r>
        <w:t xml:space="preserve">opioid belonging to the class of benzimidazoles or </w:t>
      </w:r>
      <w:proofErr w:type="spellStart"/>
      <w:r>
        <w:t>nitazenes</w:t>
      </w:r>
      <w:proofErr w:type="spellEnd"/>
      <w:r>
        <w:t>. It is a metabolite of etonitazene, another benzimidazole opioid that is controlled under Schedule</w:t>
      </w:r>
      <w:r w:rsidR="005B30E8">
        <w:t xml:space="preserve"> </w:t>
      </w:r>
      <w:r>
        <w:t>I</w:t>
      </w:r>
      <w:r w:rsidR="005B30E8">
        <w:t xml:space="preserve"> </w:t>
      </w:r>
      <w:r>
        <w:t xml:space="preserve">to the Convention on Narcotic Drugs. </w:t>
      </w:r>
      <w:r>
        <w:rPr>
          <w:i/>
        </w:rPr>
        <w:t>N</w:t>
      </w:r>
      <w:r>
        <w:t>-</w:t>
      </w:r>
      <w:proofErr w:type="spellStart"/>
      <w:r>
        <w:t>desethyl</w:t>
      </w:r>
      <w:proofErr w:type="spellEnd"/>
      <w:r>
        <w:t xml:space="preserve"> etonitazene has not been formally reviewed by the WHO.</w:t>
      </w:r>
      <w:r w:rsidR="005B30E8">
        <w:t xml:space="preserve"> </w:t>
      </w:r>
      <w:r>
        <w:rPr>
          <w:i/>
        </w:rPr>
        <w:t>N</w:t>
      </w:r>
      <w:r>
        <w:t>-</w:t>
      </w:r>
      <w:proofErr w:type="spellStart"/>
      <w:r>
        <w:t>desethyl</w:t>
      </w:r>
      <w:proofErr w:type="spellEnd"/>
      <w:r>
        <w:t xml:space="preserve"> etonitazene has no known therapeutic uses or marketing authorisations. There is sufficient evidence that </w:t>
      </w:r>
      <w:r>
        <w:rPr>
          <w:i/>
        </w:rPr>
        <w:t>N</w:t>
      </w:r>
      <w:r>
        <w:rPr>
          <w:i/>
        </w:rPr>
        <w:noBreakHyphen/>
      </w:r>
      <w:proofErr w:type="spellStart"/>
      <w:r>
        <w:t>desethyl</w:t>
      </w:r>
      <w:proofErr w:type="spellEnd"/>
      <w:r>
        <w:t xml:space="preserve"> etonitazene is being, or is likely to be, abused and can constitute a public health and social problem that warrants placing it under international control. Thus, the WHO recommends that </w:t>
      </w:r>
      <w:r>
        <w:rPr>
          <w:i/>
        </w:rPr>
        <w:t>N</w:t>
      </w:r>
      <w:r>
        <w:t>-</w:t>
      </w:r>
      <w:proofErr w:type="spellStart"/>
      <w:r>
        <w:t>desethyl</w:t>
      </w:r>
      <w:proofErr w:type="spellEnd"/>
      <w:r>
        <w:t xml:space="preserve"> etonitazene be listed in Schedule I to the Convention on Narcotic Drugs.</w:t>
      </w:r>
    </w:p>
    <w:p w14:paraId="385AA9E7" w14:textId="77777777" w:rsidR="009F3B66" w:rsidRPr="00E3334D" w:rsidRDefault="009F3B66" w:rsidP="009F3B66">
      <w:pPr>
        <w:pStyle w:val="ManualConsidrant"/>
        <w:rPr>
          <w:bCs/>
        </w:rPr>
      </w:pPr>
      <w:r w:rsidRPr="0070454F">
        <w:t>(13)</w:t>
      </w:r>
      <w:r w:rsidRPr="0070454F">
        <w:tab/>
      </w:r>
      <w:r>
        <w:rPr>
          <w:i/>
        </w:rPr>
        <w:t>N</w:t>
      </w:r>
      <w:r>
        <w:t>-</w:t>
      </w:r>
      <w:proofErr w:type="spellStart"/>
      <w:r>
        <w:t>desethyl</w:t>
      </w:r>
      <w:proofErr w:type="spellEnd"/>
      <w:r>
        <w:t xml:space="preserve"> etonitazene has been detected in four Member States, and is controlled in at least six Member States</w:t>
      </w:r>
      <w:r w:rsidRPr="00624C72">
        <w:t>.</w:t>
      </w:r>
      <w:r w:rsidR="005B30E8">
        <w:t xml:space="preserve"> </w:t>
      </w:r>
      <w:r w:rsidRPr="00624C72">
        <w:rPr>
          <w:i/>
        </w:rPr>
        <w:t>N</w:t>
      </w:r>
      <w:r w:rsidRPr="00624C72">
        <w:t>-</w:t>
      </w:r>
      <w:proofErr w:type="spellStart"/>
      <w:r w:rsidRPr="00624C72">
        <w:t>desethyl</w:t>
      </w:r>
      <w:proofErr w:type="spellEnd"/>
      <w:r w:rsidRPr="00624C72">
        <w:t xml:space="preserve"> etonitazene is under intensive monitoring by the EUDA.</w:t>
      </w:r>
    </w:p>
    <w:p w14:paraId="0934C5D5" w14:textId="77777777" w:rsidR="009F3B66" w:rsidRDefault="009F3B66" w:rsidP="009F3B66">
      <w:pPr>
        <w:pStyle w:val="ManualConsidrant"/>
      </w:pPr>
      <w:r w:rsidRPr="0070454F">
        <w:t>(14)</w:t>
      </w:r>
      <w:r w:rsidRPr="0070454F">
        <w:tab/>
      </w:r>
      <w:r>
        <w:t xml:space="preserve">Therefore, the position of the Union should be to support adding </w:t>
      </w:r>
      <w:r>
        <w:rPr>
          <w:i/>
        </w:rPr>
        <w:t>N</w:t>
      </w:r>
      <w:r>
        <w:t>-</w:t>
      </w:r>
      <w:proofErr w:type="spellStart"/>
      <w:r>
        <w:t>desethyl</w:t>
      </w:r>
      <w:proofErr w:type="spellEnd"/>
      <w:r>
        <w:t xml:space="preserve"> etonitazene</w:t>
      </w:r>
      <w:r w:rsidR="005B30E8">
        <w:t xml:space="preserve"> </w:t>
      </w:r>
      <w:r>
        <w:t>to Schedule I to the Convention on Narcotic Drugs.</w:t>
      </w:r>
    </w:p>
    <w:p w14:paraId="489637B9" w14:textId="77777777" w:rsidR="003D10B6" w:rsidRDefault="003D10B6">
      <w:pPr>
        <w:spacing w:before="0" w:after="160" w:line="259" w:lineRule="auto"/>
      </w:pPr>
      <w:r>
        <w:br w:type="page"/>
      </w:r>
    </w:p>
    <w:p w14:paraId="45E488A7" w14:textId="77777777" w:rsidR="009F3B66" w:rsidRDefault="009F3B66" w:rsidP="009F3B66">
      <w:pPr>
        <w:pStyle w:val="ManualConsidrant"/>
      </w:pPr>
      <w:r w:rsidRPr="0070454F">
        <w:t>(15)</w:t>
      </w:r>
      <w:r w:rsidRPr="0070454F">
        <w:tab/>
      </w:r>
      <w:r>
        <w:t>According to the assessment by the ECDD,</w:t>
      </w:r>
      <w:r w:rsidR="005B30E8">
        <w:t xml:space="preserve"> </w:t>
      </w:r>
      <w:r>
        <w:t>MDMB-FUBINACA (IUPAC name:</w:t>
      </w:r>
      <w:r w:rsidR="005B30E8">
        <w:t xml:space="preserve"> </w:t>
      </w:r>
      <w:r>
        <w:t>methyl 2-[[1-[(4-fluorophenyl)methyl]indazole-3-carbonyl]amino]-3,3-dimethyl-butanoate) is a potent synthetic cannabinoid.</w:t>
      </w:r>
      <w:r w:rsidR="005B30E8">
        <w:t xml:space="preserve"> </w:t>
      </w:r>
      <w:r>
        <w:t>MDMB-FUBINACA has not been previously reviewed by the WHO. MDMB-FUBINACA has no known therapeutic uses or marketing authorisations. There is sufficient evidence that MDMB-FUBINACA</w:t>
      </w:r>
      <w:r w:rsidR="005B30E8">
        <w:t xml:space="preserve"> </w:t>
      </w:r>
      <w:r>
        <w:t>is being, or is likely to be, abused and can constitute a public health and social problem that warrants placing it under international control. Thus, the WHO recommends that MDMB-FUBINACA</w:t>
      </w:r>
      <w:r w:rsidR="005B30E8">
        <w:t xml:space="preserve"> </w:t>
      </w:r>
      <w:r>
        <w:t>be listed in Schedule</w:t>
      </w:r>
      <w:r w:rsidR="005B30E8">
        <w:t xml:space="preserve"> </w:t>
      </w:r>
      <w:r>
        <w:t>II to the Convention on Psychotropic Substances.</w:t>
      </w:r>
    </w:p>
    <w:p w14:paraId="6B5B3D57" w14:textId="77777777" w:rsidR="009F3B66" w:rsidRDefault="009F3B66" w:rsidP="009F3B66">
      <w:pPr>
        <w:pStyle w:val="ManualConsidrant"/>
      </w:pPr>
      <w:r w:rsidRPr="0070454F">
        <w:t>(16)</w:t>
      </w:r>
      <w:r w:rsidRPr="0070454F">
        <w:tab/>
      </w:r>
      <w:r>
        <w:t>MDMB-FUBINACA has been detected in 14 Member States, and is controlled in at least eight Member States</w:t>
      </w:r>
      <w:r w:rsidRPr="00624C72">
        <w:t>. MDMB-FUBINACA</w:t>
      </w:r>
      <w:r w:rsidR="005B30E8">
        <w:t xml:space="preserve"> </w:t>
      </w:r>
      <w:r w:rsidRPr="00624C72">
        <w:t xml:space="preserve">is under intensive monitoring by the EUDA. At least one </w:t>
      </w:r>
      <w:r w:rsidRPr="00624C72">
        <w:rPr>
          <w:bCs/>
        </w:rPr>
        <w:t>acute</w:t>
      </w:r>
      <w:r>
        <w:rPr>
          <w:bCs/>
        </w:rPr>
        <w:t xml:space="preserve"> poisoning</w:t>
      </w:r>
      <w:r>
        <w:t xml:space="preserve"> with </w:t>
      </w:r>
      <w:r w:rsidR="00D919E9">
        <w:t>sus</w:t>
      </w:r>
      <w:r w:rsidR="00D919E9" w:rsidRPr="00D919E9">
        <w:t>pected</w:t>
      </w:r>
      <w:r>
        <w:t xml:space="preserve"> exposure to MDMB-FUBINACA has been reported by a Member State.</w:t>
      </w:r>
    </w:p>
    <w:p w14:paraId="264D282B" w14:textId="77777777" w:rsidR="009F3B66" w:rsidRDefault="009F3B66" w:rsidP="009F3B66">
      <w:pPr>
        <w:pStyle w:val="ManualConsidrant"/>
      </w:pPr>
      <w:r w:rsidRPr="0070454F">
        <w:t>(17)</w:t>
      </w:r>
      <w:r w:rsidRPr="0070454F">
        <w:tab/>
      </w:r>
      <w:r>
        <w:t>Therefore, the position of the Union should be to support adding MDMB-FUBINACA</w:t>
      </w:r>
      <w:r w:rsidR="005B30E8">
        <w:t xml:space="preserve"> </w:t>
      </w:r>
      <w:r>
        <w:t>to Schedule II to the Convention on Psychotropic Substances.</w:t>
      </w:r>
    </w:p>
    <w:p w14:paraId="790AD34F" w14:textId="77777777" w:rsidR="009F3B66" w:rsidRDefault="009F3B66" w:rsidP="009F3B66">
      <w:pPr>
        <w:pStyle w:val="ManualConsidrant"/>
      </w:pPr>
      <w:r w:rsidRPr="0070454F">
        <w:t>(18)</w:t>
      </w:r>
      <w:r w:rsidRPr="0070454F">
        <w:tab/>
      </w:r>
      <w:r>
        <w:t xml:space="preserve">It is appropriate to establish the position to be taken on </w:t>
      </w:r>
      <w:r w:rsidR="008E0917">
        <w:t xml:space="preserve">behalf of </w:t>
      </w:r>
      <w:r>
        <w:t>the Union in the CND, as the decisions on listing the aforementioned three substances will be capable of decisively influencing the content of Union law, namely the scope of Framework Decision 2004/757/JHA.</w:t>
      </w:r>
    </w:p>
    <w:p w14:paraId="2F5967CD" w14:textId="77777777" w:rsidR="003D10B6" w:rsidRDefault="003D10B6">
      <w:pPr>
        <w:spacing w:before="0" w:after="160" w:line="259" w:lineRule="auto"/>
      </w:pPr>
      <w:bookmarkStart w:id="4" w:name="_Hlk215479514"/>
      <w:r>
        <w:br w:type="page"/>
      </w:r>
    </w:p>
    <w:p w14:paraId="13EFDEBE" w14:textId="77777777" w:rsidR="009F3B66" w:rsidRDefault="009F3B66" w:rsidP="009F3B66">
      <w:pPr>
        <w:pStyle w:val="ManualConsidrant"/>
      </w:pPr>
      <w:r w:rsidRPr="0070454F">
        <w:t>(19)</w:t>
      </w:r>
      <w:r w:rsidRPr="0070454F">
        <w:tab/>
      </w:r>
      <w:r w:rsidRPr="002D094B">
        <w:t xml:space="preserve">The Union is a party </w:t>
      </w:r>
      <w:r>
        <w:t xml:space="preserve">neither </w:t>
      </w:r>
      <w:r w:rsidRPr="002D094B">
        <w:t xml:space="preserve">to the Convention on Narcotic Drugs nor to the Convention on Psychotropic Substances. It has an observer status with no voting rights in the </w:t>
      </w:r>
      <w:r>
        <w:t>CND</w:t>
      </w:r>
      <w:r w:rsidRPr="002D094B">
        <w:t>, of which 14</w:t>
      </w:r>
      <w:r w:rsidR="005B30E8">
        <w:t xml:space="preserve"> </w:t>
      </w:r>
      <w:r w:rsidRPr="002D094B">
        <w:t>Member States</w:t>
      </w:r>
      <w:r w:rsidR="005B30E8">
        <w:rPr>
          <w:rStyle w:val="FootnoteReference"/>
        </w:rPr>
        <w:footnoteReference w:id="3"/>
      </w:r>
      <w:r w:rsidRPr="002D094B">
        <w:t xml:space="preserve"> are members with the right to vote </w:t>
      </w:r>
      <w:r>
        <w:t>at its 69</w:t>
      </w:r>
      <w:r w:rsidRPr="00711416">
        <w:t>th</w:t>
      </w:r>
      <w:r>
        <w:t xml:space="preserve"> session</w:t>
      </w:r>
      <w:bookmarkEnd w:id="4"/>
      <w:r w:rsidRPr="002D094B">
        <w:t xml:space="preserve">. </w:t>
      </w:r>
      <w:r>
        <w:t>The position of the Union is to be expressed by those Member States, acting jointly in the interest of the Union.</w:t>
      </w:r>
    </w:p>
    <w:p w14:paraId="7440EC7F" w14:textId="77777777" w:rsidR="009F3B66" w:rsidRDefault="009F3B66" w:rsidP="009F3B66">
      <w:pPr>
        <w:pStyle w:val="ManualConsidrant"/>
      </w:pPr>
      <w:r w:rsidRPr="0070454F">
        <w:t>(20)</w:t>
      </w:r>
      <w:r w:rsidRPr="0070454F">
        <w:tab/>
      </w:r>
      <w:r>
        <w:t>Denmark is bound by Framework Decision 2004/757/JHA and is therefore taking part in the adoption and application of this Decision.</w:t>
      </w:r>
    </w:p>
    <w:p w14:paraId="79BDBD4B" w14:textId="77777777" w:rsidR="009F3B66" w:rsidRDefault="009F3B66" w:rsidP="009F3B66">
      <w:pPr>
        <w:pStyle w:val="ManualConsidrant"/>
      </w:pPr>
      <w:r w:rsidRPr="0070454F">
        <w:t>(21)</w:t>
      </w:r>
      <w:r w:rsidRPr="0070454F">
        <w:tab/>
      </w:r>
      <w:r>
        <w:t>Ireland is bound by Framework Decision 2004/757/JHA and is therefore taking part in the adoption and application of this Decision,</w:t>
      </w:r>
    </w:p>
    <w:p w14:paraId="7F13DB81" w14:textId="77777777" w:rsidR="009F3B66" w:rsidRDefault="009F3B66" w:rsidP="009F3B66">
      <w:pPr>
        <w:pStyle w:val="Formuledadoption"/>
      </w:pPr>
      <w:r>
        <w:t>HAS ADOPTED THIS DECISION:</w:t>
      </w:r>
    </w:p>
    <w:p w14:paraId="37D8EE68" w14:textId="77777777" w:rsidR="003D10B6" w:rsidRDefault="003D10B6">
      <w:pPr>
        <w:spacing w:before="0" w:after="160" w:line="259" w:lineRule="auto"/>
        <w:rPr>
          <w:i/>
        </w:rPr>
      </w:pPr>
      <w:r>
        <w:br w:type="page"/>
      </w:r>
    </w:p>
    <w:p w14:paraId="183EE014" w14:textId="77777777" w:rsidR="009F3B66" w:rsidRDefault="009F3B66" w:rsidP="009F3B66">
      <w:pPr>
        <w:pStyle w:val="Titrearticle"/>
      </w:pPr>
      <w:r>
        <w:t>Article 1</w:t>
      </w:r>
    </w:p>
    <w:p w14:paraId="3F272001" w14:textId="77777777" w:rsidR="009F3B66" w:rsidRDefault="009F3B66" w:rsidP="009F3B66">
      <w:r>
        <w:t>The position to be taken on behalf of the Union in the 69th session of the Commission on Narcotic Drugs (CND), from 9</w:t>
      </w:r>
      <w:r w:rsidR="005B30E8">
        <w:t xml:space="preserve"> </w:t>
      </w:r>
      <w:r>
        <w:t>to</w:t>
      </w:r>
      <w:r w:rsidR="005B30E8">
        <w:t xml:space="preserve"> </w:t>
      </w:r>
      <w:r>
        <w:t>13</w:t>
      </w:r>
      <w:r w:rsidR="005B30E8">
        <w:t xml:space="preserve"> </w:t>
      </w:r>
      <w:r>
        <w:t xml:space="preserve">March 2026, </w:t>
      </w:r>
      <w:r w:rsidR="00FF0EEB">
        <w:t>as regards the adoption</w:t>
      </w:r>
      <w:r>
        <w:t xml:space="preserve"> </w:t>
      </w:r>
      <w:r w:rsidR="00FF0EEB">
        <w:t xml:space="preserve">of </w:t>
      </w:r>
      <w:r>
        <w:t xml:space="preserve">decisions on the addition of substances to </w:t>
      </w:r>
      <w:r w:rsidRPr="003540FA">
        <w:t xml:space="preserve">the </w:t>
      </w:r>
      <w:r>
        <w:t>s</w:t>
      </w:r>
      <w:r w:rsidRPr="003540FA">
        <w:t>chedules to</w:t>
      </w:r>
      <w:r>
        <w:t xml:space="preserve"> the United Nations Single Convention on Narcotic Drugs of 1961, as amended by the 1972 Protocol, and to the United Nations Convention on Psychotropic Substances of 1971, is set out in the Annex to this Decision.</w:t>
      </w:r>
    </w:p>
    <w:p w14:paraId="5B039DCE" w14:textId="77777777" w:rsidR="009F3B66" w:rsidRDefault="009F3B66" w:rsidP="009F3B66">
      <w:pPr>
        <w:pStyle w:val="Titrearticle"/>
      </w:pPr>
      <w:r>
        <w:t>Article 2</w:t>
      </w:r>
    </w:p>
    <w:p w14:paraId="34C9C0B4" w14:textId="77777777" w:rsidR="009F3B66" w:rsidRDefault="009F3B66" w:rsidP="009F3B66">
      <w:r>
        <w:t>The position referred to in Article 1 shall be expressed by the Member States that are members of the CND, acting jointly in the interest of the Union.</w:t>
      </w:r>
    </w:p>
    <w:p w14:paraId="3AF27D34" w14:textId="77777777" w:rsidR="009F3B66" w:rsidRDefault="009F3B66" w:rsidP="009F3B66">
      <w:pPr>
        <w:pStyle w:val="Titrearticle"/>
      </w:pPr>
      <w:r>
        <w:t>Article 3</w:t>
      </w:r>
    </w:p>
    <w:p w14:paraId="03B9F622" w14:textId="77777777" w:rsidR="009F3B66" w:rsidRDefault="009F3B66" w:rsidP="009F3B66">
      <w:r>
        <w:t>This Decision is addressed to the Member States in accordance with the Treaties.</w:t>
      </w:r>
    </w:p>
    <w:p w14:paraId="10241959" w14:textId="77777777" w:rsidR="009F3B66" w:rsidRDefault="009F3B66" w:rsidP="009F3B66">
      <w:pPr>
        <w:pStyle w:val="Fait"/>
      </w:pPr>
      <w:r>
        <w:t>Done at …, …</w:t>
      </w:r>
    </w:p>
    <w:p w14:paraId="53ED1823" w14:textId="77777777" w:rsidR="009F3B66" w:rsidRDefault="009F3B66" w:rsidP="009F3B66">
      <w:pPr>
        <w:pStyle w:val="Institutionquisigne"/>
      </w:pPr>
      <w:r>
        <w:tab/>
        <w:t>For the Council</w:t>
      </w:r>
    </w:p>
    <w:p w14:paraId="49C3E861" w14:textId="77777777" w:rsidR="009F3B66" w:rsidRDefault="009F3B66" w:rsidP="009F3B66">
      <w:pPr>
        <w:pStyle w:val="Personnequisigne"/>
        <w:keepNext/>
      </w:pPr>
      <w:r>
        <w:tab/>
        <w:t>The President</w:t>
      </w:r>
    </w:p>
    <w:bookmarkEnd w:id="2"/>
    <w:p w14:paraId="7BB6C021" w14:textId="77777777" w:rsidR="000C4992" w:rsidRPr="003D10B6" w:rsidRDefault="000C4992" w:rsidP="003D10B6">
      <w:pPr>
        <w:pStyle w:val="Lignefinal"/>
      </w:pPr>
    </w:p>
    <w:sectPr w:rsidR="000C4992" w:rsidRPr="003D10B6" w:rsidSect="00FE4851">
      <w:headerReference w:type="even" r:id="rId16"/>
      <w:headerReference w:type="default" r:id="rId17"/>
      <w:footerReference w:type="even" r:id="rId18"/>
      <w:headerReference w:type="first" r:id="rId19"/>
      <w:footerReference w:type="first" r:id="rId20"/>
      <w:pgSz w:w="11907" w:h="16839"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7D52F" w14:textId="77777777" w:rsidR="000C4992" w:rsidRPr="00245855" w:rsidRDefault="000C4992" w:rsidP="00245855">
      <w:pPr>
        <w:spacing w:before="0" w:after="0"/>
      </w:pPr>
      <w:r w:rsidRPr="00245855">
        <w:separator/>
      </w:r>
    </w:p>
  </w:endnote>
  <w:endnote w:type="continuationSeparator" w:id="0">
    <w:p w14:paraId="4087F4EC" w14:textId="77777777" w:rsidR="000C4992" w:rsidRDefault="000C4992" w:rsidP="002458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644FE6D3" w14:textId="77777777" w:rsidTr="0035025C">
      <w:trPr>
        <w:jc w:val="center"/>
      </w:trPr>
      <w:tc>
        <w:tcPr>
          <w:tcW w:w="5000" w:type="pct"/>
          <w:gridSpan w:val="7"/>
          <w:shd w:val="clear" w:color="auto" w:fill="auto"/>
          <w:tcMar>
            <w:top w:w="57" w:type="dxa"/>
          </w:tcMar>
        </w:tcPr>
        <w:p w14:paraId="7DACAC03" w14:textId="77777777" w:rsidR="00A57C43" w:rsidRPr="0035025C" w:rsidRDefault="00A57C43" w:rsidP="0035025C">
          <w:pPr>
            <w:pStyle w:val="FooterText"/>
            <w:pBdr>
              <w:top w:val="single" w:sz="4" w:space="1" w:color="auto"/>
            </w:pBdr>
            <w:spacing w:before="200"/>
            <w:rPr>
              <w:sz w:val="2"/>
              <w:szCs w:val="2"/>
            </w:rPr>
          </w:pPr>
        </w:p>
      </w:tc>
    </w:tr>
    <w:tr w:rsidR="008E42AB" w:rsidRPr="00B310DC" w14:paraId="3732979F" w14:textId="77777777" w:rsidTr="00430704">
      <w:trPr>
        <w:jc w:val="center"/>
      </w:trPr>
      <w:tc>
        <w:tcPr>
          <w:tcW w:w="2499" w:type="pct"/>
          <w:gridSpan w:val="2"/>
          <w:shd w:val="clear" w:color="auto" w:fill="auto"/>
          <w:tcMar>
            <w:top w:w="0" w:type="dxa"/>
          </w:tcMar>
        </w:tcPr>
        <w:p w14:paraId="685710AE" w14:textId="77777777" w:rsidR="00A57C43" w:rsidRPr="00AD7BF2" w:rsidRDefault="00A57C43" w:rsidP="0035025C">
          <w:pPr>
            <w:pStyle w:val="FooterText"/>
          </w:pPr>
          <w:r>
            <w:t>6040</w:t>
          </w:r>
          <w:r>
            <w:t>/</w:t>
          </w:r>
          <w:r>
            <w:t>26</w:t>
          </w:r>
          <w:r>
            <w:t xml:space="preserve"> </w:t>
          </w:r>
          <w:r w:rsidRPr="00C15257">
            <w:rPr>
              <w:sz w:val="16"/>
              <w:szCs w:val="16"/>
            </w:rPr>
            <w:t xml:space="preserve"> </w:t>
          </w:r>
        </w:p>
      </w:tc>
      <w:tc>
        <w:tcPr>
          <w:tcW w:w="625" w:type="pct"/>
          <w:shd w:val="clear" w:color="auto" w:fill="auto"/>
          <w:tcMar>
            <w:top w:w="0" w:type="dxa"/>
          </w:tcMar>
        </w:tcPr>
        <w:p w14:paraId="6F27CFDB" w14:textId="77777777" w:rsidR="00A57C43" w:rsidRPr="00AD7BF2" w:rsidRDefault="00A57C43" w:rsidP="0035025C">
          <w:pPr>
            <w:pStyle w:val="FooterText"/>
            <w:jc w:val="center"/>
          </w:pPr>
        </w:p>
      </w:tc>
      <w:tc>
        <w:tcPr>
          <w:tcW w:w="1287" w:type="pct"/>
          <w:gridSpan w:val="3"/>
          <w:shd w:val="clear" w:color="auto" w:fill="auto"/>
          <w:tcMar>
            <w:top w:w="0" w:type="dxa"/>
          </w:tcMar>
        </w:tcPr>
        <w:p w14:paraId="655DECEF" w14:textId="77777777" w:rsidR="00A57C43" w:rsidRPr="002511D8" w:rsidRDefault="00A57C43" w:rsidP="0035025C">
          <w:pPr>
            <w:pStyle w:val="FooterText"/>
            <w:jc w:val="center"/>
          </w:pPr>
        </w:p>
      </w:tc>
      <w:tc>
        <w:tcPr>
          <w:tcW w:w="589" w:type="pct"/>
          <w:shd w:val="clear" w:color="auto" w:fill="auto"/>
          <w:tcMar>
            <w:top w:w="0" w:type="dxa"/>
          </w:tcMar>
        </w:tcPr>
        <w:p w14:paraId="5F5767B6" w14:textId="77777777" w:rsidR="00A57C43" w:rsidRPr="00B310DC" w:rsidRDefault="00A57C43"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14:paraId="083AB103" w14:textId="77777777" w:rsidTr="00430704">
      <w:trPr>
        <w:jc w:val="center"/>
      </w:trPr>
      <w:tc>
        <w:tcPr>
          <w:tcW w:w="1774" w:type="pct"/>
          <w:shd w:val="clear" w:color="auto" w:fill="auto"/>
        </w:tcPr>
        <w:p w14:paraId="2AEF74D2" w14:textId="77777777" w:rsidR="00A57C43" w:rsidRPr="00AD7BF2" w:rsidRDefault="00A57C43" w:rsidP="0035025C">
          <w:pPr>
            <w:pStyle w:val="FooterText"/>
            <w:spacing w:before="40"/>
          </w:pPr>
        </w:p>
      </w:tc>
      <w:tc>
        <w:tcPr>
          <w:tcW w:w="1494" w:type="pct"/>
          <w:gridSpan w:val="3"/>
          <w:shd w:val="clear" w:color="auto" w:fill="auto"/>
        </w:tcPr>
        <w:p w14:paraId="3F616FC2" w14:textId="77777777" w:rsidR="00A57C43" w:rsidRPr="00AD7BF2" w:rsidRDefault="00A57C43" w:rsidP="0035025C">
          <w:pPr>
            <w:pStyle w:val="FooterText"/>
            <w:spacing w:before="40"/>
            <w:jc w:val="center"/>
          </w:pPr>
          <w:r>
            <w:t>JAI.B</w:t>
          </w:r>
        </w:p>
      </w:tc>
      <w:tc>
        <w:tcPr>
          <w:tcW w:w="703" w:type="pct"/>
          <w:shd w:val="clear" w:color="auto" w:fill="auto"/>
        </w:tcPr>
        <w:p w14:paraId="18094CA8" w14:textId="77777777" w:rsidR="00A57C43" w:rsidRPr="0035025C" w:rsidRDefault="00A57C43" w:rsidP="004B628B">
          <w:pPr>
            <w:pStyle w:val="FooterText"/>
            <w:jc w:val="center"/>
            <w:rPr>
              <w:b/>
              <w:position w:val="-4"/>
              <w:sz w:val="36"/>
            </w:rPr>
          </w:pPr>
          <w:r>
            <w:rPr>
              <w:b/>
              <w:position w:val="-4"/>
              <w:sz w:val="36"/>
            </w:rPr>
            <w:t>LIMITE</w:t>
          </w:r>
        </w:p>
      </w:tc>
      <w:tc>
        <w:tcPr>
          <w:tcW w:w="1029" w:type="pct"/>
          <w:gridSpan w:val="2"/>
          <w:shd w:val="clear" w:color="auto" w:fill="auto"/>
        </w:tcPr>
        <w:p w14:paraId="37CE8114" w14:textId="77777777" w:rsidR="00A57C43" w:rsidRPr="00695BAF" w:rsidRDefault="00A57C43" w:rsidP="0035025C">
          <w:pPr>
            <w:pStyle w:val="FooterText"/>
            <w:jc w:val="right"/>
            <w:rPr>
              <w:caps/>
              <w:sz w:val="16"/>
            </w:rPr>
          </w:pPr>
          <w:r>
            <w:rPr>
              <w:b/>
              <w:caps/>
              <w:spacing w:val="-20"/>
              <w:position w:val="-4"/>
              <w:sz w:val="36"/>
            </w:rPr>
            <w:t>EN</w:t>
          </w:r>
        </w:p>
      </w:tc>
    </w:tr>
  </w:tbl>
  <w:p w14:paraId="4EA58446" w14:textId="77777777" w:rsidR="00336ADD" w:rsidRDefault="00336ADD">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1C08B662" w14:textId="77777777" w:rsidTr="0035025C">
      <w:trPr>
        <w:jc w:val="center"/>
      </w:trPr>
      <w:tc>
        <w:tcPr>
          <w:tcW w:w="5000" w:type="pct"/>
          <w:gridSpan w:val="7"/>
          <w:shd w:val="clear" w:color="auto" w:fill="auto"/>
          <w:tcMar>
            <w:top w:w="57" w:type="dxa"/>
          </w:tcMar>
        </w:tcPr>
        <w:p w14:paraId="7FA29A5C" w14:textId="77777777" w:rsidR="00A57C43" w:rsidRPr="0035025C" w:rsidRDefault="00A57C43" w:rsidP="0035025C">
          <w:pPr>
            <w:pStyle w:val="FooterText"/>
            <w:pBdr>
              <w:top w:val="single" w:sz="4" w:space="1" w:color="auto"/>
            </w:pBdr>
            <w:spacing w:before="200"/>
            <w:rPr>
              <w:sz w:val="2"/>
              <w:szCs w:val="2"/>
            </w:rPr>
          </w:pPr>
          <w:bookmarkStart w:id="1" w:name="FOOTER_LEGACTS"/>
        </w:p>
      </w:tc>
    </w:tr>
    <w:tr w:rsidR="008E42AB" w:rsidRPr="00B310DC" w14:paraId="1CA5B40D" w14:textId="77777777" w:rsidTr="00430704">
      <w:trPr>
        <w:jc w:val="center"/>
      </w:trPr>
      <w:tc>
        <w:tcPr>
          <w:tcW w:w="2499" w:type="pct"/>
          <w:gridSpan w:val="2"/>
          <w:shd w:val="clear" w:color="auto" w:fill="auto"/>
          <w:tcMar>
            <w:top w:w="0" w:type="dxa"/>
          </w:tcMar>
        </w:tcPr>
        <w:p w14:paraId="154983ED" w14:textId="77777777" w:rsidR="00A57C43" w:rsidRPr="00AD7BF2" w:rsidRDefault="00A57C43" w:rsidP="0035025C">
          <w:pPr>
            <w:pStyle w:val="FooterText"/>
          </w:pPr>
          <w:r>
            <w:t>6040</w:t>
          </w:r>
          <w:r>
            <w:t>/</w:t>
          </w:r>
          <w:r>
            <w:t>26</w:t>
          </w:r>
          <w:r>
            <w:t xml:space="preserve"> </w:t>
          </w:r>
          <w:r w:rsidRPr="00C15257">
            <w:rPr>
              <w:sz w:val="16"/>
              <w:szCs w:val="16"/>
            </w:rPr>
            <w:t xml:space="preserve"> </w:t>
          </w:r>
        </w:p>
      </w:tc>
      <w:tc>
        <w:tcPr>
          <w:tcW w:w="625" w:type="pct"/>
          <w:shd w:val="clear" w:color="auto" w:fill="auto"/>
          <w:tcMar>
            <w:top w:w="0" w:type="dxa"/>
          </w:tcMar>
        </w:tcPr>
        <w:p w14:paraId="4056E906" w14:textId="77777777" w:rsidR="00A57C43" w:rsidRPr="00AD7BF2" w:rsidRDefault="00A57C43" w:rsidP="0035025C">
          <w:pPr>
            <w:pStyle w:val="FooterText"/>
            <w:jc w:val="center"/>
          </w:pPr>
        </w:p>
      </w:tc>
      <w:tc>
        <w:tcPr>
          <w:tcW w:w="1287" w:type="pct"/>
          <w:gridSpan w:val="3"/>
          <w:shd w:val="clear" w:color="auto" w:fill="auto"/>
          <w:tcMar>
            <w:top w:w="0" w:type="dxa"/>
          </w:tcMar>
        </w:tcPr>
        <w:p w14:paraId="6136616C" w14:textId="77777777" w:rsidR="00A57C43" w:rsidRPr="002511D8" w:rsidRDefault="00A57C43" w:rsidP="0035025C">
          <w:pPr>
            <w:pStyle w:val="FooterText"/>
            <w:jc w:val="center"/>
          </w:pPr>
        </w:p>
      </w:tc>
      <w:tc>
        <w:tcPr>
          <w:tcW w:w="589" w:type="pct"/>
          <w:shd w:val="clear" w:color="auto" w:fill="auto"/>
          <w:tcMar>
            <w:top w:w="0" w:type="dxa"/>
          </w:tcMar>
        </w:tcPr>
        <w:p w14:paraId="7E4448B1" w14:textId="77777777" w:rsidR="00A57C43" w:rsidRPr="00B310DC" w:rsidRDefault="00A57C43" w:rsidP="0035025C">
          <w:pPr>
            <w:pStyle w:val="FooterText"/>
            <w:jc w:val="right"/>
          </w:pPr>
        </w:p>
      </w:tc>
    </w:tr>
    <w:tr w:rsidR="008E42AB" w:rsidRPr="0035025C" w14:paraId="5FC36CE0" w14:textId="77777777" w:rsidTr="00430704">
      <w:trPr>
        <w:jc w:val="center"/>
      </w:trPr>
      <w:tc>
        <w:tcPr>
          <w:tcW w:w="1774" w:type="pct"/>
          <w:shd w:val="clear" w:color="auto" w:fill="auto"/>
        </w:tcPr>
        <w:p w14:paraId="1BF9130B" w14:textId="77777777" w:rsidR="00A57C43" w:rsidRPr="00AD7BF2" w:rsidRDefault="00A57C43" w:rsidP="0035025C">
          <w:pPr>
            <w:pStyle w:val="FooterText"/>
            <w:spacing w:before="40"/>
          </w:pPr>
        </w:p>
      </w:tc>
      <w:tc>
        <w:tcPr>
          <w:tcW w:w="1494" w:type="pct"/>
          <w:gridSpan w:val="3"/>
          <w:shd w:val="clear" w:color="auto" w:fill="auto"/>
        </w:tcPr>
        <w:p w14:paraId="3D5C48F0" w14:textId="77777777" w:rsidR="00A57C43" w:rsidRPr="00AD7BF2" w:rsidRDefault="00A57C43" w:rsidP="0035025C">
          <w:pPr>
            <w:pStyle w:val="FooterText"/>
            <w:spacing w:before="40"/>
            <w:jc w:val="center"/>
          </w:pPr>
          <w:r>
            <w:t>JAI.B</w:t>
          </w:r>
        </w:p>
      </w:tc>
      <w:tc>
        <w:tcPr>
          <w:tcW w:w="703" w:type="pct"/>
          <w:shd w:val="clear" w:color="auto" w:fill="auto"/>
        </w:tcPr>
        <w:p w14:paraId="18670505" w14:textId="77777777" w:rsidR="00A57C43" w:rsidRPr="0035025C" w:rsidRDefault="00A57C43" w:rsidP="004B628B">
          <w:pPr>
            <w:pStyle w:val="FooterText"/>
            <w:jc w:val="center"/>
            <w:rPr>
              <w:b/>
              <w:position w:val="-4"/>
              <w:sz w:val="36"/>
            </w:rPr>
          </w:pPr>
          <w:r>
            <w:rPr>
              <w:b/>
              <w:position w:val="-4"/>
              <w:sz w:val="36"/>
            </w:rPr>
            <w:t>LIMITE</w:t>
          </w:r>
        </w:p>
      </w:tc>
      <w:tc>
        <w:tcPr>
          <w:tcW w:w="1029" w:type="pct"/>
          <w:gridSpan w:val="2"/>
          <w:shd w:val="clear" w:color="auto" w:fill="auto"/>
        </w:tcPr>
        <w:p w14:paraId="43383E86" w14:textId="77777777" w:rsidR="00A57C43" w:rsidRPr="00695BAF" w:rsidRDefault="00A57C43" w:rsidP="0035025C">
          <w:pPr>
            <w:pStyle w:val="FooterText"/>
            <w:jc w:val="right"/>
            <w:rPr>
              <w:caps/>
              <w:sz w:val="16"/>
            </w:rPr>
          </w:pPr>
          <w:r>
            <w:rPr>
              <w:b/>
              <w:caps/>
              <w:spacing w:val="-20"/>
              <w:position w:val="-4"/>
              <w:sz w:val="36"/>
            </w:rPr>
            <w:t>EN</w:t>
          </w:r>
        </w:p>
      </w:tc>
    </w:tr>
    <w:bookmarkEnd w:id="1"/>
  </w:tbl>
  <w:p w14:paraId="6734B12D" w14:textId="77777777" w:rsidR="00336ADD" w:rsidRDefault="00336ADD">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78191" w14:textId="77777777" w:rsidR="00336ADD" w:rsidRDefault="00336A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9AD0F" w14:textId="77777777" w:rsidR="00336ADD" w:rsidRDefault="00336A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4B8F9" w14:textId="77777777" w:rsidR="000C4992" w:rsidRPr="00245855" w:rsidRDefault="000C4992" w:rsidP="00245855">
      <w:pPr>
        <w:spacing w:before="0" w:after="0"/>
      </w:pPr>
      <w:r w:rsidRPr="00245855">
        <w:separator/>
      </w:r>
    </w:p>
  </w:footnote>
  <w:footnote w:type="continuationSeparator" w:id="0">
    <w:p w14:paraId="2B53B950" w14:textId="77777777" w:rsidR="000C4992" w:rsidRDefault="000C4992" w:rsidP="00245855">
      <w:pPr>
        <w:spacing w:before="0" w:after="0" w:line="240" w:lineRule="auto"/>
      </w:pPr>
      <w:r>
        <w:continuationSeparator/>
      </w:r>
    </w:p>
  </w:footnote>
  <w:footnote w:id="1">
    <w:p w14:paraId="30624119" w14:textId="77777777" w:rsidR="005B30E8" w:rsidRPr="005B30E8" w:rsidRDefault="005B30E8">
      <w:pPr>
        <w:pStyle w:val="FootnoteText"/>
        <w:rPr>
          <w:lang w:val="et-EE"/>
        </w:rPr>
      </w:pPr>
      <w:r>
        <w:rPr>
          <w:rStyle w:val="FootnoteReference"/>
        </w:rPr>
        <w:footnoteRef/>
      </w:r>
      <w:r>
        <w:tab/>
        <w:t xml:space="preserve">Council Framework Decision 2004/757/JHA of 25 October 2004 laying down minimum provisions on the constituent elements of criminal acts and penalties in the field of illicit drug trafficking (OJ L 335, 11.11.2004, p. 8, </w:t>
      </w:r>
      <w:r w:rsidRPr="00FD4AE4">
        <w:t>ELI: </w:t>
      </w:r>
      <w:hyperlink r:id="rId1" w:history="1">
        <w:r w:rsidRPr="00B574D8">
          <w:rPr>
            <w:rStyle w:val="Hyperlink"/>
          </w:rPr>
          <w:t>http://data.europa.eu/eli/dec_framw/2004/757/oj</w:t>
        </w:r>
      </w:hyperlink>
      <w:r>
        <w:t>).</w:t>
      </w:r>
    </w:p>
  </w:footnote>
  <w:footnote w:id="2">
    <w:p w14:paraId="44683BB1" w14:textId="44A319F5" w:rsidR="005B30E8" w:rsidRPr="005B30E8" w:rsidRDefault="005B30E8">
      <w:pPr>
        <w:pStyle w:val="FootnoteText"/>
        <w:rPr>
          <w:lang w:val="et-EE"/>
        </w:rPr>
      </w:pPr>
      <w:r>
        <w:rPr>
          <w:rStyle w:val="FootnoteReference"/>
        </w:rPr>
        <w:footnoteRef/>
      </w:r>
      <w:r>
        <w:tab/>
        <w:t>Regulation (EU) 2023/1322 of the European Parliament and of the Council of 27 June 2023 on the European Union Drugs Agency (EUDA) and repealing Regulation (EC)</w:t>
      </w:r>
      <w:r w:rsidR="00A57C43">
        <w:t> </w:t>
      </w:r>
      <w:r>
        <w:t>No</w:t>
      </w:r>
      <w:r w:rsidR="00A57C43">
        <w:t> </w:t>
      </w:r>
      <w:r>
        <w:t xml:space="preserve">1920/2006 (OJ L 166, 30.6.2023, p. 6, </w:t>
      </w:r>
      <w:r w:rsidRPr="00095682">
        <w:t>ELI: </w:t>
      </w:r>
      <w:hyperlink r:id="rId2" w:history="1">
        <w:r w:rsidRPr="00B574D8">
          <w:rPr>
            <w:rStyle w:val="Hyperlink"/>
          </w:rPr>
          <w:t>http://data.europa.eu/eli/reg/2023/1322/oj</w:t>
        </w:r>
      </w:hyperlink>
      <w:r>
        <w:t>).</w:t>
      </w:r>
    </w:p>
  </w:footnote>
  <w:footnote w:id="3">
    <w:p w14:paraId="6DC6C672" w14:textId="77777777" w:rsidR="005B30E8" w:rsidRPr="005B30E8" w:rsidRDefault="005B30E8">
      <w:pPr>
        <w:pStyle w:val="FootnoteText"/>
        <w:rPr>
          <w:lang w:val="et-EE"/>
        </w:rPr>
      </w:pPr>
      <w:r>
        <w:rPr>
          <w:rStyle w:val="FootnoteReference"/>
        </w:rPr>
        <w:footnoteRef/>
      </w:r>
      <w:r>
        <w:tab/>
        <w:t>Belgium, Germany, Spain, France, Italy, Lithuania, Hungary, Malta, Netherlands, Austria, Poland, Portugal, Slovenia and Finland.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91D6A" w14:textId="77777777" w:rsidR="00336ADD" w:rsidRDefault="00A57C43">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39457" w14:textId="77777777" w:rsidR="00336ADD" w:rsidRDefault="00A57C43">
    <w:pPr>
      <w:pStyle w:val="HeaderCouncil"/>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D7584" w14:textId="77777777" w:rsidR="00336ADD" w:rsidRDefault="00336A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D976B" w14:textId="77777777" w:rsidR="00336ADD" w:rsidRDefault="00A57C43">
    <w:r>
      <w:t>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D3EF0" w14:textId="77777777" w:rsidR="00336ADD" w:rsidRDefault="00336A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0"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2"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3"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16" w15:restartNumberingAfterBreak="0">
    <w:nsid w:val="5DF84969"/>
    <w:multiLevelType w:val="singleLevel"/>
    <w:tmpl w:val="1E12021A"/>
    <w:name w:val="List Bullet 4"/>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232594412">
    <w:abstractNumId w:val="16"/>
  </w:num>
  <w:num w:numId="2" w16cid:durableId="1531065978">
    <w:abstractNumId w:val="15"/>
  </w:num>
  <w:num w:numId="3" w16cid:durableId="1371224461">
    <w:abstractNumId w:val="4"/>
  </w:num>
  <w:num w:numId="4" w16cid:durableId="1583297739">
    <w:abstractNumId w:val="10"/>
  </w:num>
  <w:num w:numId="5" w16cid:durableId="493028266">
    <w:abstractNumId w:val="13"/>
  </w:num>
  <w:num w:numId="6" w16cid:durableId="19748251">
    <w:abstractNumId w:val="12"/>
  </w:num>
  <w:num w:numId="7" w16cid:durableId="194975596">
    <w:abstractNumId w:val="22"/>
  </w:num>
  <w:num w:numId="8" w16cid:durableId="2051998500">
    <w:abstractNumId w:val="7"/>
  </w:num>
  <w:num w:numId="9" w16cid:durableId="920985168">
    <w:abstractNumId w:val="8"/>
  </w:num>
  <w:num w:numId="10" w16cid:durableId="859395038">
    <w:abstractNumId w:val="9"/>
  </w:num>
  <w:num w:numId="11" w16cid:durableId="1884709445">
    <w:abstractNumId w:val="11"/>
  </w:num>
  <w:num w:numId="12" w16cid:durableId="907809623">
    <w:abstractNumId w:val="5"/>
  </w:num>
  <w:num w:numId="13" w16cid:durableId="147790786">
    <w:abstractNumId w:val="0"/>
  </w:num>
  <w:num w:numId="14" w16cid:durableId="1276255905">
    <w:abstractNumId w:val="23"/>
  </w:num>
  <w:num w:numId="15" w16cid:durableId="641539383">
    <w:abstractNumId w:val="6"/>
  </w:num>
  <w:num w:numId="16" w16cid:durableId="1463424940">
    <w:abstractNumId w:val="2"/>
  </w:num>
  <w:num w:numId="17" w16cid:durableId="1445808034">
    <w:abstractNumId w:val="1"/>
  </w:num>
  <w:num w:numId="18" w16cid:durableId="1852645536">
    <w:abstractNumId w:val="18"/>
  </w:num>
  <w:num w:numId="19" w16cid:durableId="850142578">
    <w:abstractNumId w:val="17"/>
  </w:num>
  <w:num w:numId="20" w16cid:durableId="9839530">
    <w:abstractNumId w:val="14"/>
  </w:num>
  <w:num w:numId="21" w16cid:durableId="1073358758">
    <w:abstractNumId w:val="20"/>
  </w:num>
  <w:num w:numId="22" w16cid:durableId="1326860946">
    <w:abstractNumId w:val="19"/>
  </w:num>
  <w:num w:numId="23" w16cid:durableId="1663196454">
    <w:abstractNumId w:val="21"/>
  </w:num>
  <w:num w:numId="24" w16cid:durableId="808937615">
    <w:abstractNumId w:val="3"/>
  </w:num>
  <w:num w:numId="25" w16cid:durableId="1371224461">
    <w:abstractNumId w:val="4"/>
  </w:num>
  <w:num w:numId="26" w16cid:durableId="1583297739">
    <w:abstractNumId w:val="10"/>
  </w:num>
  <w:num w:numId="27" w16cid:durableId="493028266">
    <w:abstractNumId w:val="13"/>
  </w:num>
  <w:num w:numId="28" w16cid:durableId="19748251">
    <w:abstractNumId w:val="12"/>
  </w:num>
  <w:num w:numId="29" w16cid:durableId="194975596">
    <w:abstractNumId w:val="22"/>
  </w:num>
  <w:num w:numId="30" w16cid:durableId="2051998500">
    <w:abstractNumId w:val="7"/>
  </w:num>
  <w:num w:numId="31" w16cid:durableId="920985168">
    <w:abstractNumId w:val="8"/>
  </w:num>
  <w:num w:numId="32" w16cid:durableId="859395038">
    <w:abstractNumId w:val="9"/>
  </w:num>
  <w:num w:numId="33" w16cid:durableId="1884709445">
    <w:abstractNumId w:val="11"/>
  </w:num>
  <w:num w:numId="34" w16cid:durableId="907809623">
    <w:abstractNumId w:val="5"/>
  </w:num>
  <w:num w:numId="35" w16cid:durableId="147790786">
    <w:abstractNumId w:val="0"/>
  </w:num>
  <w:num w:numId="36" w16cid:durableId="1276255905">
    <w:abstractNumId w:val="23"/>
  </w:num>
  <w:num w:numId="37" w16cid:durableId="641539383">
    <w:abstractNumId w:val="6"/>
  </w:num>
  <w:num w:numId="38" w16cid:durableId="1463424940">
    <w:abstractNumId w:val="2"/>
  </w:num>
  <w:num w:numId="39" w16cid:durableId="1445808034">
    <w:abstractNumId w:val="1"/>
  </w:num>
  <w:num w:numId="40" w16cid:durableId="1852645536">
    <w:abstractNumId w:val="18"/>
  </w:num>
  <w:num w:numId="41" w16cid:durableId="850142578">
    <w:abstractNumId w:val="17"/>
  </w:num>
  <w:num w:numId="42" w16cid:durableId="9839530">
    <w:abstractNumId w:val="14"/>
  </w:num>
  <w:num w:numId="43" w16cid:durableId="1073358758">
    <w:abstractNumId w:val="20"/>
  </w:num>
  <w:num w:numId="44" w16cid:durableId="1326860946">
    <w:abstractNumId w:val="19"/>
  </w:num>
  <w:num w:numId="45" w16cid:durableId="1663196454">
    <w:abstractNumId w:val="21"/>
  </w:num>
  <w:num w:numId="46" w16cid:durableId="808937615">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characterSpacingControl w:val="doNotCompress"/>
  <w:hdrShapeDefaults>
    <o:shapedefaults v:ext="edit" spidmax="20481"/>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748223496411157169&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22&quot; text=&quot;LEGISLATIVE ACTS AND OTHER INSTRUMENTS&quot; /&gt;_x000d__x000a_    &lt;/basicdatatype&gt;_x000d__x000a_  &lt;/metadata&gt;_x000d__x000a_  &lt;metadata key=&quot;md_HeadingText&quot;&gt;_x000d__x000a_    &lt;headingtext text=&quot;LEGISLATIVE ACTS AND OTHER INSTRUMENTS&quot;&gt;_x000d__x000a_      &lt;formattedtext&gt;_x000d__x000a_        &lt;xaml text=&quot;LEGISLATIVE ACTS AND OTHER INSTRUMENTS&quot;&gt;&amp;lt;FlowDocument xmlns=&quot;http://schemas.microsoft.com/winfx/2006/xaml/presentation&quot;&amp;gt;&amp;lt;Paragraph&amp;gt;LEGISLATIVE ACTS AND OTHER INSTRUMENTS&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2-20&lt;/text&gt;_x000d__x000a_  &lt;/metadata&gt;_x000d__x000a_  &lt;metadata key=&quot;md_Prefix&quot;&gt;_x000d__x000a_    &lt;text&gt;&lt;/text&gt;_x000d__x000a_  &lt;/metadata&gt;_x000d__x000a_  &lt;metadata key=&quot;md_DocumentNumber&quot;&gt;_x000d__x000a_    &lt;text&gt;6040&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2&quot; text=&quot;LIMITE&quot; /&gt;_x000d__x000a_    &lt;/basicdatatype&gt;_x000d__x000a_  &lt;/metadata&gt;_x000d__x000a_  &lt;metadata key=&quot;md_SubjectCodes&quot;&gt;_x000d__x000a_    &lt;textlist&gt;_x000d__x000a_      &lt;text&gt;CORDROGUE 16&lt;/text&gt;_x000d__x000a_      &lt;text&gt;SAN 68&lt;/text&gt;_x000d__x000a_      &lt;text&gt;RELEX 155&lt;/text&gt;_x000d__x000a_    &lt;/textlist&gt;_x000d__x000a_  &lt;/metadata&gt;_x000d__x000a_  &lt;metadata key=&quot;md_ThirdPartyDistributionMarkers&quot;&gt;_x000d__x000a_    &lt;textlist&gt;_x000d__x000a_      &lt;text&gt;EUDA&lt;/text&gt;_x000d__x000a_      &lt;text&gt;EUROPOL&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 /&gt;_x000d__x000a_  &lt;metadata key=&quot;md_FreeDate&quot; /&gt;_x000d__x000a_  &lt;metadata key=&quot;md_PrecedingDocuments&quot; /&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COUNCIL DECISION on the position to be taken on behalf of the European Union in the 69th session of the Commission on Narcotic Drugs on the scheduling of substances under the Single Convention on Narcotic Drugs of 1961, as amended by the 1972 Protocol, and the Convention on Psychotropic Substances of 1971&quot;&gt;&amp;lt;FlowDocument FontFamily=&quot;Segoe UI&quot; FontSize=&quot;12&quot; LineHeight=&quot;6&quot; PageWidth=&quot;329&quot; PagePadding=&quot;2,2,2,2&quot; AllowDrop=&quot;False&quot; xmlns=&quot;http://schemas.microsoft.com/winfx/2006/xaml/presentation&quot;&amp;gt;&amp;lt;Paragraph LineHeight=&quot;6&quot; FontFamily=&quot;Arial Unicode MS&quot; FontSize=&quot;12&quot;&amp;gt;COUNCIL DECISION on the position to be taken on behalf of the European Union in the 69th session of the Commission on Narcotic Drugs on the scheduling of substances under the Single Convention on Narcotic Drugs of 1961, as amended by the 1972 Protocol, and the Convention on Psychotropic Substances of 1971&amp;lt;/Paragraph&amp;gt;&amp;lt;/FlowDocument&amp;gt;&lt;/xaml&gt;_x000d__x000a_  &lt;/metadata&gt;_x000d__x000a_  &lt;metadata key=&quot;md_SubjectFootnote&quot; /&gt;_x000d__x000a_  &lt;metadata key=&quot;md_DG&quot;&gt;_x000d__x000a_    &lt;text&gt;JAI.B&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DW_DocType" w:val="DW_LEGACTS"/>
    <w:docVar w:name="DW_TechnicalBlockHash" w:val="deb562369685a4243ab00c89f151de8e56a23c54541afe37809c94519357fb89"/>
    <w:docVar w:name="EPKit_DocumentHasBeenSaved" w:val="true"/>
  </w:docVars>
  <w:rsids>
    <w:rsidRoot w:val="000C4992"/>
    <w:rsid w:val="000935C6"/>
    <w:rsid w:val="000C4992"/>
    <w:rsid w:val="000C5C3D"/>
    <w:rsid w:val="000D456A"/>
    <w:rsid w:val="000F041B"/>
    <w:rsid w:val="0010098C"/>
    <w:rsid w:val="001075EC"/>
    <w:rsid w:val="00120346"/>
    <w:rsid w:val="00133CFF"/>
    <w:rsid w:val="001C3703"/>
    <w:rsid w:val="001E1588"/>
    <w:rsid w:val="001E21F1"/>
    <w:rsid w:val="002441B4"/>
    <w:rsid w:val="00245855"/>
    <w:rsid w:val="00275B9C"/>
    <w:rsid w:val="0028055A"/>
    <w:rsid w:val="002B6387"/>
    <w:rsid w:val="002D187E"/>
    <w:rsid w:val="002E245B"/>
    <w:rsid w:val="00334087"/>
    <w:rsid w:val="00336ADD"/>
    <w:rsid w:val="003601D3"/>
    <w:rsid w:val="003D10B6"/>
    <w:rsid w:val="0044479F"/>
    <w:rsid w:val="004610C5"/>
    <w:rsid w:val="0046785F"/>
    <w:rsid w:val="004E059D"/>
    <w:rsid w:val="005312CD"/>
    <w:rsid w:val="00552216"/>
    <w:rsid w:val="005B30E8"/>
    <w:rsid w:val="005C3F8F"/>
    <w:rsid w:val="00636CBE"/>
    <w:rsid w:val="00754D8F"/>
    <w:rsid w:val="007867AD"/>
    <w:rsid w:val="00792182"/>
    <w:rsid w:val="007A3E11"/>
    <w:rsid w:val="00816C8A"/>
    <w:rsid w:val="00851F9F"/>
    <w:rsid w:val="008B4C44"/>
    <w:rsid w:val="008C47CD"/>
    <w:rsid w:val="008E0917"/>
    <w:rsid w:val="009F3B66"/>
    <w:rsid w:val="00A22788"/>
    <w:rsid w:val="00A57C43"/>
    <w:rsid w:val="00AA100F"/>
    <w:rsid w:val="00AC2C32"/>
    <w:rsid w:val="00AF44D9"/>
    <w:rsid w:val="00BB1852"/>
    <w:rsid w:val="00BE2C8A"/>
    <w:rsid w:val="00C71388"/>
    <w:rsid w:val="00D913B2"/>
    <w:rsid w:val="00D919E9"/>
    <w:rsid w:val="00E152CE"/>
    <w:rsid w:val="00E17A93"/>
    <w:rsid w:val="00F73B73"/>
    <w:rsid w:val="00F93549"/>
    <w:rsid w:val="00F9560A"/>
    <w:rsid w:val="00F97E1F"/>
    <w:rsid w:val="00FB39B0"/>
    <w:rsid w:val="00FC0E3F"/>
    <w:rsid w:val="00FE4851"/>
    <w:rsid w:val="00FF0E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C68E2EA"/>
  <w15:chartTrackingRefBased/>
  <w15:docId w15:val="{F7DA0B4B-0BE2-4BCD-873E-A787B7069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Text1"/>
    <w:link w:val="Heading1Char"/>
    <w:uiPriority w:val="9"/>
    <w:qFormat/>
    <w:rsid w:val="00245855"/>
    <w:pPr>
      <w:keepNext/>
      <w:numPr>
        <w:numId w:val="35"/>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semiHidden/>
    <w:unhideWhenUsed/>
    <w:qFormat/>
    <w:rsid w:val="00245855"/>
    <w:pPr>
      <w:keepNext/>
      <w:numPr>
        <w:ilvl w:val="1"/>
        <w:numId w:val="35"/>
      </w:numPr>
      <w:tabs>
        <w:tab w:val="left" w:pos="850"/>
      </w:tabs>
      <w:outlineLvl w:val="1"/>
    </w:pPr>
    <w:rPr>
      <w:rFonts w:eastAsiaTheme="majorEastAsia"/>
      <w:b/>
      <w:szCs w:val="26"/>
    </w:rPr>
  </w:style>
  <w:style w:type="paragraph" w:styleId="Heading3">
    <w:name w:val="heading 3"/>
    <w:basedOn w:val="Normal"/>
    <w:next w:val="Text1"/>
    <w:link w:val="Heading3Char"/>
    <w:uiPriority w:val="9"/>
    <w:semiHidden/>
    <w:unhideWhenUsed/>
    <w:qFormat/>
    <w:rsid w:val="00245855"/>
    <w:pPr>
      <w:keepNext/>
      <w:numPr>
        <w:ilvl w:val="2"/>
        <w:numId w:val="35"/>
      </w:numPr>
      <w:tabs>
        <w:tab w:val="left" w:pos="850"/>
      </w:tabs>
      <w:outlineLvl w:val="2"/>
    </w:pPr>
    <w:rPr>
      <w:rFonts w:eastAsiaTheme="majorEastAsia"/>
      <w:i/>
      <w:szCs w:val="24"/>
    </w:rPr>
  </w:style>
  <w:style w:type="paragraph" w:styleId="Heading4">
    <w:name w:val="heading 4"/>
    <w:basedOn w:val="Normal"/>
    <w:next w:val="Text1"/>
    <w:link w:val="Heading4Char"/>
    <w:uiPriority w:val="9"/>
    <w:semiHidden/>
    <w:unhideWhenUsed/>
    <w:qFormat/>
    <w:rsid w:val="00245855"/>
    <w:pPr>
      <w:keepNext/>
      <w:numPr>
        <w:ilvl w:val="3"/>
        <w:numId w:val="35"/>
      </w:numPr>
      <w:tabs>
        <w:tab w:val="left" w:pos="850"/>
      </w:tabs>
      <w:outlineLvl w:val="3"/>
    </w:pPr>
    <w:rPr>
      <w:rFonts w:eastAsiaTheme="majorEastAsia"/>
      <w:iCs/>
    </w:rPr>
  </w:style>
  <w:style w:type="paragraph" w:styleId="Heading5">
    <w:name w:val="heading 5"/>
    <w:basedOn w:val="Normal"/>
    <w:next w:val="Text1"/>
    <w:link w:val="Heading5Char"/>
    <w:uiPriority w:val="9"/>
    <w:semiHidden/>
    <w:unhideWhenUsed/>
    <w:qFormat/>
    <w:rsid w:val="00245855"/>
    <w:pPr>
      <w:keepNext/>
      <w:numPr>
        <w:ilvl w:val="4"/>
        <w:numId w:val="35"/>
      </w:numPr>
      <w:tabs>
        <w:tab w:val="left" w:pos="850"/>
      </w:tabs>
      <w:outlineLvl w:val="4"/>
    </w:pPr>
    <w:rPr>
      <w:rFonts w:eastAsiaTheme="majorEastAsia"/>
    </w:rPr>
  </w:style>
  <w:style w:type="paragraph" w:styleId="Heading6">
    <w:name w:val="heading 6"/>
    <w:basedOn w:val="Normal"/>
    <w:next w:val="Text1"/>
    <w:link w:val="Heading6Char"/>
    <w:uiPriority w:val="9"/>
    <w:semiHidden/>
    <w:unhideWhenUsed/>
    <w:qFormat/>
    <w:rsid w:val="00245855"/>
    <w:pPr>
      <w:keepNext/>
      <w:numPr>
        <w:ilvl w:val="5"/>
        <w:numId w:val="35"/>
      </w:numPr>
      <w:tabs>
        <w:tab w:val="left" w:pos="850"/>
      </w:tabs>
      <w:outlineLvl w:val="5"/>
    </w:pPr>
    <w:rPr>
      <w:rFonts w:eastAsiaTheme="majorEastAsia"/>
    </w:rPr>
  </w:style>
  <w:style w:type="paragraph" w:styleId="Heading7">
    <w:name w:val="heading 7"/>
    <w:basedOn w:val="Normal"/>
    <w:next w:val="Text1"/>
    <w:link w:val="Heading7Char"/>
    <w:uiPriority w:val="9"/>
    <w:semiHidden/>
    <w:unhideWhenUsed/>
    <w:qFormat/>
    <w:rsid w:val="00245855"/>
    <w:pPr>
      <w:keepNext/>
      <w:numPr>
        <w:ilvl w:val="6"/>
        <w:numId w:val="35"/>
      </w:numPr>
      <w:tabs>
        <w:tab w:val="left" w:pos="850"/>
      </w:tabs>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FE4851"/>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FE4851"/>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FE4851"/>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FE4851"/>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FE4851"/>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FE4851"/>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FE4851"/>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FE4851"/>
    <w:rPr>
      <w:rFonts w:ascii="Arial" w:eastAsia="Times New Roman" w:hAnsi="Arial" w:cs="Arial"/>
      <w:b/>
      <w:sz w:val="23"/>
      <w:szCs w:val="20"/>
      <w:u w:color="606060"/>
      <w:lang w:val="en-GB" w:eastAsia="fr-BE"/>
    </w:rPr>
  </w:style>
  <w:style w:type="paragraph" w:customStyle="1" w:styleId="TBDistrbMarkers">
    <w:name w:val="TBDistrbMarkers"/>
    <w:basedOn w:val="TBEntRefer"/>
    <w:qFormat/>
    <w:rsid w:val="00FE4851"/>
    <w:pPr>
      <w:tabs>
        <w:tab w:val="left" w:pos="2262"/>
      </w:tabs>
    </w:pPr>
    <w:rPr>
      <w:i/>
      <w:iCs/>
      <w:szCs w:val="23"/>
    </w:rPr>
  </w:style>
  <w:style w:type="paragraph" w:customStyle="1" w:styleId="TBSubjectTable">
    <w:name w:val="TBSubjectTable"/>
    <w:basedOn w:val="TechnicalBlockBase"/>
    <w:rsid w:val="00FE4851"/>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FE4851"/>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FE4851"/>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FE4851"/>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FE4851"/>
    <w:rPr>
      <w:rFonts w:ascii="Arial New Roman" w:eastAsia="Times New Roman" w:hAnsi="Arial New Roman" w:cs="Arial"/>
      <w:b/>
      <w:i/>
      <w:dstrike/>
      <w:color w:val="606060"/>
      <w:w w:val="98"/>
      <w:sz w:val="10"/>
      <w:szCs w:val="20"/>
      <w:u w:val="words" w:color="606060"/>
      <w:lang w:val="en-GB" w:eastAsia="fr-BE"/>
    </w:rPr>
  </w:style>
  <w:style w:type="paragraph" w:styleId="ListBullet">
    <w:name w:val="List Bullet"/>
    <w:basedOn w:val="Normal"/>
    <w:rsid w:val="000C4992"/>
    <w:pPr>
      <w:numPr>
        <w:numId w:val="1"/>
      </w:numPr>
      <w:tabs>
        <w:tab w:val="clear" w:pos="283"/>
      </w:tabs>
      <w:spacing w:line="240" w:lineRule="auto"/>
      <w:ind w:left="0" w:firstLine="0"/>
      <w:jc w:val="both"/>
    </w:pPr>
    <w:rPr>
      <w:rFonts w:eastAsia="Times New Roman"/>
      <w:szCs w:val="24"/>
      <w:lang w:eastAsia="de-DE"/>
    </w:rPr>
  </w:style>
  <w:style w:type="paragraph" w:styleId="ListBullet4">
    <w:name w:val="List Bullet 4"/>
    <w:basedOn w:val="Normal"/>
    <w:rsid w:val="000C4992"/>
    <w:pPr>
      <w:numPr>
        <w:numId w:val="2"/>
      </w:numPr>
      <w:tabs>
        <w:tab w:val="clear" w:pos="1134"/>
      </w:tabs>
      <w:spacing w:line="240" w:lineRule="auto"/>
      <w:ind w:left="0" w:firstLine="0"/>
      <w:jc w:val="both"/>
    </w:pPr>
    <w:rPr>
      <w:rFonts w:eastAsia="Times New Roman"/>
      <w:szCs w:val="24"/>
      <w:lang w:eastAsia="de-DE"/>
    </w:rPr>
  </w:style>
  <w:style w:type="paragraph" w:customStyle="1" w:styleId="Langue">
    <w:name w:val="Langue"/>
    <w:basedOn w:val="Normal"/>
    <w:next w:val="Rfrenceinterne"/>
    <w:rsid w:val="000C4992"/>
    <w:pPr>
      <w:spacing w:before="0" w:after="600" w:line="240" w:lineRule="auto"/>
      <w:jc w:val="center"/>
    </w:pPr>
    <w:rPr>
      <w:rFonts w:eastAsia="Times New Roman"/>
      <w:b/>
      <w:caps/>
      <w:szCs w:val="24"/>
      <w:lang w:eastAsia="de-DE"/>
    </w:rPr>
  </w:style>
  <w:style w:type="paragraph" w:customStyle="1" w:styleId="Rfrenceinterne">
    <w:name w:val="Référence interne"/>
    <w:basedOn w:val="Normal"/>
    <w:next w:val="Normal"/>
    <w:rsid w:val="000C4992"/>
    <w:pPr>
      <w:spacing w:before="0" w:after="600" w:line="240" w:lineRule="auto"/>
      <w:jc w:val="center"/>
    </w:pPr>
    <w:rPr>
      <w:rFonts w:eastAsia="Times New Roman"/>
      <w:b/>
      <w:szCs w:val="24"/>
      <w:lang w:eastAsia="de-DE"/>
    </w:rPr>
  </w:style>
  <w:style w:type="paragraph" w:customStyle="1" w:styleId="HeaderCouncilLarge">
    <w:name w:val="Header Council Large"/>
    <w:basedOn w:val="Normal"/>
    <w:link w:val="HeaderCouncilLargeChar"/>
    <w:rsid w:val="000C4992"/>
    <w:pPr>
      <w:spacing w:before="0" w:after="440"/>
      <w:jc w:val="right"/>
    </w:pPr>
    <w:rPr>
      <w:rFonts w:eastAsia="Times New Roman"/>
      <w:b/>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0C4992"/>
    <w:rPr>
      <w:rFonts w:ascii="Arial" w:eastAsia="Times New Roman" w:hAnsi="Arial" w:cs="Arial"/>
      <w:b/>
      <w:i w:val="0"/>
      <w:dstrike/>
      <w:color w:val="606060"/>
      <w:w w:val="98"/>
      <w:sz w:val="23"/>
      <w:szCs w:val="23"/>
      <w:u w:val="words" w:color="606060"/>
      <w:lang w:val="en-GB" w:eastAsia="fr-BE"/>
    </w:rPr>
  </w:style>
  <w:style w:type="character" w:customStyle="1" w:styleId="HeaderCouncilLargeChar">
    <w:name w:val="Header Council Large Char"/>
    <w:basedOn w:val="TBNormalTechnicalBlockChar"/>
    <w:link w:val="HeaderCouncilLarge"/>
    <w:rsid w:val="000C4992"/>
    <w:rPr>
      <w:rFonts w:ascii="Times New Roman" w:eastAsia="Times New Roman" w:hAnsi="Times New Roman" w:cs="Times New Roman"/>
      <w:b/>
      <w:i w:val="0"/>
      <w:dstrike/>
      <w:color w:val="606060"/>
      <w:w w:val="98"/>
      <w:sz w:val="2"/>
      <w:szCs w:val="20"/>
      <w:u w:val="words" w:color="606060"/>
      <w:lang w:val="en-GB" w:eastAsia="fr-BE"/>
    </w:rPr>
  </w:style>
  <w:style w:type="paragraph" w:customStyle="1" w:styleId="FooterText">
    <w:name w:val="Footer Text"/>
    <w:basedOn w:val="Normal"/>
    <w:rsid w:val="000C4992"/>
    <w:pPr>
      <w:spacing w:before="0" w:after="0" w:line="240" w:lineRule="auto"/>
    </w:pPr>
    <w:rPr>
      <w:rFonts w:eastAsia="Times New Roman"/>
      <w:szCs w:val="24"/>
    </w:rPr>
  </w:style>
  <w:style w:type="character" w:styleId="PlaceholderText">
    <w:name w:val="Placeholder Text"/>
    <w:basedOn w:val="DefaultParagraphFont"/>
    <w:uiPriority w:val="99"/>
    <w:semiHidden/>
    <w:rsid w:val="000C4992"/>
    <w:rPr>
      <w:color w:val="808080"/>
    </w:rPr>
  </w:style>
  <w:style w:type="character" w:styleId="CommentReference">
    <w:name w:val="annotation reference"/>
    <w:basedOn w:val="DefaultParagraphFont"/>
    <w:uiPriority w:val="99"/>
    <w:semiHidden/>
    <w:unhideWhenUsed/>
    <w:rsid w:val="00275B9C"/>
    <w:rPr>
      <w:sz w:val="16"/>
      <w:szCs w:val="16"/>
    </w:rPr>
  </w:style>
  <w:style w:type="paragraph" w:styleId="CommentText">
    <w:name w:val="annotation text"/>
    <w:basedOn w:val="Normal"/>
    <w:link w:val="CommentTextChar"/>
    <w:uiPriority w:val="99"/>
    <w:semiHidden/>
    <w:unhideWhenUsed/>
    <w:rsid w:val="00275B9C"/>
    <w:pPr>
      <w:spacing w:line="240" w:lineRule="auto"/>
    </w:pPr>
    <w:rPr>
      <w:sz w:val="20"/>
      <w:szCs w:val="20"/>
    </w:rPr>
  </w:style>
  <w:style w:type="character" w:customStyle="1" w:styleId="CommentTextChar">
    <w:name w:val="Comment Text Char"/>
    <w:basedOn w:val="DefaultParagraphFont"/>
    <w:link w:val="CommentText"/>
    <w:uiPriority w:val="99"/>
    <w:semiHidden/>
    <w:rsid w:val="00275B9C"/>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75B9C"/>
    <w:rPr>
      <w:b/>
      <w:bCs/>
    </w:rPr>
  </w:style>
  <w:style w:type="character" w:customStyle="1" w:styleId="CommentSubjectChar">
    <w:name w:val="Comment Subject Char"/>
    <w:basedOn w:val="CommentTextChar"/>
    <w:link w:val="CommentSubject"/>
    <w:uiPriority w:val="99"/>
    <w:semiHidden/>
    <w:rsid w:val="00275B9C"/>
    <w:rPr>
      <w:rFonts w:ascii="Times New Roman" w:hAnsi="Times New Roman" w:cs="Times New Roman"/>
      <w:b/>
      <w:bCs/>
      <w:sz w:val="20"/>
      <w:szCs w:val="20"/>
      <w:lang w:val="en-GB"/>
    </w:rPr>
  </w:style>
  <w:style w:type="character" w:styleId="Hyperlink">
    <w:name w:val="Hyperlink"/>
    <w:basedOn w:val="DefaultParagraphFont"/>
    <w:uiPriority w:val="99"/>
    <w:unhideWhenUsed/>
    <w:rsid w:val="005B30E8"/>
    <w:rPr>
      <w:color w:val="0563C1" w:themeColor="hyperlink"/>
      <w:u w:val="single"/>
    </w:rPr>
  </w:style>
  <w:style w:type="character" w:styleId="UnresolvedMention">
    <w:name w:val="Unresolved Mention"/>
    <w:basedOn w:val="DefaultParagraphFont"/>
    <w:uiPriority w:val="99"/>
    <w:semiHidden/>
    <w:unhideWhenUsed/>
    <w:rsid w:val="005B30E8"/>
    <w:rPr>
      <w:color w:val="605E5C"/>
      <w:shd w:val="clear" w:color="auto" w:fill="E1DFDD"/>
    </w:rPr>
  </w:style>
  <w:style w:type="character" w:styleId="FollowedHyperlink">
    <w:name w:val="FollowedHyperlink"/>
    <w:basedOn w:val="DefaultParagraphFont"/>
    <w:uiPriority w:val="99"/>
    <w:semiHidden/>
    <w:unhideWhenUsed/>
    <w:rsid w:val="005B30E8"/>
    <w:rPr>
      <w:color w:val="954F72" w:themeColor="followedHyperlink"/>
      <w:u w:val="single"/>
    </w:rPr>
  </w:style>
  <w:style w:type="paragraph" w:styleId="Revision">
    <w:name w:val="Revision"/>
    <w:hidden/>
    <w:uiPriority w:val="99"/>
    <w:semiHidden/>
    <w:rsid w:val="007A3E11"/>
    <w:pPr>
      <w:spacing w:after="0" w:line="240" w:lineRule="auto"/>
    </w:pPr>
    <w:rPr>
      <w:rFonts w:ascii="Times New Roman" w:hAnsi="Times New Roman" w:cs="Times New Roman"/>
      <w:sz w:val="24"/>
      <w:lang w:val="en-GB"/>
    </w:rPr>
  </w:style>
  <w:style w:type="paragraph" w:styleId="Header">
    <w:name w:val="header"/>
    <w:basedOn w:val="Normal"/>
    <w:link w:val="HeaderChar"/>
    <w:uiPriority w:val="99"/>
    <w:semiHidden/>
    <w:unhideWhenUsed/>
    <w:rsid w:val="00245855"/>
    <w:pPr>
      <w:tabs>
        <w:tab w:val="right" w:pos="9638"/>
      </w:tabs>
    </w:pPr>
  </w:style>
  <w:style w:type="character" w:customStyle="1" w:styleId="HeaderChar">
    <w:name w:val="Header Char"/>
    <w:basedOn w:val="DefaultParagraphFont"/>
    <w:link w:val="Header"/>
    <w:uiPriority w:val="99"/>
    <w:semiHidden/>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semiHidden/>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semiHidden/>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semiHidden/>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bdr w:val="none" w:sz="0" w:space="0" w:color="auto"/>
      <w:shd w:val="clear" w:color="auto" w:fill="auto"/>
      <w:lang w:val="en-GB"/>
    </w:rPr>
  </w:style>
  <w:style w:type="character" w:customStyle="1" w:styleId="Heading2Char">
    <w:name w:val="Heading 2 Char"/>
    <w:basedOn w:val="DefaultParagraphFont"/>
    <w:link w:val="Heading2"/>
    <w:uiPriority w:val="9"/>
    <w:semiHidden/>
    <w:rsid w:val="00245855"/>
    <w:rPr>
      <w:rFonts w:ascii="Times New Roman" w:eastAsiaTheme="majorEastAsia" w:hAnsi="Times New Roman" w:cs="Times New Roman"/>
      <w:b/>
      <w:sz w:val="24"/>
      <w:szCs w:val="26"/>
      <w:bdr w:val="none" w:sz="0" w:space="0" w:color="auto"/>
      <w:shd w:val="clear" w:color="auto" w:fill="auto"/>
      <w:lang w:val="en-GB"/>
    </w:rPr>
  </w:style>
  <w:style w:type="character" w:customStyle="1" w:styleId="Heading3Char">
    <w:name w:val="Heading 3 Char"/>
    <w:basedOn w:val="DefaultParagraphFont"/>
    <w:link w:val="Heading3"/>
    <w:uiPriority w:val="9"/>
    <w:semiHidden/>
    <w:rsid w:val="00245855"/>
    <w:rPr>
      <w:rFonts w:ascii="Times New Roman" w:eastAsiaTheme="majorEastAsia" w:hAnsi="Times New Roman" w:cs="Times New Roman"/>
      <w:i/>
      <w:sz w:val="24"/>
      <w:szCs w:val="24"/>
      <w:bdr w:val="none" w:sz="0" w:space="0" w:color="auto"/>
      <w:shd w:val="clear" w:color="auto" w:fill="auto"/>
      <w:lang w:val="en-GB"/>
    </w:rPr>
  </w:style>
  <w:style w:type="character" w:customStyle="1" w:styleId="Heading4Char">
    <w:name w:val="Heading 4 Char"/>
    <w:basedOn w:val="DefaultParagraphFont"/>
    <w:link w:val="Heading4"/>
    <w:uiPriority w:val="9"/>
    <w:semiHidden/>
    <w:rsid w:val="00245855"/>
    <w:rPr>
      <w:rFonts w:ascii="Times New Roman" w:eastAsiaTheme="majorEastAsia" w:hAnsi="Times New Roman" w:cs="Times New Roman"/>
      <w:iCs/>
      <w:sz w:val="24"/>
      <w:bdr w:val="none" w:sz="0" w:space="0" w:color="auto"/>
      <w:shd w:val="clear" w:color="auto" w:fill="auto"/>
      <w:lang w:val="en-GB"/>
    </w:rPr>
  </w:style>
  <w:style w:type="character" w:customStyle="1" w:styleId="Heading5Char">
    <w:name w:val="Heading 5 Char"/>
    <w:basedOn w:val="DefaultParagraphFont"/>
    <w:link w:val="Heading5"/>
    <w:uiPriority w:val="9"/>
    <w:semiHidden/>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6Char">
    <w:name w:val="Heading 6 Char"/>
    <w:basedOn w:val="DefaultParagraphFont"/>
    <w:link w:val="Heading6"/>
    <w:uiPriority w:val="9"/>
    <w:semiHidden/>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7Char">
    <w:name w:val="Heading 7 Char"/>
    <w:basedOn w:val="DefaultParagraphFont"/>
    <w:link w:val="Heading7"/>
    <w:uiPriority w:val="9"/>
    <w:semiHidden/>
    <w:rsid w:val="00245855"/>
    <w:rPr>
      <w:rFonts w:ascii="Times New Roman" w:eastAsiaTheme="majorEastAsia" w:hAnsi="Times New Roman" w:cs="Times New Roman"/>
      <w:iCs/>
      <w:sz w:val="24"/>
      <w:bdr w:val="none" w:sz="0" w:space="0" w:color="auto"/>
      <w:shd w:val="clear" w:color="auto" w:fill="auto"/>
      <w:lang w:val="en-GB"/>
    </w:rPr>
  </w:style>
  <w:style w:type="paragraph" w:styleId="TOCHeading">
    <w:name w:val="TOC Heading"/>
    <w:basedOn w:val="Normal"/>
    <w:next w:val="Normal"/>
    <w:uiPriority w:val="39"/>
    <w:semiHidden/>
    <w:unhideWhenUsed/>
    <w:qFormat/>
    <w:rsid w:val="00245855"/>
    <w:pPr>
      <w:spacing w:after="240"/>
      <w:jc w:val="center"/>
    </w:pPr>
    <w:rPr>
      <w:b/>
      <w:sz w:val="28"/>
    </w:rPr>
  </w:style>
  <w:style w:type="paragraph" w:styleId="TOC1">
    <w:name w:val="toc 1"/>
    <w:basedOn w:val="Normal"/>
    <w:next w:val="Normal"/>
    <w:uiPriority w:val="39"/>
    <w:semiHidden/>
    <w:unhideWhenUsed/>
    <w:rsid w:val="00245855"/>
    <w:pPr>
      <w:tabs>
        <w:tab w:val="right" w:leader="dot" w:pos="9071"/>
      </w:tabs>
      <w:spacing w:before="60"/>
      <w:ind w:left="850" w:hanging="850"/>
    </w:pPr>
  </w:style>
  <w:style w:type="paragraph" w:styleId="TOC2">
    <w:name w:val="toc 2"/>
    <w:basedOn w:val="Normal"/>
    <w:next w:val="Normal"/>
    <w:uiPriority w:val="39"/>
    <w:semiHidden/>
    <w:unhideWhenUsed/>
    <w:rsid w:val="00245855"/>
    <w:pPr>
      <w:tabs>
        <w:tab w:val="right" w:leader="dot" w:pos="9071"/>
      </w:tabs>
      <w:spacing w:before="60"/>
      <w:ind w:left="850" w:hanging="850"/>
    </w:pPr>
  </w:style>
  <w:style w:type="paragraph" w:styleId="TOC3">
    <w:name w:val="toc 3"/>
    <w:basedOn w:val="Normal"/>
    <w:next w:val="Normal"/>
    <w:uiPriority w:val="39"/>
    <w:semiHidden/>
    <w:unhideWhenUsed/>
    <w:rsid w:val="00245855"/>
    <w:pPr>
      <w:tabs>
        <w:tab w:val="right" w:leader="dot" w:pos="9071"/>
      </w:tabs>
      <w:spacing w:before="60"/>
      <w:ind w:left="850" w:hanging="850"/>
    </w:pPr>
  </w:style>
  <w:style w:type="paragraph" w:styleId="TOC4">
    <w:name w:val="toc 4"/>
    <w:basedOn w:val="Normal"/>
    <w:next w:val="Normal"/>
    <w:uiPriority w:val="39"/>
    <w:semiHidden/>
    <w:unhideWhenUsed/>
    <w:rsid w:val="00245855"/>
    <w:pPr>
      <w:tabs>
        <w:tab w:val="right" w:leader="dot" w:pos="9071"/>
      </w:tabs>
      <w:spacing w:before="60"/>
      <w:ind w:left="850" w:hanging="850"/>
    </w:pPr>
  </w:style>
  <w:style w:type="paragraph" w:styleId="TOC5">
    <w:name w:val="toc 5"/>
    <w:basedOn w:val="Normal"/>
    <w:next w:val="Normal"/>
    <w:uiPriority w:val="39"/>
    <w:semiHidden/>
    <w:unhideWhenUsed/>
    <w:rsid w:val="00245855"/>
    <w:pPr>
      <w:tabs>
        <w:tab w:val="right" w:leader="dot" w:pos="9071"/>
      </w:tabs>
      <w:spacing w:before="300"/>
    </w:pPr>
  </w:style>
  <w:style w:type="paragraph" w:styleId="TOC6">
    <w:name w:val="toc 6"/>
    <w:basedOn w:val="Normal"/>
    <w:next w:val="Normal"/>
    <w:uiPriority w:val="39"/>
    <w:semiHidden/>
    <w:unhideWhenUsed/>
    <w:rsid w:val="00245855"/>
    <w:pPr>
      <w:tabs>
        <w:tab w:val="right" w:leader="dot" w:pos="9071"/>
      </w:tabs>
      <w:spacing w:before="240"/>
    </w:pPr>
  </w:style>
  <w:style w:type="paragraph" w:styleId="TOC7">
    <w:name w:val="toc 7"/>
    <w:basedOn w:val="Normal"/>
    <w:next w:val="Normal"/>
    <w:uiPriority w:val="39"/>
    <w:semiHidden/>
    <w:unhideWhenUsed/>
    <w:rsid w:val="00245855"/>
    <w:pPr>
      <w:tabs>
        <w:tab w:val="right" w:leader="dot" w:pos="9071"/>
      </w:tabs>
      <w:spacing w:before="180"/>
    </w:pPr>
  </w:style>
  <w:style w:type="paragraph" w:styleId="TOC8">
    <w:name w:val="toc 8"/>
    <w:basedOn w:val="Normal"/>
    <w:next w:val="Normal"/>
    <w:uiPriority w:val="39"/>
    <w:semiHidden/>
    <w:unhideWhenUsed/>
    <w:rsid w:val="00245855"/>
    <w:pPr>
      <w:tabs>
        <w:tab w:val="right" w:leader="dot" w:pos="9071"/>
      </w:tabs>
    </w:pPr>
  </w:style>
  <w:style w:type="paragraph" w:styleId="TOC9">
    <w:name w:val="toc 9"/>
    <w:basedOn w:val="Normal"/>
    <w:next w:val="Normal"/>
    <w:uiPriority w:val="39"/>
    <w:semiHidden/>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semiHidden/>
    <w:unhideWhenUsed/>
    <w:rsid w:val="00245855"/>
    <w:rPr>
      <w:b/>
      <w:bdr w:val="none" w:sz="0" w:space="0" w:color="auto"/>
      <w:shd w:val="clear" w:color="auto" w:fill="auto"/>
      <w:vertAlign w:val="superscript"/>
    </w:r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rsid w:val="00245855"/>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25"/>
      </w:numPr>
    </w:pPr>
  </w:style>
  <w:style w:type="paragraph" w:customStyle="1" w:styleId="Tiret1">
    <w:name w:val="Tiret 1"/>
    <w:basedOn w:val="Normal"/>
    <w:rsid w:val="00245855"/>
    <w:pPr>
      <w:numPr>
        <w:numId w:val="26"/>
      </w:numPr>
    </w:pPr>
  </w:style>
  <w:style w:type="paragraph" w:customStyle="1" w:styleId="Tiret2">
    <w:name w:val="Tiret 2"/>
    <w:basedOn w:val="Normal"/>
    <w:rsid w:val="00245855"/>
    <w:pPr>
      <w:numPr>
        <w:numId w:val="27"/>
      </w:numPr>
    </w:pPr>
  </w:style>
  <w:style w:type="paragraph" w:customStyle="1" w:styleId="Tiret3">
    <w:name w:val="Tiret 3"/>
    <w:basedOn w:val="Normal"/>
    <w:rsid w:val="00245855"/>
    <w:pPr>
      <w:numPr>
        <w:numId w:val="28"/>
      </w:numPr>
    </w:pPr>
  </w:style>
  <w:style w:type="paragraph" w:customStyle="1" w:styleId="Tiret4">
    <w:name w:val="Tiret 4"/>
    <w:basedOn w:val="Normal"/>
    <w:rsid w:val="00245855"/>
    <w:pPr>
      <w:numPr>
        <w:numId w:val="29"/>
      </w:numPr>
    </w:pPr>
  </w:style>
  <w:style w:type="paragraph" w:customStyle="1" w:styleId="Tiret5">
    <w:name w:val="Tiret 5"/>
    <w:basedOn w:val="Normal"/>
    <w:rsid w:val="00245855"/>
    <w:pPr>
      <w:numPr>
        <w:numId w:val="30"/>
      </w:numPr>
    </w:pPr>
  </w:style>
  <w:style w:type="paragraph" w:customStyle="1" w:styleId="Tiret6">
    <w:name w:val="Tiret 6"/>
    <w:basedOn w:val="Normal"/>
    <w:rsid w:val="00245855"/>
    <w:pPr>
      <w:numPr>
        <w:numId w:val="31"/>
      </w:numPr>
    </w:pPr>
  </w:style>
  <w:style w:type="paragraph" w:customStyle="1" w:styleId="Tiret7">
    <w:name w:val="Tiret 7"/>
    <w:basedOn w:val="Normal"/>
    <w:rsid w:val="00245855"/>
    <w:pPr>
      <w:numPr>
        <w:numId w:val="32"/>
      </w:numPr>
    </w:pPr>
  </w:style>
  <w:style w:type="paragraph" w:customStyle="1" w:styleId="Tiret8">
    <w:name w:val="Tiret 8"/>
    <w:basedOn w:val="Normal"/>
    <w:rsid w:val="00245855"/>
    <w:pPr>
      <w:numPr>
        <w:numId w:val="33"/>
      </w:numPr>
    </w:pPr>
  </w:style>
  <w:style w:type="paragraph" w:customStyle="1" w:styleId="NumPar1">
    <w:name w:val="NumPar 1"/>
    <w:basedOn w:val="Normal"/>
    <w:next w:val="Text1"/>
    <w:rsid w:val="00245855"/>
    <w:pPr>
      <w:numPr>
        <w:numId w:val="34"/>
      </w:numPr>
      <w:tabs>
        <w:tab w:val="left" w:pos="850"/>
      </w:tabs>
    </w:pPr>
  </w:style>
  <w:style w:type="paragraph" w:customStyle="1" w:styleId="NumPar2">
    <w:name w:val="NumPar 2"/>
    <w:basedOn w:val="Normal"/>
    <w:next w:val="Text1"/>
    <w:rsid w:val="00245855"/>
    <w:pPr>
      <w:numPr>
        <w:ilvl w:val="1"/>
        <w:numId w:val="34"/>
      </w:numPr>
      <w:tabs>
        <w:tab w:val="left" w:pos="850"/>
      </w:tabs>
    </w:pPr>
  </w:style>
  <w:style w:type="paragraph" w:customStyle="1" w:styleId="NumPar3">
    <w:name w:val="NumPar 3"/>
    <w:basedOn w:val="Normal"/>
    <w:next w:val="Text1"/>
    <w:rsid w:val="00245855"/>
    <w:pPr>
      <w:numPr>
        <w:ilvl w:val="2"/>
        <w:numId w:val="34"/>
      </w:numPr>
      <w:tabs>
        <w:tab w:val="left" w:pos="850"/>
      </w:tabs>
    </w:pPr>
  </w:style>
  <w:style w:type="paragraph" w:customStyle="1" w:styleId="NumPar4">
    <w:name w:val="NumPar 4"/>
    <w:basedOn w:val="Normal"/>
    <w:next w:val="Text1"/>
    <w:rsid w:val="00245855"/>
    <w:pPr>
      <w:numPr>
        <w:ilvl w:val="3"/>
        <w:numId w:val="34"/>
      </w:numPr>
      <w:tabs>
        <w:tab w:val="left" w:pos="850"/>
      </w:tabs>
    </w:pPr>
  </w:style>
  <w:style w:type="paragraph" w:customStyle="1" w:styleId="NumPar5">
    <w:name w:val="NumPar 5"/>
    <w:basedOn w:val="Normal"/>
    <w:next w:val="Text2"/>
    <w:rsid w:val="00245855"/>
    <w:pPr>
      <w:numPr>
        <w:ilvl w:val="4"/>
        <w:numId w:val="34"/>
      </w:numPr>
      <w:tabs>
        <w:tab w:val="left" w:pos="1417"/>
      </w:tabs>
    </w:pPr>
  </w:style>
  <w:style w:type="paragraph" w:customStyle="1" w:styleId="NumPar6">
    <w:name w:val="NumPar 6"/>
    <w:basedOn w:val="Normal"/>
    <w:next w:val="Text2"/>
    <w:rsid w:val="00245855"/>
    <w:pPr>
      <w:numPr>
        <w:ilvl w:val="5"/>
        <w:numId w:val="34"/>
      </w:numPr>
      <w:tabs>
        <w:tab w:val="left" w:pos="1417"/>
      </w:tabs>
    </w:pPr>
  </w:style>
  <w:style w:type="paragraph" w:customStyle="1" w:styleId="NumPar7">
    <w:name w:val="NumPar 7"/>
    <w:basedOn w:val="Normal"/>
    <w:next w:val="Text2"/>
    <w:rsid w:val="00245855"/>
    <w:pPr>
      <w:numPr>
        <w:ilvl w:val="6"/>
        <w:numId w:val="34"/>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36"/>
      </w:numPr>
    </w:pPr>
  </w:style>
  <w:style w:type="paragraph" w:customStyle="1" w:styleId="Point1number">
    <w:name w:val="Point 1 (number)"/>
    <w:basedOn w:val="Normal"/>
    <w:rsid w:val="00245855"/>
    <w:pPr>
      <w:numPr>
        <w:ilvl w:val="2"/>
        <w:numId w:val="36"/>
      </w:numPr>
    </w:pPr>
  </w:style>
  <w:style w:type="paragraph" w:customStyle="1" w:styleId="Point2number">
    <w:name w:val="Point 2 (number)"/>
    <w:basedOn w:val="Normal"/>
    <w:rsid w:val="00245855"/>
    <w:pPr>
      <w:numPr>
        <w:ilvl w:val="4"/>
        <w:numId w:val="36"/>
      </w:numPr>
    </w:pPr>
  </w:style>
  <w:style w:type="paragraph" w:customStyle="1" w:styleId="Point3number">
    <w:name w:val="Point 3 (number)"/>
    <w:basedOn w:val="Normal"/>
    <w:rsid w:val="00245855"/>
    <w:pPr>
      <w:numPr>
        <w:ilvl w:val="6"/>
        <w:numId w:val="36"/>
      </w:numPr>
    </w:pPr>
  </w:style>
  <w:style w:type="paragraph" w:customStyle="1" w:styleId="Point0letter">
    <w:name w:val="Point 0 (letter)"/>
    <w:basedOn w:val="Normal"/>
    <w:rsid w:val="00245855"/>
    <w:pPr>
      <w:numPr>
        <w:ilvl w:val="1"/>
        <w:numId w:val="36"/>
      </w:numPr>
    </w:pPr>
  </w:style>
  <w:style w:type="paragraph" w:customStyle="1" w:styleId="Point1letter">
    <w:name w:val="Point 1 (letter)"/>
    <w:basedOn w:val="Normal"/>
    <w:rsid w:val="00245855"/>
    <w:pPr>
      <w:numPr>
        <w:ilvl w:val="3"/>
        <w:numId w:val="36"/>
      </w:numPr>
    </w:pPr>
  </w:style>
  <w:style w:type="paragraph" w:customStyle="1" w:styleId="Point2letter">
    <w:name w:val="Point 2 (letter)"/>
    <w:basedOn w:val="Normal"/>
    <w:rsid w:val="00245855"/>
    <w:pPr>
      <w:numPr>
        <w:ilvl w:val="5"/>
        <w:numId w:val="36"/>
      </w:numPr>
    </w:pPr>
  </w:style>
  <w:style w:type="paragraph" w:customStyle="1" w:styleId="Point3letter">
    <w:name w:val="Point 3 (letter)"/>
    <w:basedOn w:val="Normal"/>
    <w:rsid w:val="00245855"/>
    <w:pPr>
      <w:numPr>
        <w:ilvl w:val="7"/>
        <w:numId w:val="36"/>
      </w:numPr>
    </w:pPr>
  </w:style>
  <w:style w:type="paragraph" w:customStyle="1" w:styleId="Point4letter">
    <w:name w:val="Point 4 (letter)"/>
    <w:basedOn w:val="Normal"/>
    <w:rsid w:val="00245855"/>
    <w:pPr>
      <w:numPr>
        <w:ilvl w:val="8"/>
        <w:numId w:val="36"/>
      </w:numPr>
    </w:pPr>
  </w:style>
  <w:style w:type="paragraph" w:customStyle="1" w:styleId="Bullet0">
    <w:name w:val="Bullet 0"/>
    <w:basedOn w:val="Normal"/>
    <w:rsid w:val="00245855"/>
    <w:pPr>
      <w:numPr>
        <w:numId w:val="37"/>
      </w:numPr>
    </w:pPr>
  </w:style>
  <w:style w:type="paragraph" w:customStyle="1" w:styleId="Bullet1">
    <w:name w:val="Bullet 1"/>
    <w:basedOn w:val="Normal"/>
    <w:rsid w:val="00245855"/>
    <w:pPr>
      <w:numPr>
        <w:numId w:val="38"/>
      </w:numPr>
    </w:pPr>
  </w:style>
  <w:style w:type="paragraph" w:customStyle="1" w:styleId="Bullet2">
    <w:name w:val="Bullet 2"/>
    <w:basedOn w:val="Normal"/>
    <w:rsid w:val="00245855"/>
    <w:pPr>
      <w:numPr>
        <w:numId w:val="39"/>
      </w:numPr>
    </w:pPr>
  </w:style>
  <w:style w:type="paragraph" w:customStyle="1" w:styleId="Bullet3">
    <w:name w:val="Bullet 3"/>
    <w:basedOn w:val="Normal"/>
    <w:rsid w:val="00245855"/>
    <w:pPr>
      <w:numPr>
        <w:numId w:val="40"/>
      </w:numPr>
    </w:pPr>
  </w:style>
  <w:style w:type="paragraph" w:customStyle="1" w:styleId="Bullet4">
    <w:name w:val="Bullet 4"/>
    <w:basedOn w:val="Normal"/>
    <w:rsid w:val="00245855"/>
    <w:pPr>
      <w:numPr>
        <w:numId w:val="41"/>
      </w:numPr>
    </w:pPr>
  </w:style>
  <w:style w:type="paragraph" w:customStyle="1" w:styleId="Bullet5">
    <w:name w:val="Bullet 5"/>
    <w:basedOn w:val="Normal"/>
    <w:rsid w:val="00245855"/>
    <w:pPr>
      <w:numPr>
        <w:numId w:val="42"/>
      </w:numPr>
    </w:pPr>
  </w:style>
  <w:style w:type="paragraph" w:customStyle="1" w:styleId="Bullet6">
    <w:name w:val="Bullet 6"/>
    <w:basedOn w:val="Normal"/>
    <w:rsid w:val="00245855"/>
    <w:pPr>
      <w:numPr>
        <w:numId w:val="43"/>
      </w:numPr>
    </w:pPr>
  </w:style>
  <w:style w:type="paragraph" w:customStyle="1" w:styleId="Bullet7">
    <w:name w:val="Bullet 7"/>
    <w:basedOn w:val="Normal"/>
    <w:rsid w:val="00245855"/>
    <w:pPr>
      <w:numPr>
        <w:numId w:val="44"/>
      </w:numPr>
    </w:pPr>
  </w:style>
  <w:style w:type="paragraph" w:customStyle="1" w:styleId="Bullet8">
    <w:name w:val="Bullet 8"/>
    <w:basedOn w:val="Normal"/>
    <w:rsid w:val="00245855"/>
    <w:pPr>
      <w:numPr>
        <w:numId w:val="45"/>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46"/>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semiHidden/>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semiHidden/>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3/1322/oj" TargetMode="External"/><Relationship Id="rId1" Type="http://schemas.openxmlformats.org/officeDocument/2006/relationships/hyperlink" Target="http://data.europa.eu/eli/dec_framw/2004/75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B4E15403523148B9AF1660568B10F5" ma:contentTypeVersion="0" ma:contentTypeDescription="Create a new document." ma:contentTypeScope="" ma:versionID="781ccbb44e5eee58ecbd4a0bd54ea261">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84D27-DA72-4F07-AC35-D333A6F657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33CB88-3600-4DCF-AEAF-45082B55E495}">
  <ds:schemaRefs>
    <ds:schemaRef ds:uri="http://schemas.microsoft.com/sharepoint/v3/contenttype/forms"/>
  </ds:schemaRefs>
</ds:datastoreItem>
</file>

<file path=customXml/itemProps3.xml><?xml version="1.0" encoding="utf-8"?>
<ds:datastoreItem xmlns:ds="http://schemas.openxmlformats.org/officeDocument/2006/customXml" ds:itemID="{A8ED5C64-187D-4E2F-9087-1EF2F1203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24BBC74-A494-4FFD-B287-EDA0E742C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DW_LEGACTS.dotm</Template>
  <TotalTime>7</TotalTime>
  <Pages>9</Pages>
  <Words>1396</Words>
  <Characters>7554</Characters>
  <Application>Microsoft Office Word</Application>
  <DocSecurity>0</DocSecurity>
  <Lines>167</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ZUZJONOK Riina</dc:creator>
  <cp:keywords/>
  <dc:description/>
  <cp:lastModifiedBy>ZUZJONOK Riina</cp:lastModifiedBy>
  <cp:revision>7</cp:revision>
  <dcterms:created xsi:type="dcterms:W3CDTF">2026-02-18T08:37:00Z</dcterms:created>
  <dcterms:modified xsi:type="dcterms:W3CDTF">2026-02-18T08:43:00Z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0x010100E1B4E15403523148B9AF1660568B10F5</vt:lpwstr>
  </property>
  <property fmtid="{D5CDD505-2E9C-101B-9397-08002B2CF9AE}" pid="3" name="Created using">
    <vt:lpwstr>DocuWrite 4.14.2, Build 20260121</vt:lpwstr>
  </property>
  <property fmtid="{D5CDD505-2E9C-101B-9397-08002B2CF9AE}" pid="4" name="Last edited using">
    <vt:lpwstr>DocuWrite 4.14.2, Build 20260121</vt:lpwstr>
  </property>
  <property fmtid="{D5CDD505-2E9C-101B-9397-08002B2CF9AE}" pid="5" name="MSIP_Label_b1df41d6-74a9-4a97-809c-213cd32520cc_Enabled">
    <vt:lpwstr>true</vt:lpwstr>
  </property>
  <property fmtid="{D5CDD505-2E9C-101B-9397-08002B2CF9AE}" pid="6" name="MSIP_Label_b1df41d6-74a9-4a97-809c-213cd32520cc_SetDate">
    <vt:lpwstr>2026-02-18T08:37:40Z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963b170e-e993-4e24-82e3-9f0481b14411</vt:lpwstr>
  </property>
  <property fmtid="{D5CDD505-2E9C-101B-9397-08002B2CF9AE}" pid="11" name="MSIP_Label_b1df41d6-74a9-4a97-809c-213cd32520cc_ContentBits">
    <vt:lpwstr>0</vt:lpwstr>
  </property>
  <property fmtid="{D5CDD505-2E9C-101B-9397-08002B2CF9AE}" pid="12" name="MSIP_Label_b1df41d6-74a9-4a97-809c-213cd32520cc_Tag">
    <vt:lpwstr>10, 0, 1, 1</vt:lpwstr>
  </property>
</Properties>
</file>