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val="en-GB" w:eastAsia="en-US"/>
        </w:rPr>
        <w:alias w:val="TechnicalBlock"/>
        <w:tag w:val="LCK:TechnicalBlock"/>
        <w:id w:val="85282807"/>
        <w:lock w:val="contentLocked"/>
      </w:sdtPr>
      <w:sdtEndPr>
        <w:rPr>
          <w:szCs w:val="22"/>
          <w:lang w:val="ro-RO"/>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940A59" w:rsidRPr="005F5A6B" w14:paraId="25ABAC54" w14:textId="77777777" w:rsidTr="00EE7DE6">
            <w:trPr>
              <w:cantSplit/>
              <w:trHeight w:val="510"/>
              <w:jc w:val="center"/>
            </w:trPr>
            <w:tc>
              <w:tcPr>
                <w:tcW w:w="11344" w:type="dxa"/>
                <w:gridSpan w:val="6"/>
                <w:vAlign w:val="bottom"/>
              </w:tcPr>
              <w:p w14:paraId="4F5FB4E6" w14:textId="77777777" w:rsidR="00940A59" w:rsidRPr="005F5A6B" w:rsidRDefault="00940A59" w:rsidP="00EE7DE6">
                <w:pPr>
                  <w:pStyle w:val="TBNormalTechnicalBlock"/>
                  <w:jc w:val="right"/>
                  <w:rPr>
                    <w:b w:val="0"/>
                    <w:bCs/>
                  </w:rPr>
                </w:pPr>
              </w:p>
            </w:tc>
          </w:tr>
          <w:tr w:rsidR="00940A59" w:rsidRPr="006720F9" w14:paraId="676BC609" w14:textId="77777777" w:rsidTr="00296074">
            <w:trPr>
              <w:cantSplit/>
              <w:trHeight w:val="567"/>
              <w:jc w:val="center"/>
            </w:trPr>
            <w:tc>
              <w:tcPr>
                <w:tcW w:w="1820" w:type="dxa"/>
                <w:gridSpan w:val="2"/>
                <w:vAlign w:val="bottom"/>
              </w:tcPr>
              <w:p w14:paraId="45FEE503" w14:textId="77777777" w:rsidR="00940A59" w:rsidRPr="006C5D93" w:rsidRDefault="00940A59" w:rsidP="003C6CD1">
                <w:pPr>
                  <w:pStyle w:val="TBEntInstit"/>
                </w:pPr>
                <w:r w:rsidRPr="006C5D93">
                  <w:rPr>
                    <w:noProof/>
                  </w:rPr>
                  <w:drawing>
                    <wp:inline distT="0" distB="0" distL="0" distR="0" wp14:anchorId="161C8C0C" wp14:editId="60355A1C">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5EA47D67" w14:textId="77777777" w:rsidR="00940A59" w:rsidRPr="008414C3" w:rsidRDefault="00940A59" w:rsidP="005125B1">
                <w:pPr>
                  <w:pStyle w:val="TBInstitution"/>
                </w:pPr>
                <w:r>
                  <w:t>Consiliul</w:t>
                </w:r>
                <w:r>
                  <w:br/>
                  <w:t>Uniunii Europene</w:t>
                </w:r>
              </w:p>
            </w:tc>
          </w:tr>
          <w:tr w:rsidR="00940A59" w:rsidRPr="006720F9" w14:paraId="4A9C2CDA" w14:textId="77777777" w:rsidTr="00D5364D">
            <w:trPr>
              <w:gridBefore w:val="2"/>
              <w:wBefore w:w="1820" w:type="dxa"/>
              <w:cantSplit/>
              <w:trHeight w:val="1191"/>
              <w:jc w:val="center"/>
            </w:trPr>
            <w:tc>
              <w:tcPr>
                <w:tcW w:w="4558" w:type="dxa"/>
                <w:gridSpan w:val="2"/>
                <w:tcMar>
                  <w:top w:w="28" w:type="dxa"/>
                  <w:left w:w="85" w:type="dxa"/>
                </w:tcMar>
              </w:tcPr>
              <w:p w14:paraId="2C993D82" w14:textId="77777777" w:rsidR="00940A59" w:rsidRPr="00327887" w:rsidRDefault="00940A59" w:rsidP="00762DBC">
                <w:pPr>
                  <w:pStyle w:val="TBInstitutionSubwordmark"/>
                </w:pPr>
              </w:p>
            </w:tc>
            <w:tc>
              <w:tcPr>
                <w:tcW w:w="147" w:type="dxa"/>
                <w:vAlign w:val="bottom"/>
              </w:tcPr>
              <w:p w14:paraId="0DD96FD5" w14:textId="77777777" w:rsidR="00940A59" w:rsidRPr="00093255" w:rsidRDefault="00940A59" w:rsidP="00D5364D">
                <w:pPr>
                  <w:pStyle w:val="TBNormalTechnicalBlock"/>
                  <w:jc w:val="right"/>
                  <w:rPr>
                    <w:b w:val="0"/>
                    <w:bCs/>
                  </w:rPr>
                </w:pPr>
              </w:p>
            </w:tc>
            <w:tc>
              <w:tcPr>
                <w:tcW w:w="4819" w:type="dxa"/>
                <w:vMerge w:val="restart"/>
                <w:tcMar>
                  <w:top w:w="0" w:type="dxa"/>
                </w:tcMar>
              </w:tcPr>
              <w:p w14:paraId="69A3FC6B" w14:textId="77777777" w:rsidR="00940A59" w:rsidRPr="0012121B" w:rsidRDefault="00940A59" w:rsidP="001A5B8F">
                <w:pPr>
                  <w:pStyle w:val="TBNormalTechnicalBlock"/>
                </w:pPr>
                <w:r>
                  <w:t>Bruxelles, 20 februarie 2026</w:t>
                </w:r>
              </w:p>
              <w:p w14:paraId="53177DFF" w14:textId="77777777" w:rsidR="00940A59" w:rsidRPr="00871A20" w:rsidRDefault="00940A59" w:rsidP="009024D2">
                <w:pPr>
                  <w:pStyle w:val="TBNormalTechnicalBlock"/>
                  <w:rPr>
                    <w:bCs/>
                  </w:rPr>
                </w:pPr>
                <w:r w:rsidRPr="00E60683">
                  <w:rPr>
                    <w:bCs/>
                  </w:rPr>
                  <w:t xml:space="preserve">(OR. </w:t>
                </w:r>
                <w:r>
                  <w:rPr>
                    <w:bCs/>
                  </w:rPr>
                  <w:t>en</w:t>
                </w:r>
                <w:r w:rsidRPr="00871A20">
                  <w:rPr>
                    <w:bCs/>
                  </w:rPr>
                  <w:t>)</w:t>
                </w:r>
              </w:p>
              <w:p w14:paraId="47497368" w14:textId="77777777" w:rsidR="00940A59" w:rsidRPr="00871A20" w:rsidRDefault="00940A59" w:rsidP="00871A20">
                <w:pPr>
                  <w:pStyle w:val="TBNormalTechnicalBlock"/>
                  <w:jc w:val="right"/>
                </w:pPr>
              </w:p>
              <w:p w14:paraId="67DD3977" w14:textId="77777777" w:rsidR="00940A59" w:rsidRPr="00871A20" w:rsidRDefault="00940A59" w:rsidP="00871A20">
                <w:pPr>
                  <w:pStyle w:val="TBNormalTechnicalBlock"/>
                  <w:jc w:val="right"/>
                </w:pPr>
              </w:p>
              <w:p w14:paraId="2CF27E85" w14:textId="77777777" w:rsidR="00940A59" w:rsidRPr="00F65A71" w:rsidRDefault="00940A59" w:rsidP="009024D2">
                <w:pPr>
                  <w:pStyle w:val="TBNormalTechnicalBlock"/>
                  <w:rPr>
                    <w:bCs/>
                    <w:lang w:val="en-US"/>
                  </w:rPr>
                </w:pPr>
                <w:r>
                  <w:rPr>
                    <w:bCs/>
                    <w:lang w:val="en-US"/>
                  </w:rPr>
                  <w:t>6040</w:t>
                </w:r>
                <w:r w:rsidRPr="00F65A71">
                  <w:rPr>
                    <w:bCs/>
                    <w:lang w:val="en-US"/>
                  </w:rPr>
                  <w:t>/</w:t>
                </w:r>
                <w:r>
                  <w:rPr>
                    <w:bCs/>
                    <w:lang w:val="en-US"/>
                  </w:rPr>
                  <w:t>26</w:t>
                </w:r>
              </w:p>
              <w:p w14:paraId="6DEC8A8E" w14:textId="77777777" w:rsidR="00940A59" w:rsidRPr="00F65A71" w:rsidRDefault="00940A59" w:rsidP="009024D2">
                <w:pPr>
                  <w:pStyle w:val="TBNormalTechnicalBlock"/>
                  <w:rPr>
                    <w:lang w:val="en-US"/>
                  </w:rPr>
                </w:pPr>
              </w:p>
              <w:p w14:paraId="268C6C6A" w14:textId="77777777" w:rsidR="00940A59" w:rsidRPr="00F65A71" w:rsidRDefault="00940A59" w:rsidP="00871A20">
                <w:pPr>
                  <w:pStyle w:val="TBNormalTechnicalBlock"/>
                  <w:jc w:val="right"/>
                  <w:rPr>
                    <w:lang w:val="en-US"/>
                  </w:rPr>
                </w:pPr>
              </w:p>
              <w:p w14:paraId="7427D7AD" w14:textId="77777777" w:rsidR="00940A59" w:rsidRDefault="00940A59" w:rsidP="009024D2">
                <w:pPr>
                  <w:pStyle w:val="TBNormalTechnicalBlock"/>
                </w:pPr>
                <w:r>
                  <w:t>LIMITE</w:t>
                </w:r>
              </w:p>
              <w:p w14:paraId="3789F864" w14:textId="77777777" w:rsidR="00940A59" w:rsidRDefault="00940A59" w:rsidP="00871A20">
                <w:pPr>
                  <w:pStyle w:val="TBNormalTechnicalBlock"/>
                  <w:jc w:val="right"/>
                </w:pPr>
              </w:p>
              <w:p w14:paraId="430AE793" w14:textId="77777777" w:rsidR="00940A59" w:rsidRDefault="00940A59">
                <w:pPr>
                  <w:pStyle w:val="TBEntRefer"/>
                  <w:tabs>
                    <w:tab w:val="left" w:pos="2265"/>
                  </w:tabs>
                </w:pPr>
                <w:r>
                  <w:t>CORDROGUE 16</w:t>
                </w:r>
              </w:p>
              <w:p w14:paraId="1462C4AD" w14:textId="77777777" w:rsidR="00940A59" w:rsidRDefault="00940A59">
                <w:pPr>
                  <w:pStyle w:val="TBEntRefer"/>
                  <w:tabs>
                    <w:tab w:val="left" w:pos="2265"/>
                  </w:tabs>
                </w:pPr>
                <w:r>
                  <w:t>SAN 68</w:t>
                </w:r>
              </w:p>
              <w:p w14:paraId="2C1FE542" w14:textId="77777777" w:rsidR="00940A59" w:rsidRDefault="00940A59">
                <w:pPr>
                  <w:pStyle w:val="TBEntRefer"/>
                  <w:tabs>
                    <w:tab w:val="left" w:pos="2265"/>
                  </w:tabs>
                </w:pPr>
                <w:r>
                  <w:t>RELEX 155</w:t>
                </w:r>
              </w:p>
              <w:p w14:paraId="5EAAE898" w14:textId="77777777" w:rsidR="00940A59" w:rsidRPr="00073AB8" w:rsidRDefault="00940A59" w:rsidP="00DF51D5">
                <w:pPr>
                  <w:pStyle w:val="TBEntRefer"/>
                  <w:tabs>
                    <w:tab w:val="left" w:pos="2262"/>
                  </w:tabs>
                  <w:rPr>
                    <w:sz w:val="4"/>
                    <w:szCs w:val="4"/>
                  </w:rPr>
                </w:pPr>
              </w:p>
              <w:p w14:paraId="5DAA0455" w14:textId="77777777" w:rsidR="00940A59" w:rsidRDefault="00940A59">
                <w:pPr>
                  <w:pStyle w:val="TBDistrbMarkers"/>
                </w:pPr>
                <w:r>
                  <w:t>EUDA</w:t>
                </w:r>
              </w:p>
              <w:p w14:paraId="5E75070B" w14:textId="77777777" w:rsidR="00940A59" w:rsidRDefault="00940A59">
                <w:pPr>
                  <w:pStyle w:val="TBDistrbMarkers"/>
                </w:pPr>
                <w:r>
                  <w:t>EUROPOL</w:t>
                </w:r>
              </w:p>
            </w:tc>
          </w:tr>
          <w:tr w:rsidR="00940A59" w:rsidRPr="006720F9" w14:paraId="69133315" w14:textId="77777777" w:rsidTr="00EE7DE6">
            <w:trPr>
              <w:gridBefore w:val="1"/>
              <w:wBefore w:w="850" w:type="dxa"/>
              <w:cantSplit/>
              <w:trHeight w:val="837"/>
              <w:jc w:val="center"/>
            </w:trPr>
            <w:tc>
              <w:tcPr>
                <w:tcW w:w="3832" w:type="dxa"/>
                <w:gridSpan w:val="2"/>
                <w:vAlign w:val="center"/>
              </w:tcPr>
              <w:p w14:paraId="64718AB3" w14:textId="77777777" w:rsidR="00940A59" w:rsidRPr="002E211F" w:rsidRDefault="00940A59" w:rsidP="00512AC5">
                <w:pPr>
                  <w:pStyle w:val="TBEntReferNew"/>
                </w:pPr>
              </w:p>
            </w:tc>
            <w:tc>
              <w:tcPr>
                <w:tcW w:w="1843" w:type="dxa"/>
                <w:gridSpan w:val="2"/>
                <w:vMerge w:val="restart"/>
                <w:vAlign w:val="bottom"/>
              </w:tcPr>
              <w:p w14:paraId="72E2D741" w14:textId="77777777" w:rsidR="00940A59" w:rsidRPr="008F6E25" w:rsidRDefault="00940A59" w:rsidP="00EE7DE6">
                <w:pPr>
                  <w:pStyle w:val="TBNormalTechnicalBlock"/>
                  <w:jc w:val="right"/>
                  <w:rPr>
                    <w:b w:val="0"/>
                    <w:bCs/>
                  </w:rPr>
                </w:pPr>
              </w:p>
            </w:tc>
            <w:tc>
              <w:tcPr>
                <w:tcW w:w="4819" w:type="dxa"/>
                <w:vMerge/>
              </w:tcPr>
              <w:p w14:paraId="0368DDD7" w14:textId="77777777" w:rsidR="00940A59" w:rsidRPr="00F26BF3" w:rsidRDefault="00940A59">
                <w:pPr>
                  <w:pStyle w:val="TBEntRefer"/>
                  <w:rPr>
                    <w:szCs w:val="23"/>
                  </w:rPr>
                </w:pPr>
              </w:p>
            </w:tc>
          </w:tr>
          <w:tr w:rsidR="00940A59" w:rsidRPr="007D65B2" w14:paraId="73B95BF6" w14:textId="77777777" w:rsidTr="00327887">
            <w:trPr>
              <w:gridBefore w:val="1"/>
              <w:wBefore w:w="850" w:type="dxa"/>
              <w:cantSplit/>
              <w:trHeight w:val="998"/>
              <w:jc w:val="center"/>
            </w:trPr>
            <w:tc>
              <w:tcPr>
                <w:tcW w:w="3832" w:type="dxa"/>
                <w:gridSpan w:val="2"/>
                <w:vAlign w:val="center"/>
              </w:tcPr>
              <w:p w14:paraId="209B8C64" w14:textId="77777777" w:rsidR="00940A59" w:rsidRPr="007D65B2" w:rsidRDefault="00940A59" w:rsidP="0058695F">
                <w:pPr>
                  <w:pStyle w:val="TBSousEmbargo"/>
                </w:pPr>
              </w:p>
            </w:tc>
            <w:tc>
              <w:tcPr>
                <w:tcW w:w="1843" w:type="dxa"/>
                <w:gridSpan w:val="2"/>
                <w:vMerge/>
                <w:vAlign w:val="center"/>
              </w:tcPr>
              <w:p w14:paraId="0A65910D" w14:textId="77777777" w:rsidR="00940A59" w:rsidRPr="008F6E25" w:rsidRDefault="00940A59" w:rsidP="008F6E25">
                <w:pPr>
                  <w:pStyle w:val="TBNormalTechnicalBlock"/>
                  <w:rPr>
                    <w:b w:val="0"/>
                    <w:bCs/>
                  </w:rPr>
                </w:pPr>
              </w:p>
            </w:tc>
            <w:tc>
              <w:tcPr>
                <w:tcW w:w="4819" w:type="dxa"/>
                <w:vMerge/>
              </w:tcPr>
              <w:p w14:paraId="757A6674" w14:textId="77777777" w:rsidR="00940A59" w:rsidRPr="007D65B2" w:rsidRDefault="00940A59">
                <w:pPr>
                  <w:pStyle w:val="TBEntRefer"/>
                  <w:rPr>
                    <w:szCs w:val="23"/>
                  </w:rPr>
                </w:pPr>
              </w:p>
            </w:tc>
          </w:tr>
        </w:tbl>
        <w:p w14:paraId="2909D4E5" w14:textId="77777777" w:rsidR="00940A59" w:rsidRPr="007D65B2" w:rsidRDefault="00940A59"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940A59" w:rsidRPr="008C093D" w14:paraId="1E4D3FEE" w14:textId="77777777" w:rsidTr="000E0DFC">
            <w:trPr>
              <w:jc w:val="center"/>
            </w:trPr>
            <w:tc>
              <w:tcPr>
                <w:tcW w:w="9640" w:type="dxa"/>
                <w:gridSpan w:val="2"/>
              </w:tcPr>
              <w:p w14:paraId="793917A6" w14:textId="77777777" w:rsidR="00940A59" w:rsidRPr="008C093D" w:rsidRDefault="00940A59" w:rsidP="004F2640">
                <w:pPr>
                  <w:pStyle w:val="TBHeadingTable"/>
                </w:pPr>
                <w:r>
                  <w:t>ACTE LEGISLATIVE ȘI ALTE INSTRUMENTE</w:t>
                </w:r>
              </w:p>
            </w:tc>
          </w:tr>
          <w:tr w:rsidR="00940A59" w:rsidRPr="00F13D39" w14:paraId="077644E3" w14:textId="77777777" w:rsidTr="00B511A2">
            <w:trPr>
              <w:jc w:val="center"/>
            </w:trPr>
            <w:tc>
              <w:tcPr>
                <w:tcW w:w="1985" w:type="dxa"/>
                <w:tcBorders>
                  <w:top w:val="single" w:sz="4" w:space="0" w:color="auto"/>
                  <w:bottom w:val="single" w:sz="4" w:space="0" w:color="auto"/>
                </w:tcBorders>
              </w:tcPr>
              <w:p w14:paraId="149A546C" w14:textId="77777777" w:rsidR="00940A59" w:rsidRPr="00F13D39" w:rsidRDefault="00940A59" w:rsidP="00F13D39">
                <w:pPr>
                  <w:pStyle w:val="TBSubjectTable"/>
                </w:pPr>
                <w:r>
                  <w:t>Subiect:</w:t>
                </w:r>
              </w:p>
            </w:tc>
            <w:tc>
              <w:tcPr>
                <w:tcW w:w="7660" w:type="dxa"/>
                <w:tcBorders>
                  <w:top w:val="single" w:sz="4" w:space="0" w:color="auto"/>
                  <w:bottom w:val="single" w:sz="4" w:space="0" w:color="auto"/>
                </w:tcBorders>
              </w:tcPr>
              <w:p w14:paraId="7FA5673B" w14:textId="77777777" w:rsidR="00940A59" w:rsidRPr="00F13D39" w:rsidRDefault="00940A59" w:rsidP="00A56B75">
                <w:pPr>
                  <w:pStyle w:val="TBSubjectText"/>
                </w:pPr>
                <w:bookmarkStart w:id="0" w:name="SplitParasInCell_1"/>
                <w:bookmarkEnd w:id="0"/>
                <w:r>
                  <w:t>DECIZIE A CONSILIULUI privind poziția care urmează să fie adoptată, în numele Uniunii Europene, în cadrul celei de a 69-a sesiuni a Comisiei pentru stupefiante, cu privire la modificarea tabelelor de substanțe anexate la Convenția unică asupra stupefiantelor din 1961, astfel cum a fost modificată prin Protocolul din 1972, și la Convenția asupra substanțelor psihotrope din 1971</w:t>
                </w:r>
              </w:p>
            </w:tc>
          </w:tr>
        </w:tbl>
        <w:p w14:paraId="5F3D7515" w14:textId="77777777" w:rsidR="00940A59" w:rsidRPr="00F751C6" w:rsidRDefault="00875FA1" w:rsidP="00F751C6">
          <w:pPr>
            <w:spacing w:before="20" w:after="240" w:line="20" w:lineRule="exact"/>
            <w:rPr>
              <w:sz w:val="2"/>
              <w:szCs w:val="2"/>
            </w:rPr>
          </w:pPr>
        </w:p>
      </w:sdtContent>
    </w:sdt>
    <w:p w14:paraId="53C17E72" w14:textId="77777777" w:rsidR="00553107" w:rsidRPr="00602AA0" w:rsidRDefault="00553107">
      <w:pPr>
        <w:sectPr w:rsidR="00553107" w:rsidRPr="00602AA0" w:rsidSect="00940A59">
          <w:headerReference w:type="default" r:id="rId12"/>
          <w:footerReference w:type="default" r:id="rId13"/>
          <w:headerReference w:type="first" r:id="rId14"/>
          <w:footerReference w:type="first" r:id="rId15"/>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411CB0C2" w14:textId="77777777" w:rsidR="00215952" w:rsidRDefault="00215952" w:rsidP="00F27C4D">
      <w:pPr>
        <w:pStyle w:val="Typedudocument"/>
      </w:pPr>
      <w:r w:rsidRPr="001263A2">
        <w:lastRenderedPageBreak/>
        <w:t>DECIZI</w:t>
      </w:r>
      <w:r w:rsidR="008D20AB">
        <w:t xml:space="preserve">A (UE) </w:t>
      </w:r>
      <w:r w:rsidR="007C71B6">
        <w:t>2026</w:t>
      </w:r>
      <w:r w:rsidR="008D20AB">
        <w:t>/…</w:t>
      </w:r>
      <w:r w:rsidRPr="001263A2">
        <w:t xml:space="preserve"> A CONSILIULUI</w:t>
      </w:r>
    </w:p>
    <w:p w14:paraId="04B5D80C" w14:textId="77777777" w:rsidR="008D20AB" w:rsidRPr="00F27C4D" w:rsidRDefault="008D20AB" w:rsidP="00F27C4D">
      <w:pPr>
        <w:pStyle w:val="Datedadoption"/>
      </w:pPr>
      <w:r>
        <w:t>din …</w:t>
      </w:r>
    </w:p>
    <w:p w14:paraId="4F2E0878" w14:textId="77777777" w:rsidR="00215952" w:rsidRPr="001263A2" w:rsidRDefault="00215952" w:rsidP="00F27C4D">
      <w:pPr>
        <w:pStyle w:val="Titreobjet"/>
      </w:pPr>
      <w:r w:rsidRPr="001263A2">
        <w:t xml:space="preserve">privind poziția care urmează să fie adoptată, în numele Uniunii Europene, </w:t>
      </w:r>
      <w:r w:rsidR="00F27C4D">
        <w:br/>
      </w:r>
      <w:r w:rsidRPr="001263A2">
        <w:t>în cadrul celei de</w:t>
      </w:r>
      <w:r w:rsidR="00E72BEB">
        <w:t xml:space="preserve"> </w:t>
      </w:r>
      <w:r w:rsidRPr="001263A2">
        <w:t xml:space="preserve">a </w:t>
      </w:r>
      <w:r w:rsidR="00E72BEB">
        <w:t>69-a</w:t>
      </w:r>
      <w:r w:rsidRPr="001263A2">
        <w:t xml:space="preserve"> sesiuni a Comisiei pentru stupefiante, </w:t>
      </w:r>
      <w:r w:rsidR="00F27C4D">
        <w:br/>
      </w:r>
      <w:r w:rsidRPr="001263A2">
        <w:t xml:space="preserve">cu privire la modificarea tabelelor de substanțe anexate la Convenția unică </w:t>
      </w:r>
      <w:r w:rsidR="00F27C4D">
        <w:br/>
      </w:r>
      <w:r w:rsidRPr="001263A2">
        <w:t xml:space="preserve">asupra stupefiantelor din 1961, astfel cum a fost modificată prin Protocolul din 1972, </w:t>
      </w:r>
      <w:r w:rsidR="00F27C4D">
        <w:br/>
      </w:r>
      <w:r w:rsidRPr="001263A2">
        <w:t>și la Convenția asupra substanțelor psihotrope din 1971</w:t>
      </w:r>
    </w:p>
    <w:p w14:paraId="3407C1B4" w14:textId="77777777" w:rsidR="00215952" w:rsidRPr="00E812B8" w:rsidRDefault="00215952" w:rsidP="00F27C4D">
      <w:pPr>
        <w:pStyle w:val="Institutionquiagit"/>
      </w:pPr>
      <w:r w:rsidRPr="00E812B8">
        <w:t>CONSILIUL UNIUNII EUROPENE,</w:t>
      </w:r>
    </w:p>
    <w:p w14:paraId="289EF5A0" w14:textId="77777777" w:rsidR="00215952" w:rsidRPr="00E812B8" w:rsidRDefault="00215952" w:rsidP="00F27C4D">
      <w:r w:rsidRPr="00E812B8">
        <w:t>având în vedere Tratatul privind funcționarea Uniunii Europene, în special articolul</w:t>
      </w:r>
      <w:r w:rsidR="008D20AB">
        <w:t> </w:t>
      </w:r>
      <w:r w:rsidRPr="001263A2">
        <w:t>83</w:t>
      </w:r>
      <w:r w:rsidRPr="00E812B8">
        <w:t xml:space="preserve"> alineatul</w:t>
      </w:r>
      <w:r w:rsidR="008D20AB">
        <w:t> </w:t>
      </w:r>
      <w:r w:rsidRPr="00E812B8">
        <w:t>(</w:t>
      </w:r>
      <w:r w:rsidRPr="001263A2">
        <w:t>1</w:t>
      </w:r>
      <w:r w:rsidRPr="00E812B8">
        <w:t>) coroborat cu articolul</w:t>
      </w:r>
      <w:r w:rsidR="008D20AB">
        <w:t> </w:t>
      </w:r>
      <w:r w:rsidRPr="001263A2">
        <w:t>218</w:t>
      </w:r>
      <w:r w:rsidRPr="00E812B8">
        <w:t xml:space="preserve"> alineatul</w:t>
      </w:r>
      <w:r w:rsidR="008D20AB">
        <w:t> </w:t>
      </w:r>
      <w:r w:rsidRPr="00E812B8">
        <w:t>(</w:t>
      </w:r>
      <w:r w:rsidRPr="001263A2">
        <w:t>9</w:t>
      </w:r>
      <w:r w:rsidRPr="00E812B8">
        <w:t>),</w:t>
      </w:r>
    </w:p>
    <w:p w14:paraId="7541CFCB" w14:textId="77777777" w:rsidR="00215952" w:rsidRPr="00E812B8" w:rsidRDefault="00215952" w:rsidP="00F27C4D">
      <w:r w:rsidRPr="00E812B8">
        <w:t>având în vedere propunerea Comisiei Europene,</w:t>
      </w:r>
    </w:p>
    <w:p w14:paraId="78CD8253" w14:textId="77777777" w:rsidR="00F27C4D" w:rsidRDefault="00F27C4D" w:rsidP="00940A59">
      <w:r>
        <w:br w:type="page"/>
      </w:r>
    </w:p>
    <w:p w14:paraId="7F0D936C" w14:textId="77777777" w:rsidR="00215952" w:rsidRPr="00E812B8" w:rsidRDefault="00215952" w:rsidP="00F27C4D">
      <w:r w:rsidRPr="00E812B8">
        <w:t>întrucât:</w:t>
      </w:r>
    </w:p>
    <w:p w14:paraId="46DD9E61" w14:textId="77777777" w:rsidR="00215952" w:rsidRPr="00E812B8" w:rsidRDefault="00215952" w:rsidP="007E5426">
      <w:pPr>
        <w:pStyle w:val="ManualConsidrant"/>
      </w:pPr>
      <w:r w:rsidRPr="00290409">
        <w:t>(1)</w:t>
      </w:r>
      <w:r w:rsidRPr="00290409">
        <w:tab/>
      </w:r>
      <w:r w:rsidRPr="00E812B8">
        <w:t xml:space="preserve">Convenția unică </w:t>
      </w:r>
      <w:r>
        <w:t xml:space="preserve">a </w:t>
      </w:r>
      <w:r w:rsidRPr="00E812B8">
        <w:t xml:space="preserve">Organizației Națiunilor Unite (ONU) asupra stupefiantelor din </w:t>
      </w:r>
      <w:r w:rsidRPr="001263A2">
        <w:t>1961</w:t>
      </w:r>
      <w:r w:rsidRPr="00E812B8">
        <w:t xml:space="preserve">, astfel cum </w:t>
      </w:r>
      <w:r>
        <w:t xml:space="preserve">a </w:t>
      </w:r>
      <w:r w:rsidRPr="00E812B8">
        <w:t xml:space="preserve">fost modificată prin Protocolul din </w:t>
      </w:r>
      <w:r w:rsidRPr="001263A2">
        <w:t>1972</w:t>
      </w:r>
      <w:r w:rsidRPr="00E812B8">
        <w:t xml:space="preserve"> (denumită în continuare „Convenția asupra stupefiantelor”), </w:t>
      </w:r>
      <w:r>
        <w:t xml:space="preserve">a </w:t>
      </w:r>
      <w:r w:rsidRPr="00E812B8">
        <w:t xml:space="preserve">intrat în vigoare la </w:t>
      </w:r>
      <w:r w:rsidRPr="001263A2">
        <w:t>8</w:t>
      </w:r>
      <w:r w:rsidRPr="00E812B8">
        <w:t xml:space="preserve"> august </w:t>
      </w:r>
      <w:r w:rsidRPr="001263A2">
        <w:t>1975</w:t>
      </w:r>
      <w:r w:rsidRPr="00E812B8">
        <w:t>.</w:t>
      </w:r>
    </w:p>
    <w:p w14:paraId="3F11CABA" w14:textId="77777777" w:rsidR="00215952" w:rsidRPr="00E812B8" w:rsidRDefault="00215952" w:rsidP="007E5426">
      <w:pPr>
        <w:pStyle w:val="ManualConsidrant"/>
      </w:pPr>
      <w:r w:rsidRPr="00290409">
        <w:t>(2)</w:t>
      </w:r>
      <w:r w:rsidRPr="00290409">
        <w:tab/>
      </w:r>
      <w:r w:rsidRPr="00E812B8">
        <w:t xml:space="preserve">În temeiul articolului </w:t>
      </w:r>
      <w:r w:rsidRPr="001263A2">
        <w:t>3</w:t>
      </w:r>
      <w:r w:rsidRPr="00E812B8">
        <w:t xml:space="preserve"> din Convenția asupra stupefiantelor, Comisia pentru stupefiante (CND) poate decide să adauge substanțe în tabelele anexate la convenția menționată. </w:t>
      </w:r>
      <w:r w:rsidR="00E72BEB" w:rsidRPr="00E72BEB">
        <w:t>Atunci când Organizația Mondială a</w:t>
      </w:r>
      <w:r w:rsidR="00E72BEB">
        <w:t xml:space="preserve"> </w:t>
      </w:r>
      <w:r w:rsidR="00E72BEB" w:rsidRPr="00E72BEB">
        <w:t>Sănătății (OMS) notifică CND să adauge substanțe în tabelele anexate, CND</w:t>
      </w:r>
      <w:r w:rsidR="00E72BEB">
        <w:t xml:space="preserve"> </w:t>
      </w:r>
      <w:r w:rsidRPr="00E812B8">
        <w:t xml:space="preserve">poate introduce modificări ale tabelelor numai în conformitate cu </w:t>
      </w:r>
      <w:r w:rsidR="00E72BEB" w:rsidRPr="00E72BEB">
        <w:t>respectiva notificare a</w:t>
      </w:r>
      <w:r w:rsidRPr="00E812B8">
        <w:t xml:space="preserve"> OMS, dar poate, de asemenea, să decidă să nu opereze modificările </w:t>
      </w:r>
      <w:r w:rsidR="00E72BEB">
        <w:t>astfel notificate</w:t>
      </w:r>
      <w:r w:rsidRPr="00E812B8">
        <w:t>.</w:t>
      </w:r>
    </w:p>
    <w:p w14:paraId="289B1318" w14:textId="77777777" w:rsidR="00215952" w:rsidRPr="00E812B8" w:rsidRDefault="00215952" w:rsidP="007E5426">
      <w:pPr>
        <w:pStyle w:val="ManualConsidrant"/>
      </w:pPr>
      <w:r w:rsidRPr="00290409">
        <w:t>(3)</w:t>
      </w:r>
      <w:r w:rsidRPr="00290409">
        <w:tab/>
      </w:r>
      <w:r w:rsidRPr="00E812B8">
        <w:t xml:space="preserve">Convenția ONU asupra substanțelor psihotrope din </w:t>
      </w:r>
      <w:r w:rsidRPr="001263A2">
        <w:t>1971</w:t>
      </w:r>
      <w:r w:rsidRPr="00E812B8">
        <w:t xml:space="preserve"> (denumită în continuare „Convenția asupra substanțelor psihotrope”) </w:t>
      </w:r>
      <w:r>
        <w:t xml:space="preserve">a </w:t>
      </w:r>
      <w:r w:rsidRPr="00E812B8">
        <w:t xml:space="preserve">intrat în vigoare la </w:t>
      </w:r>
      <w:r w:rsidRPr="001263A2">
        <w:t>16</w:t>
      </w:r>
      <w:r w:rsidRPr="00E812B8">
        <w:t xml:space="preserve"> august </w:t>
      </w:r>
      <w:r w:rsidRPr="001263A2">
        <w:t>1976</w:t>
      </w:r>
      <w:r w:rsidRPr="00E812B8">
        <w:t>.</w:t>
      </w:r>
    </w:p>
    <w:p w14:paraId="60384B2B" w14:textId="77777777" w:rsidR="00215952" w:rsidRPr="00E812B8" w:rsidRDefault="00215952" w:rsidP="00F27C4D">
      <w:pPr>
        <w:pStyle w:val="ManualConsidrant"/>
      </w:pPr>
      <w:r w:rsidRPr="00290409">
        <w:t>(4)</w:t>
      </w:r>
      <w:r w:rsidRPr="00290409">
        <w:tab/>
      </w:r>
      <w:r w:rsidRPr="00E812B8">
        <w:t xml:space="preserve">În temeiul articolului </w:t>
      </w:r>
      <w:r w:rsidRPr="001263A2">
        <w:t>2</w:t>
      </w:r>
      <w:r w:rsidRPr="00E812B8">
        <w:t xml:space="preserve"> din Convenția asupra substanțelor psihotrope, CND poate decide să adauge substanțe în tabelele anexate la convenția menționată sau să </w:t>
      </w:r>
      <w:r w:rsidR="007E5426">
        <w:t xml:space="preserve">le </w:t>
      </w:r>
      <w:r w:rsidRPr="00E812B8">
        <w:t xml:space="preserve">elimine. Aceasta dispune de o vastă putere de apreciere în ceea ce privește luarea în considerare a </w:t>
      </w:r>
      <w:r w:rsidR="007136B4">
        <w:t>r</w:t>
      </w:r>
      <w:r w:rsidR="007E5426" w:rsidRPr="007E5426">
        <w:t xml:space="preserve">ecomandărilor OMS, precum și a </w:t>
      </w:r>
      <w:r w:rsidRPr="00E812B8">
        <w:t xml:space="preserve">condițiilor economice, sociale, juridice, administrative și a altor factori, dar </w:t>
      </w:r>
      <w:r w:rsidR="007E5426">
        <w:t xml:space="preserve">CND </w:t>
      </w:r>
      <w:r w:rsidRPr="00E812B8">
        <w:t xml:space="preserve">nu </w:t>
      </w:r>
      <w:r w:rsidR="007E5426">
        <w:t>are competența de a</w:t>
      </w:r>
      <w:r w:rsidR="007E5426" w:rsidRPr="00E812B8">
        <w:t xml:space="preserve"> </w:t>
      </w:r>
      <w:r w:rsidRPr="00E812B8">
        <w:t>acționa în mod arbitrar.</w:t>
      </w:r>
    </w:p>
    <w:p w14:paraId="6AA8AD73" w14:textId="77777777" w:rsidR="00F27C4D" w:rsidRDefault="00F27C4D" w:rsidP="00940A59">
      <w:r>
        <w:br w:type="page"/>
      </w:r>
    </w:p>
    <w:p w14:paraId="64130624" w14:textId="77777777" w:rsidR="00215952" w:rsidRPr="00E812B8" w:rsidRDefault="00215952" w:rsidP="00F27C4D">
      <w:pPr>
        <w:pStyle w:val="ManualConsidrant"/>
      </w:pPr>
      <w:r w:rsidRPr="00290409">
        <w:t>(5)</w:t>
      </w:r>
      <w:r w:rsidRPr="00290409">
        <w:tab/>
      </w:r>
      <w:r w:rsidRPr="00E812B8">
        <w:t xml:space="preserve">Modificarea tabelelor anexate la Convenția asupra stupefiantelor și la Convenția asupra substanțelor psihotrope au efecte directe asupra sferei de aplicare a dreptului Uniunii în domeniul controlului drogurilor. Decizia-cadru </w:t>
      </w:r>
      <w:r w:rsidRPr="001263A2">
        <w:t>2004</w:t>
      </w:r>
      <w:r w:rsidRPr="00E812B8">
        <w:t>/</w:t>
      </w:r>
      <w:r w:rsidRPr="001263A2">
        <w:t>757</w:t>
      </w:r>
      <w:r w:rsidRPr="00E812B8">
        <w:t>/JAI a Consiliului</w:t>
      </w:r>
      <w:r w:rsidR="008D20AB">
        <w:rPr>
          <w:rStyle w:val="FootnoteReference"/>
        </w:rPr>
        <w:footnoteReference w:id="1"/>
      </w:r>
      <w:r w:rsidRPr="00E812B8">
        <w:t xml:space="preserve"> se aplică substanțelor incluse în tabelele anexate la respectivele convenții. Așadar, orice modificare a tabelelor anexate la </w:t>
      </w:r>
      <w:r w:rsidR="007E5426">
        <w:t>respectivele</w:t>
      </w:r>
      <w:r w:rsidR="007E5426" w:rsidRPr="00E812B8">
        <w:t xml:space="preserve"> </w:t>
      </w:r>
      <w:r w:rsidRPr="00E812B8">
        <w:t xml:space="preserve">convenții </w:t>
      </w:r>
      <w:r w:rsidR="007E5426">
        <w:t>se încorporează</w:t>
      </w:r>
      <w:r w:rsidR="007E5426" w:rsidRPr="00E812B8">
        <w:t xml:space="preserve"> </w:t>
      </w:r>
      <w:r w:rsidRPr="00E812B8">
        <w:t xml:space="preserve">în mod direct </w:t>
      </w:r>
      <w:r w:rsidR="007E5426">
        <w:t xml:space="preserve">în </w:t>
      </w:r>
      <w:r w:rsidRPr="00E812B8">
        <w:t xml:space="preserve">normele comune ale Uniunii. </w:t>
      </w:r>
      <w:r w:rsidR="007E5426">
        <w:t>Prin urmare, e</w:t>
      </w:r>
      <w:r w:rsidRPr="00E812B8">
        <w:t>ste necesar ca statele membre să fie autorizate de Consiliu să exprime poziția Uniunii cu privire la modificarea tabelelor de substanțe anexate la convențiile respective, deoarece deciziile privind adăugarea unor noi substanțe în tabelele menționate intră în sfera de competență exclusivă a Uniunii.</w:t>
      </w:r>
    </w:p>
    <w:p w14:paraId="48DF8C76" w14:textId="77777777" w:rsidR="00215952" w:rsidRPr="00E812B8" w:rsidRDefault="00215952" w:rsidP="00F27C4D">
      <w:pPr>
        <w:pStyle w:val="ManualConsidrant"/>
      </w:pPr>
      <w:r w:rsidRPr="00290409">
        <w:t>(6)</w:t>
      </w:r>
      <w:r w:rsidRPr="00290409">
        <w:tab/>
      </w:r>
      <w:r w:rsidRPr="00E812B8">
        <w:t xml:space="preserve">Cu ocazia celei de </w:t>
      </w:r>
      <w:r>
        <w:t xml:space="preserve">a </w:t>
      </w:r>
      <w:r w:rsidRPr="001263A2">
        <w:t>69</w:t>
      </w:r>
      <w:r w:rsidRPr="00E812B8">
        <w:t xml:space="preserve">-a sesiuni, </w:t>
      </w:r>
      <w:r w:rsidR="007E5426">
        <w:t>planificată</w:t>
      </w:r>
      <w:r w:rsidR="007E5426" w:rsidRPr="00E812B8">
        <w:t xml:space="preserve"> </w:t>
      </w:r>
      <w:r w:rsidRPr="00E812B8">
        <w:t xml:space="preserve">să aibă loc la Viena în perioada </w:t>
      </w:r>
      <w:r w:rsidRPr="001263A2">
        <w:t>9</w:t>
      </w:r>
      <w:r>
        <w:t>­</w:t>
      </w:r>
      <w:r w:rsidRPr="001263A2">
        <w:t>13</w:t>
      </w:r>
      <w:r w:rsidRPr="00E812B8">
        <w:t> martie</w:t>
      </w:r>
      <w:r w:rsidR="008D20AB">
        <w:t> </w:t>
      </w:r>
      <w:r w:rsidRPr="001263A2">
        <w:t>2026</w:t>
      </w:r>
      <w:r w:rsidRPr="00E812B8">
        <w:t>, CND urmează să decidă cu privire la adăugarea a trei noi substanțe în tabelele anexate la Convenția asupra stupefiantelor și la Convenția asupra substanțelor psihotrope.</w:t>
      </w:r>
    </w:p>
    <w:p w14:paraId="431C6E99" w14:textId="77777777" w:rsidR="00215952" w:rsidRPr="00E812B8" w:rsidRDefault="00215952" w:rsidP="00F27C4D">
      <w:pPr>
        <w:pStyle w:val="ManualConsidrant"/>
      </w:pPr>
      <w:r w:rsidRPr="00290409">
        <w:t>(7)</w:t>
      </w:r>
      <w:r w:rsidRPr="00290409">
        <w:tab/>
      </w:r>
      <w:r w:rsidRPr="00E812B8">
        <w:t>OMS a recomandat să se adauge două noi substanțe în tabelul I anexat la Convenția asupra stupefiantelor și o nouă substanță în tabelul II anexat la Convenția asupra substanțelor psihotrope.</w:t>
      </w:r>
    </w:p>
    <w:p w14:paraId="34CBB45B" w14:textId="77777777" w:rsidR="00F27C4D" w:rsidRDefault="00F27C4D" w:rsidP="00940A59">
      <w:r>
        <w:br w:type="page"/>
      </w:r>
    </w:p>
    <w:p w14:paraId="05D2D98F" w14:textId="77777777" w:rsidR="00215952" w:rsidRPr="00E812B8" w:rsidRDefault="00215952" w:rsidP="00F27C4D">
      <w:pPr>
        <w:pStyle w:val="ManualConsidrant"/>
      </w:pPr>
      <w:r w:rsidRPr="00290409">
        <w:t>(8)</w:t>
      </w:r>
      <w:r w:rsidRPr="00290409">
        <w:tab/>
      </w:r>
      <w:r w:rsidRPr="00E812B8">
        <w:t xml:space="preserve">Toate substanțele analizate de Comitetul de experți privind dependența de droguri (ECDD) din cadrul OMS și recomandate de OMS a fi incluse în tabelele de substanțe sunt monitorizate de către Agenția Uniunii Europene privind Drogurile (EUDA) ca substanțe psihoactive noi în </w:t>
      </w:r>
      <w:r w:rsidR="007E5426">
        <w:t>temeiul</w:t>
      </w:r>
      <w:r w:rsidRPr="00E812B8">
        <w:t xml:space="preserve"> Regulamentului (UE) </w:t>
      </w:r>
      <w:r w:rsidRPr="001263A2">
        <w:t>2023</w:t>
      </w:r>
      <w:r w:rsidRPr="00E812B8">
        <w:t>/</w:t>
      </w:r>
      <w:r w:rsidRPr="001263A2">
        <w:t>1322</w:t>
      </w:r>
      <w:r w:rsidRPr="00E812B8">
        <w:t xml:space="preserve"> al Parlamentului European și al Consiliului</w:t>
      </w:r>
      <w:r w:rsidR="008D20AB">
        <w:rPr>
          <w:rStyle w:val="FootnoteReference"/>
        </w:rPr>
        <w:footnoteReference w:id="2"/>
      </w:r>
      <w:r w:rsidRPr="00E812B8">
        <w:t>.</w:t>
      </w:r>
    </w:p>
    <w:p w14:paraId="04F0F5E8" w14:textId="77777777" w:rsidR="00215952" w:rsidRPr="00E812B8" w:rsidRDefault="00215952" w:rsidP="00F27C4D">
      <w:pPr>
        <w:pStyle w:val="ManualConsidrant"/>
      </w:pPr>
      <w:r w:rsidRPr="00290409">
        <w:t>(9)</w:t>
      </w:r>
      <w:r w:rsidRPr="00290409">
        <w:tab/>
      </w:r>
      <w:r w:rsidRPr="00E812B8">
        <w:t xml:space="preserve">Conform evaluării efectuate de ECDD, </w:t>
      </w:r>
      <w:r w:rsidRPr="001263A2">
        <w:rPr>
          <w:i/>
        </w:rPr>
        <w:t>N</w:t>
      </w:r>
      <w:r w:rsidRPr="00E812B8">
        <w:t>-pirolidino izotonitazenul (izotonitazepină) – denumirea IUPAC: </w:t>
      </w:r>
      <w:r w:rsidRPr="001263A2">
        <w:t>5</w:t>
      </w:r>
      <w:r w:rsidRPr="00E812B8">
        <w:t>-nitro-</w:t>
      </w:r>
      <w:r w:rsidRPr="001263A2">
        <w:t>2</w:t>
      </w:r>
      <w:r w:rsidRPr="00E812B8">
        <w:t>-({</w:t>
      </w:r>
      <w:r w:rsidRPr="001263A2">
        <w:t>4</w:t>
      </w:r>
      <w:r w:rsidRPr="00E812B8">
        <w:t>-[(propan-</w:t>
      </w:r>
      <w:r w:rsidRPr="001263A2">
        <w:t>2</w:t>
      </w:r>
      <w:r w:rsidRPr="00E812B8">
        <w:t>-il)oxi]fenil}metil)-</w:t>
      </w:r>
      <w:r w:rsidRPr="001263A2">
        <w:t>1</w:t>
      </w:r>
      <w:r w:rsidRPr="00E812B8">
        <w:t>-[</w:t>
      </w:r>
      <w:r w:rsidRPr="001263A2">
        <w:t>2</w:t>
      </w:r>
      <w:r w:rsidRPr="00E812B8">
        <w:t>-(pirolidin-</w:t>
      </w:r>
      <w:r w:rsidRPr="001263A2">
        <w:t>1</w:t>
      </w:r>
      <w:r w:rsidRPr="00E812B8">
        <w:t>-il)etil]-</w:t>
      </w:r>
      <w:r w:rsidRPr="001263A2">
        <w:t>1</w:t>
      </w:r>
      <w:r w:rsidRPr="001263A2">
        <w:rPr>
          <w:i/>
        </w:rPr>
        <w:t>H</w:t>
      </w:r>
      <w:r w:rsidRPr="00E812B8">
        <w:t>-</w:t>
      </w:r>
      <w:r w:rsidRPr="001263A2">
        <w:t>1</w:t>
      </w:r>
      <w:r w:rsidRPr="00E812B8">
        <w:t>,</w:t>
      </w:r>
      <w:r w:rsidRPr="001263A2">
        <w:t>3</w:t>
      </w:r>
      <w:r w:rsidRPr="00E812B8">
        <w:t>-benzimidazol – este un opioid sintetic din clasa benzimidazolilor sau nitazenilor.</w:t>
      </w:r>
      <w:r w:rsidR="00F27C4D">
        <w:t xml:space="preserve"> </w:t>
      </w:r>
      <w:r w:rsidRPr="001263A2">
        <w:rPr>
          <w:i/>
        </w:rPr>
        <w:t>N</w:t>
      </w:r>
      <w:r w:rsidRPr="00E812B8">
        <w:t xml:space="preserve">-pirolidino izotonitazenul nu </w:t>
      </w:r>
      <w:r>
        <w:t xml:space="preserve">a </w:t>
      </w:r>
      <w:r w:rsidRPr="00E812B8">
        <w:t>făcut obiectul unei analize anterioare de către OMS.</w:t>
      </w:r>
      <w:r w:rsidR="00F27C4D">
        <w:t xml:space="preserve"> </w:t>
      </w:r>
      <w:r w:rsidRPr="001263A2">
        <w:rPr>
          <w:i/>
        </w:rPr>
        <w:t>N</w:t>
      </w:r>
      <w:r w:rsidR="00F27C4D">
        <w:t>­</w:t>
      </w:r>
      <w:r w:rsidRPr="00E812B8">
        <w:t xml:space="preserve">pirolidino izotonitazenul nu are utilizări terapeutice cunoscute sau autorizații de comercializare. Există suficiente dovezi care indică faptul că se face sau este probabil să se facă abuz de </w:t>
      </w:r>
      <w:r w:rsidRPr="001263A2">
        <w:rPr>
          <w:i/>
        </w:rPr>
        <w:t>N</w:t>
      </w:r>
      <w:r w:rsidRPr="00E812B8">
        <w:t>-pirolidino izotonitazen și că această substanță poate constitui o problemă de sănătate publică și o problemă socială care justific</w:t>
      </w:r>
      <w:r w:rsidR="007A4656">
        <w:t>ă</w:t>
      </w:r>
      <w:r w:rsidRPr="00E812B8">
        <w:t xml:space="preserve"> plasarea ei sub control internațional. În consecință, OMS recomandă ca </w:t>
      </w:r>
      <w:r w:rsidRPr="001263A2">
        <w:rPr>
          <w:i/>
        </w:rPr>
        <w:t>N</w:t>
      </w:r>
      <w:r w:rsidRPr="00E812B8">
        <w:t>-pirolidino izotonitazenul să fie introdus în tabelul</w:t>
      </w:r>
      <w:r w:rsidR="007A4656">
        <w:t> </w:t>
      </w:r>
      <w:r w:rsidRPr="00E812B8">
        <w:t>I</w:t>
      </w:r>
      <w:r w:rsidR="007A4656">
        <w:t xml:space="preserve"> </w:t>
      </w:r>
      <w:r w:rsidRPr="00E812B8">
        <w:t>anexat la Convenția asupra stupefiantelor.</w:t>
      </w:r>
    </w:p>
    <w:p w14:paraId="2B16662D" w14:textId="77777777" w:rsidR="00215952" w:rsidRPr="00E812B8" w:rsidRDefault="00215952" w:rsidP="007A4656">
      <w:pPr>
        <w:pStyle w:val="ManualConsidrant"/>
      </w:pPr>
      <w:r w:rsidRPr="00290409">
        <w:t>(10)</w:t>
      </w:r>
      <w:r w:rsidRPr="00290409">
        <w:tab/>
      </w:r>
      <w:r w:rsidRPr="001263A2">
        <w:rPr>
          <w:i/>
        </w:rPr>
        <w:t>N</w:t>
      </w:r>
      <w:r w:rsidRPr="00E812B8">
        <w:t>-pirolidino izotonitazenul a fost detectat în nouă state membre și este controlat în cel puțin două state membre. </w:t>
      </w:r>
      <w:r w:rsidRPr="001263A2">
        <w:rPr>
          <w:i/>
        </w:rPr>
        <w:t>N</w:t>
      </w:r>
      <w:r w:rsidRPr="00E812B8">
        <w:t xml:space="preserve">-pirolidino izotonitazenul face obiectul unei monitorizări intensive de către EUDA. Două state membre au raportat cel puțin trei decese pentru care expunerea la </w:t>
      </w:r>
      <w:r w:rsidRPr="001263A2">
        <w:rPr>
          <w:i/>
        </w:rPr>
        <w:t>N</w:t>
      </w:r>
      <w:r w:rsidRPr="00E812B8">
        <w:t xml:space="preserve">-pirolidino izotonitazen a fost confirmată. Un stat membru a raportat cel puțin un caz de intoxicație acută pentru care expunerea la </w:t>
      </w:r>
      <w:r w:rsidRPr="001263A2">
        <w:rPr>
          <w:i/>
        </w:rPr>
        <w:t>N</w:t>
      </w:r>
      <w:r w:rsidRPr="00E812B8">
        <w:t>-pirolidino izotonitazen este suspectată.</w:t>
      </w:r>
    </w:p>
    <w:p w14:paraId="155A9C39" w14:textId="77777777" w:rsidR="00F27C4D" w:rsidRDefault="00F27C4D" w:rsidP="00940A59">
      <w:r>
        <w:br w:type="page"/>
      </w:r>
    </w:p>
    <w:p w14:paraId="5028024F" w14:textId="77777777" w:rsidR="00215952" w:rsidRPr="00E812B8" w:rsidRDefault="00215952" w:rsidP="007A4656">
      <w:pPr>
        <w:pStyle w:val="ManualConsidrant"/>
      </w:pPr>
      <w:r w:rsidRPr="00290409">
        <w:t>(11)</w:t>
      </w:r>
      <w:r w:rsidRPr="00290409">
        <w:tab/>
      </w:r>
      <w:r w:rsidRPr="00E812B8">
        <w:t xml:space="preserve">Prin urmare, poziția Uniunii ar trebui să fie aceea de </w:t>
      </w:r>
      <w:r>
        <w:t xml:space="preserve">a </w:t>
      </w:r>
      <w:r w:rsidRPr="00E812B8">
        <w:t xml:space="preserve">sprijini adăugarea </w:t>
      </w:r>
      <w:r w:rsidRPr="001263A2">
        <w:rPr>
          <w:i/>
        </w:rPr>
        <w:t>N</w:t>
      </w:r>
      <w:r w:rsidRPr="00E812B8">
        <w:t>-pirolidino izotonitazenului în tabelul</w:t>
      </w:r>
      <w:r w:rsidR="007A4656">
        <w:t> </w:t>
      </w:r>
      <w:r w:rsidRPr="00E812B8">
        <w:t>I</w:t>
      </w:r>
      <w:r w:rsidR="007A4656">
        <w:t xml:space="preserve"> </w:t>
      </w:r>
      <w:r w:rsidRPr="00E812B8">
        <w:t>anexat la Convenția asupra stupefiantelor.</w:t>
      </w:r>
    </w:p>
    <w:p w14:paraId="29ED751B" w14:textId="77777777" w:rsidR="00215952" w:rsidRPr="00E812B8" w:rsidRDefault="00215952" w:rsidP="007A4656">
      <w:pPr>
        <w:pStyle w:val="ManualConsidrant"/>
      </w:pPr>
      <w:r w:rsidRPr="00290409">
        <w:t>(12)</w:t>
      </w:r>
      <w:r w:rsidRPr="00290409">
        <w:tab/>
      </w:r>
      <w:r w:rsidRPr="00E812B8">
        <w:t xml:space="preserve">Conform evaluării efectuate de ECDD, </w:t>
      </w:r>
      <w:r w:rsidRPr="001263A2">
        <w:rPr>
          <w:i/>
        </w:rPr>
        <w:t>N</w:t>
      </w:r>
      <w:r w:rsidRPr="00E812B8">
        <w:t>-desetil etonitazenul – denumirea IUPAC: </w:t>
      </w:r>
      <w:r w:rsidRPr="001263A2">
        <w:t>2</w:t>
      </w:r>
      <w:r w:rsidRPr="00E812B8">
        <w:t>-[</w:t>
      </w:r>
      <w:r w:rsidRPr="001263A2">
        <w:t>2</w:t>
      </w:r>
      <w:r w:rsidRPr="00E812B8">
        <w:t>-[(</w:t>
      </w:r>
      <w:r w:rsidRPr="001263A2">
        <w:t>4</w:t>
      </w:r>
      <w:r w:rsidRPr="00E812B8">
        <w:t>-etoxifenil)metil]-</w:t>
      </w:r>
      <w:r w:rsidRPr="001263A2">
        <w:t>5</w:t>
      </w:r>
      <w:r w:rsidRPr="00E812B8">
        <w:t>-nitro-benzimidazol-</w:t>
      </w:r>
      <w:r w:rsidRPr="001263A2">
        <w:t>1</w:t>
      </w:r>
      <w:r w:rsidRPr="00E812B8">
        <w:t>-il] -</w:t>
      </w:r>
      <w:r w:rsidRPr="001263A2">
        <w:rPr>
          <w:i/>
        </w:rPr>
        <w:t>N</w:t>
      </w:r>
      <w:r w:rsidRPr="00E812B8">
        <w:t>-etil-etanamină – este un opioid sintetic nou din clasa benzimidazolilor sau nitazenilor. Acesta este un metabolit al etonitazenului, un alt opioid pe bază de benzimidazol care este supus controlului în conformitate cu tabelul</w:t>
      </w:r>
      <w:r w:rsidR="007A4656">
        <w:t> </w:t>
      </w:r>
      <w:r w:rsidRPr="00E812B8">
        <w:t xml:space="preserve">I anexat la Convenția asupra stupefiantelor. </w:t>
      </w:r>
      <w:r w:rsidRPr="001263A2">
        <w:rPr>
          <w:i/>
        </w:rPr>
        <w:t>N</w:t>
      </w:r>
      <w:r w:rsidRPr="00E812B8">
        <w:t>-desetil etonitazenul nu a făcut obiectul unei analize anterioare de către OMS. </w:t>
      </w:r>
      <w:r w:rsidRPr="001263A2">
        <w:rPr>
          <w:i/>
        </w:rPr>
        <w:t>N</w:t>
      </w:r>
      <w:r w:rsidRPr="00E812B8">
        <w:t xml:space="preserve">-desetil etonitazenul nu are utilizări terapeutice cunoscute sau autorizații de comercializare. Există suficiente dovezi care indică faptul că se face sau este probabil să se facă abuz de </w:t>
      </w:r>
      <w:r w:rsidRPr="001263A2">
        <w:rPr>
          <w:i/>
        </w:rPr>
        <w:t>N</w:t>
      </w:r>
      <w:r w:rsidRPr="00E812B8">
        <w:t>-desetil etonitazen și că această substanță poate constitui o problemă de sănătate publică și o problemă socială care justific</w:t>
      </w:r>
      <w:r w:rsidR="007A4656">
        <w:t>ă</w:t>
      </w:r>
      <w:r w:rsidRPr="00E812B8">
        <w:t xml:space="preserve"> plasarea ei sub control internațional. În consecință, OMS recomandă ca </w:t>
      </w:r>
      <w:r w:rsidRPr="001263A2">
        <w:rPr>
          <w:i/>
        </w:rPr>
        <w:t>N</w:t>
      </w:r>
      <w:r w:rsidRPr="00E812B8">
        <w:t>-desetil etonitazenul să fie introdus în tabelul</w:t>
      </w:r>
      <w:r w:rsidR="007A4656">
        <w:t> </w:t>
      </w:r>
      <w:r w:rsidRPr="00E812B8">
        <w:t>I</w:t>
      </w:r>
      <w:r w:rsidR="007A4656">
        <w:t xml:space="preserve"> </w:t>
      </w:r>
      <w:r w:rsidRPr="00E812B8">
        <w:t>anexat la Convenția asupra stupefiantelor.</w:t>
      </w:r>
    </w:p>
    <w:p w14:paraId="15B24F93" w14:textId="77777777" w:rsidR="00215952" w:rsidRPr="00E812B8" w:rsidRDefault="00215952" w:rsidP="007A4656">
      <w:pPr>
        <w:pStyle w:val="ManualConsidrant"/>
        <w:rPr>
          <w:bCs/>
        </w:rPr>
      </w:pPr>
      <w:r w:rsidRPr="00290409">
        <w:t>(13)</w:t>
      </w:r>
      <w:r w:rsidRPr="00290409">
        <w:tab/>
      </w:r>
      <w:r w:rsidRPr="001263A2">
        <w:rPr>
          <w:i/>
        </w:rPr>
        <w:t>N</w:t>
      </w:r>
      <w:r w:rsidRPr="00E812B8">
        <w:t>-desetil etonitazenul a fost detectat în patru state membre și este controlat în cel puțin șase state membre. </w:t>
      </w:r>
      <w:r w:rsidRPr="001263A2">
        <w:rPr>
          <w:i/>
        </w:rPr>
        <w:t>N</w:t>
      </w:r>
      <w:r w:rsidRPr="00E812B8">
        <w:t>-desetil etonitazenul face obiectul unei monitorizări intensive de către EUDA.</w:t>
      </w:r>
    </w:p>
    <w:p w14:paraId="74A367CE" w14:textId="77777777" w:rsidR="00215952" w:rsidRPr="00E812B8" w:rsidRDefault="00215952" w:rsidP="00F27C4D">
      <w:pPr>
        <w:pStyle w:val="ManualConsidrant"/>
      </w:pPr>
      <w:r w:rsidRPr="00290409">
        <w:t>(14)</w:t>
      </w:r>
      <w:r w:rsidRPr="00290409">
        <w:tab/>
      </w:r>
      <w:r w:rsidRPr="00E812B8">
        <w:t xml:space="preserve">Prin urmare, poziția Uniunii ar trebui să fie aceea de </w:t>
      </w:r>
      <w:r>
        <w:t xml:space="preserve">a </w:t>
      </w:r>
      <w:r w:rsidRPr="00E812B8">
        <w:t xml:space="preserve">sprijini adăugarea </w:t>
      </w:r>
      <w:r w:rsidRPr="001263A2">
        <w:rPr>
          <w:i/>
        </w:rPr>
        <w:t>N</w:t>
      </w:r>
      <w:r w:rsidRPr="00E812B8">
        <w:t>-desetil etonitazenului în tabelul</w:t>
      </w:r>
      <w:r w:rsidR="007A4656">
        <w:t> </w:t>
      </w:r>
      <w:r w:rsidRPr="00E812B8">
        <w:t>I</w:t>
      </w:r>
      <w:r w:rsidR="007A4656">
        <w:t xml:space="preserve"> </w:t>
      </w:r>
      <w:r w:rsidRPr="00E812B8">
        <w:t>anexat la Convenția asupra stupefiantelor.</w:t>
      </w:r>
    </w:p>
    <w:p w14:paraId="3BD24CE3" w14:textId="77777777" w:rsidR="00F27C4D" w:rsidRDefault="00F27C4D" w:rsidP="00940A59">
      <w:r>
        <w:br w:type="page"/>
      </w:r>
    </w:p>
    <w:p w14:paraId="0DDC6E78" w14:textId="77777777" w:rsidR="00215952" w:rsidRPr="00E812B8" w:rsidRDefault="00215952" w:rsidP="00F27C4D">
      <w:pPr>
        <w:pStyle w:val="ManualConsidrant"/>
      </w:pPr>
      <w:r w:rsidRPr="00290409">
        <w:t>(15)</w:t>
      </w:r>
      <w:r w:rsidRPr="00290409">
        <w:tab/>
      </w:r>
      <w:r w:rsidRPr="00E812B8">
        <w:t xml:space="preserve">Conform evaluării efectuate de ECDD, MDMB-FUBINACA – denumirea IUPAC: metil </w:t>
      </w:r>
      <w:r w:rsidRPr="001263A2">
        <w:t>2</w:t>
      </w:r>
      <w:r w:rsidRPr="00E812B8">
        <w:t>-[[</w:t>
      </w:r>
      <w:r w:rsidRPr="001263A2">
        <w:t>1</w:t>
      </w:r>
      <w:r w:rsidRPr="00E812B8">
        <w:t>-[(</w:t>
      </w:r>
      <w:r w:rsidRPr="001263A2">
        <w:t>4</w:t>
      </w:r>
      <w:r w:rsidRPr="00E812B8">
        <w:t>-fluorofenil)metil]indazol-</w:t>
      </w:r>
      <w:r w:rsidRPr="001263A2">
        <w:t>3</w:t>
      </w:r>
      <w:r w:rsidRPr="00E812B8">
        <w:t>-carbonil]amino]-</w:t>
      </w:r>
      <w:r w:rsidRPr="001263A2">
        <w:t>3</w:t>
      </w:r>
      <w:r w:rsidRPr="00E812B8">
        <w:t>,</w:t>
      </w:r>
      <w:r w:rsidRPr="001263A2">
        <w:t>3</w:t>
      </w:r>
      <w:r w:rsidRPr="00E812B8">
        <w:t>-dimetil-butanoat – este un canabinoid sintetic puternic. MDMB-FUBINACA nu a făcut obiectul unei analize anterioare de către OMS. MDMB-FUBINACA nu are utilizări terapeutice cunoscute sau autorizații de comercializare. Există suficiente dovezi care indică faptul că se face sau este probabil să se facă abuz de MDMB-FUBINACA și că această substanță poate constitui o problemă de sănătate publică și o problemă socială care justific</w:t>
      </w:r>
      <w:r w:rsidR="007A4656">
        <w:t>ă</w:t>
      </w:r>
      <w:r w:rsidRPr="00E812B8">
        <w:t xml:space="preserve"> plasarea ei sub control internațional. Prin urmare, OMS recomandă ca substanța MDMB-FUBINACA să fie introdusă în tabelul</w:t>
      </w:r>
      <w:r w:rsidR="007A4656">
        <w:t> </w:t>
      </w:r>
      <w:r w:rsidRPr="00E812B8">
        <w:t>II anexat la Convenția asupra substanțelor psihotrope.</w:t>
      </w:r>
    </w:p>
    <w:p w14:paraId="5C86A871" w14:textId="77777777" w:rsidR="00215952" w:rsidRPr="00E812B8" w:rsidRDefault="00215952" w:rsidP="00F27C4D">
      <w:pPr>
        <w:pStyle w:val="ManualConsidrant"/>
      </w:pPr>
      <w:r w:rsidRPr="00290409">
        <w:t>(16)</w:t>
      </w:r>
      <w:r w:rsidRPr="00290409">
        <w:tab/>
      </w:r>
      <w:r w:rsidRPr="00E812B8">
        <w:t xml:space="preserve">MDMB-FUBINACA a fost detectată în </w:t>
      </w:r>
      <w:r w:rsidRPr="001263A2">
        <w:t>14</w:t>
      </w:r>
      <w:r w:rsidRPr="00E812B8">
        <w:t xml:space="preserve"> state membre și este controlată în cel puțin opt state membre. MDMB-FUBINACA face obiectul unei monitorizări intensive de către EUDA. Un stat membru a raportat cel puțin un caz de intoxicație acută pentru care expunerea la MDMB-FUBINACA este </w:t>
      </w:r>
      <w:r w:rsidR="007C71B6" w:rsidRPr="00E812B8">
        <w:t>suspectată</w:t>
      </w:r>
      <w:r w:rsidRPr="00E812B8">
        <w:t>.</w:t>
      </w:r>
    </w:p>
    <w:p w14:paraId="34F8CF64" w14:textId="77777777" w:rsidR="00215952" w:rsidRPr="00E812B8" w:rsidRDefault="00215952" w:rsidP="007A4656">
      <w:pPr>
        <w:pStyle w:val="ManualConsidrant"/>
      </w:pPr>
      <w:r w:rsidRPr="00290409">
        <w:t>(17)</w:t>
      </w:r>
      <w:r w:rsidRPr="00290409">
        <w:tab/>
      </w:r>
      <w:r w:rsidRPr="00E812B8">
        <w:t xml:space="preserve">Prin urmare, poziția Uniunii ar trebui să fie aceea de </w:t>
      </w:r>
      <w:r>
        <w:t xml:space="preserve">a </w:t>
      </w:r>
      <w:r w:rsidRPr="00E812B8">
        <w:t>sprijini adăugarea MDMB</w:t>
      </w:r>
      <w:r w:rsidR="00F27C4D">
        <w:t>­</w:t>
      </w:r>
      <w:r w:rsidRPr="00E812B8">
        <w:t>FUBINACA în tabelul II anexat la Convenția asupra substanțelor psihotrope.</w:t>
      </w:r>
    </w:p>
    <w:p w14:paraId="48390F16" w14:textId="77777777" w:rsidR="00215952" w:rsidRPr="00E812B8" w:rsidRDefault="00215952" w:rsidP="007A4656">
      <w:pPr>
        <w:pStyle w:val="ManualConsidrant"/>
      </w:pPr>
      <w:r w:rsidRPr="00290409">
        <w:t>(18)</w:t>
      </w:r>
      <w:r w:rsidRPr="00290409">
        <w:tab/>
      </w:r>
      <w:r w:rsidRPr="00E812B8">
        <w:t xml:space="preserve">Este oportun să se stabilească poziția care urmează să fie adoptată în numele Uniunii în cadrul CND, întrucât deciziile privind includerea celor trei substanțe </w:t>
      </w:r>
      <w:r w:rsidR="007A4656" w:rsidRPr="007A4656">
        <w:t xml:space="preserve">menționate mai sus </w:t>
      </w:r>
      <w:r w:rsidRPr="00E812B8">
        <w:t xml:space="preserve">vor putea influența în mod decisiv conținutul </w:t>
      </w:r>
      <w:r w:rsidR="007A4656">
        <w:t>dreptului</w:t>
      </w:r>
      <w:r w:rsidR="007A4656" w:rsidRPr="00E812B8">
        <w:t xml:space="preserve"> </w:t>
      </w:r>
      <w:r w:rsidRPr="00E812B8">
        <w:t xml:space="preserve">Uniunii, și anume </w:t>
      </w:r>
      <w:r w:rsidR="007A4656" w:rsidRPr="007A4656">
        <w:t xml:space="preserve">domeniul de aplicare a </w:t>
      </w:r>
      <w:r w:rsidRPr="00E812B8">
        <w:t>Decizi</w:t>
      </w:r>
      <w:r w:rsidR="007A4656">
        <w:t>ei</w:t>
      </w:r>
      <w:r w:rsidRPr="00E812B8">
        <w:t xml:space="preserve">-cadru </w:t>
      </w:r>
      <w:r w:rsidRPr="001263A2">
        <w:t>2004</w:t>
      </w:r>
      <w:r w:rsidRPr="00E812B8">
        <w:t>/</w:t>
      </w:r>
      <w:r w:rsidRPr="001263A2">
        <w:t>757</w:t>
      </w:r>
      <w:r w:rsidRPr="00E812B8">
        <w:t>/JAI.</w:t>
      </w:r>
    </w:p>
    <w:p w14:paraId="50049E13" w14:textId="77777777" w:rsidR="00F27C4D" w:rsidRDefault="00F27C4D" w:rsidP="00940A59">
      <w:bookmarkStart w:id="3" w:name="_Hlk215479514"/>
      <w:r>
        <w:br w:type="page"/>
      </w:r>
    </w:p>
    <w:p w14:paraId="5C312BFF" w14:textId="77777777" w:rsidR="00215952" w:rsidRPr="00E812B8" w:rsidRDefault="00215952" w:rsidP="007A4656">
      <w:pPr>
        <w:pStyle w:val="ManualConsidrant"/>
      </w:pPr>
      <w:r w:rsidRPr="00290409">
        <w:t>(19)</w:t>
      </w:r>
      <w:r w:rsidRPr="00290409">
        <w:tab/>
      </w:r>
      <w:r w:rsidRPr="00E812B8">
        <w:t xml:space="preserve">Uniunea nu este parte </w:t>
      </w:r>
      <w:r w:rsidR="007A4656">
        <w:t xml:space="preserve">nici </w:t>
      </w:r>
      <w:r w:rsidRPr="00E812B8">
        <w:t xml:space="preserve">la Convenția asupra stupefiantelor și nici la Convenția asupra substanțelor psihotrope. Aceasta are statut de observator, fără drept de vot, în cadrul </w:t>
      </w:r>
      <w:r w:rsidR="007A4656">
        <w:t>CND</w:t>
      </w:r>
      <w:r w:rsidRPr="00E812B8">
        <w:t xml:space="preserve">, în care </w:t>
      </w:r>
      <w:r w:rsidRPr="001263A2">
        <w:t>14</w:t>
      </w:r>
      <w:r w:rsidRPr="00E812B8">
        <w:t xml:space="preserve"> state membre</w:t>
      </w:r>
      <w:r w:rsidR="007A4656" w:rsidRPr="00E812B8">
        <w:rPr>
          <w:rStyle w:val="FootnoteReference"/>
        </w:rPr>
        <w:footnoteReference w:id="3"/>
      </w:r>
      <w:r w:rsidRPr="00E812B8">
        <w:t xml:space="preserve"> </w:t>
      </w:r>
      <w:r w:rsidR="007A4656">
        <w:t>sunt</w:t>
      </w:r>
      <w:r w:rsidRPr="00E812B8">
        <w:t xml:space="preserve"> membre cu drept de vot </w:t>
      </w:r>
      <w:r w:rsidR="007A4656">
        <w:t>la cea de a 69-a sesiune a acesteia</w:t>
      </w:r>
      <w:r w:rsidRPr="00E812B8">
        <w:t>.</w:t>
      </w:r>
      <w:bookmarkEnd w:id="3"/>
      <w:r w:rsidRPr="00E812B8">
        <w:t xml:space="preserve"> Poziția Uniunii urmează să fie exprimată de statele membre </w:t>
      </w:r>
      <w:r w:rsidR="007A4656">
        <w:t>respective</w:t>
      </w:r>
      <w:r w:rsidRPr="00E812B8">
        <w:t>, acționând împreună în interesul Uniunii.</w:t>
      </w:r>
    </w:p>
    <w:p w14:paraId="6571C175" w14:textId="77777777" w:rsidR="00215952" w:rsidRPr="00E812B8" w:rsidRDefault="00215952" w:rsidP="00F27C4D">
      <w:pPr>
        <w:pStyle w:val="ManualConsidrant"/>
      </w:pPr>
      <w:r w:rsidRPr="00290409">
        <w:t>(20)</w:t>
      </w:r>
      <w:r w:rsidRPr="00290409">
        <w:tab/>
      </w:r>
      <w:r w:rsidRPr="00E812B8">
        <w:t xml:space="preserve">Danemarca are obligații în temeiul Deciziei-cadru </w:t>
      </w:r>
      <w:r w:rsidRPr="001263A2">
        <w:t>2004</w:t>
      </w:r>
      <w:r w:rsidRPr="00E812B8">
        <w:t>/</w:t>
      </w:r>
      <w:r w:rsidRPr="001263A2">
        <w:t>757</w:t>
      </w:r>
      <w:r w:rsidRPr="00E812B8">
        <w:t>/JAI și, prin urmare, participă la adoptarea și aplicarea prezentei decizii.</w:t>
      </w:r>
    </w:p>
    <w:p w14:paraId="58178DF4" w14:textId="77777777" w:rsidR="00215952" w:rsidRPr="00E812B8" w:rsidRDefault="00215952" w:rsidP="00F27C4D">
      <w:pPr>
        <w:pStyle w:val="ManualConsidrant"/>
      </w:pPr>
      <w:r w:rsidRPr="00290409">
        <w:t>(21)</w:t>
      </w:r>
      <w:r w:rsidRPr="00290409">
        <w:tab/>
      </w:r>
      <w:r w:rsidRPr="00E812B8">
        <w:t xml:space="preserve">Irlanda are obligații în temeiul Deciziei-cadru </w:t>
      </w:r>
      <w:r w:rsidRPr="001263A2">
        <w:t>2004</w:t>
      </w:r>
      <w:r w:rsidRPr="00E812B8">
        <w:t>/</w:t>
      </w:r>
      <w:r w:rsidRPr="001263A2">
        <w:t>757</w:t>
      </w:r>
      <w:r w:rsidRPr="00E812B8">
        <w:t>/JAI și, prin urmare, participă la adoptarea și aplicarea prezentei decizii,</w:t>
      </w:r>
    </w:p>
    <w:p w14:paraId="1AADAB6D" w14:textId="77777777" w:rsidR="00215952" w:rsidRPr="00E812B8" w:rsidRDefault="00215952" w:rsidP="00F27C4D">
      <w:pPr>
        <w:pStyle w:val="Formuledadoption"/>
      </w:pPr>
      <w:r w:rsidRPr="00E812B8">
        <w:t>ADOPTĂ PREZENTA DECIZIE:</w:t>
      </w:r>
    </w:p>
    <w:p w14:paraId="139629A6" w14:textId="77777777" w:rsidR="00F27C4D" w:rsidRDefault="00F27C4D" w:rsidP="00940A59">
      <w:pPr>
        <w:rPr>
          <w:i/>
        </w:rPr>
      </w:pPr>
      <w:r>
        <w:br w:type="page"/>
      </w:r>
    </w:p>
    <w:p w14:paraId="02C88FDD" w14:textId="77777777" w:rsidR="00215952" w:rsidRPr="001263A2" w:rsidRDefault="00215952" w:rsidP="00F27C4D">
      <w:pPr>
        <w:pStyle w:val="Titrearticle"/>
      </w:pPr>
      <w:r w:rsidRPr="001263A2">
        <w:t>Articolul 1</w:t>
      </w:r>
    </w:p>
    <w:p w14:paraId="6343BA7E" w14:textId="77777777" w:rsidR="00215952" w:rsidRPr="00E812B8" w:rsidRDefault="00215952" w:rsidP="00F27C4D">
      <w:r w:rsidRPr="00E812B8">
        <w:t xml:space="preserve">Poziția care urmează să fie adoptată, în numele Uniunii, în cadrul celei de a </w:t>
      </w:r>
      <w:r w:rsidR="007136B4">
        <w:t>69-a</w:t>
      </w:r>
      <w:r w:rsidRPr="00E812B8">
        <w:t xml:space="preserve"> sesiuni a Comisiei pentru stupefiante </w:t>
      </w:r>
      <w:r w:rsidR="007136B4">
        <w:t xml:space="preserve">(CND) </w:t>
      </w:r>
      <w:r w:rsidRPr="00E812B8">
        <w:t xml:space="preserve">din perioada </w:t>
      </w:r>
      <w:r w:rsidRPr="001263A2">
        <w:t>9</w:t>
      </w:r>
      <w:r w:rsidRPr="00E812B8">
        <w:t>-</w:t>
      </w:r>
      <w:r w:rsidRPr="001263A2">
        <w:t>13</w:t>
      </w:r>
      <w:r w:rsidRPr="00E812B8">
        <w:t xml:space="preserve"> martie </w:t>
      </w:r>
      <w:r w:rsidRPr="001263A2">
        <w:t>2026</w:t>
      </w:r>
      <w:r w:rsidRPr="00E812B8">
        <w:t xml:space="preserve">, </w:t>
      </w:r>
      <w:r w:rsidR="007C71B6">
        <w:t>în ceea ce privește</w:t>
      </w:r>
      <w:r w:rsidRPr="00E812B8">
        <w:t xml:space="preserve"> adopt</w:t>
      </w:r>
      <w:r w:rsidR="007C71B6">
        <w:t>area</w:t>
      </w:r>
      <w:r w:rsidRPr="00E812B8">
        <w:t xml:space="preserve"> decizii</w:t>
      </w:r>
      <w:r w:rsidR="007C71B6">
        <w:t>lor</w:t>
      </w:r>
      <w:r w:rsidRPr="00E812B8">
        <w:t xml:space="preserve"> privind adăugarea unor substanțe în tabelele anexate la Convenția unică a Organizației Națiunilor Unite asupra stupefiantelor din </w:t>
      </w:r>
      <w:r w:rsidRPr="001263A2">
        <w:t>1961</w:t>
      </w:r>
      <w:r w:rsidRPr="00E812B8">
        <w:t xml:space="preserve">, astfel cum a fost modificată prin Protocolul din </w:t>
      </w:r>
      <w:r w:rsidRPr="001263A2">
        <w:t>1972</w:t>
      </w:r>
      <w:r w:rsidRPr="00E812B8">
        <w:t>, și la Convenția Organizației Națiunilor Unite asupra substanțelor psihotrope din</w:t>
      </w:r>
      <w:r w:rsidR="00F27C4D">
        <w:t> </w:t>
      </w:r>
      <w:r w:rsidRPr="001263A2">
        <w:t>1971</w:t>
      </w:r>
      <w:r w:rsidRPr="00E812B8">
        <w:t>, este prevăzută în anexa la prezenta decizie.</w:t>
      </w:r>
    </w:p>
    <w:p w14:paraId="3856703C" w14:textId="77777777" w:rsidR="00215952" w:rsidRPr="001263A2" w:rsidRDefault="00215952" w:rsidP="00F27C4D">
      <w:pPr>
        <w:pStyle w:val="Titrearticle"/>
      </w:pPr>
      <w:r w:rsidRPr="001263A2">
        <w:t>Articolul 2</w:t>
      </w:r>
    </w:p>
    <w:p w14:paraId="671C6CF6" w14:textId="77777777" w:rsidR="00215952" w:rsidRPr="00E812B8" w:rsidRDefault="00215952" w:rsidP="00F27C4D">
      <w:r w:rsidRPr="00E812B8">
        <w:t>Poziția menționată la articolul </w:t>
      </w:r>
      <w:r w:rsidRPr="001263A2">
        <w:t>1</w:t>
      </w:r>
      <w:r w:rsidRPr="00E812B8">
        <w:t xml:space="preserve"> este exprimată de statele membre care sunt membre ale </w:t>
      </w:r>
      <w:r w:rsidR="007136B4">
        <w:t>CND</w:t>
      </w:r>
      <w:r w:rsidRPr="00E812B8">
        <w:t>, acționând împreună în interesul Uniunii.</w:t>
      </w:r>
    </w:p>
    <w:p w14:paraId="488CF7ED" w14:textId="77777777" w:rsidR="00215952" w:rsidRPr="001263A2" w:rsidRDefault="00215952" w:rsidP="00F27C4D">
      <w:pPr>
        <w:pStyle w:val="Titrearticle"/>
      </w:pPr>
      <w:r w:rsidRPr="001263A2">
        <w:t>Articolul 3</w:t>
      </w:r>
    </w:p>
    <w:p w14:paraId="631021C7" w14:textId="77777777" w:rsidR="00215952" w:rsidRPr="00E812B8" w:rsidRDefault="00215952" w:rsidP="00F27C4D">
      <w:r w:rsidRPr="00E812B8">
        <w:t>Prezenta decizie se adresează statelor membre în conformitate cu tratatele.</w:t>
      </w:r>
    </w:p>
    <w:p w14:paraId="7CECB198" w14:textId="77777777" w:rsidR="00215952" w:rsidRPr="00E812B8" w:rsidRDefault="00215952" w:rsidP="00F27C4D">
      <w:pPr>
        <w:pStyle w:val="Fait"/>
      </w:pPr>
      <w:r>
        <w:t xml:space="preserve">Adoptată la </w:t>
      </w:r>
      <w:r w:rsidR="007136B4">
        <w:t>…</w:t>
      </w:r>
      <w:r>
        <w:t>,</w:t>
      </w:r>
      <w:r w:rsidR="007136B4">
        <w:t xml:space="preserve"> …</w:t>
      </w:r>
    </w:p>
    <w:p w14:paraId="1F662069" w14:textId="77777777" w:rsidR="00553107" w:rsidRPr="00602AA0" w:rsidRDefault="00553107" w:rsidP="00F27C4D">
      <w:pPr>
        <w:pStyle w:val="Institutionquisigne"/>
      </w:pPr>
      <w:r w:rsidRPr="00602AA0">
        <w:tab/>
        <w:t>Pentru Consiliu</w:t>
      </w:r>
    </w:p>
    <w:p w14:paraId="2BF6304A" w14:textId="77777777" w:rsidR="00553107" w:rsidRDefault="00553107" w:rsidP="00F27C4D">
      <w:pPr>
        <w:pStyle w:val="Personnequisigne"/>
      </w:pPr>
      <w:r w:rsidRPr="00602AA0">
        <w:tab/>
        <w:t>Pre</w:t>
      </w:r>
      <w:r w:rsidR="00215952">
        <w:t>ș</w:t>
      </w:r>
      <w:r w:rsidRPr="00602AA0">
        <w:t>edintele</w:t>
      </w:r>
    </w:p>
    <w:bookmarkEnd w:id="2"/>
    <w:p w14:paraId="1EA7600D" w14:textId="77777777" w:rsidR="00553107" w:rsidRDefault="00553107" w:rsidP="00F27C4D">
      <w:pPr>
        <w:pStyle w:val="Lignefinal"/>
      </w:pPr>
    </w:p>
    <w:sectPr w:rsidR="00553107" w:rsidSect="00940A59">
      <w:headerReference w:type="even" r:id="rId16"/>
      <w:headerReference w:type="default" r:id="rId17"/>
      <w:footerReference w:type="even" r:id="rId18"/>
      <w:headerReference w:type="first" r:id="rId19"/>
      <w:footerReference w:type="first" r:id="rId20"/>
      <w:footnotePr>
        <w:numRestart w:val="eachSect"/>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2A986" w14:textId="77777777" w:rsidR="00553107" w:rsidRPr="00245855" w:rsidRDefault="00553107" w:rsidP="00245855">
      <w:pPr>
        <w:spacing w:before="0" w:after="0"/>
      </w:pPr>
      <w:r w:rsidRPr="00245855">
        <w:separator/>
      </w:r>
    </w:p>
  </w:endnote>
  <w:endnote w:type="continuationSeparator" w:id="0">
    <w:p w14:paraId="7CAA53CA" w14:textId="77777777" w:rsidR="00553107" w:rsidRDefault="00553107"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35665117" w14:textId="77777777" w:rsidTr="0035025C">
      <w:trPr>
        <w:jc w:val="center"/>
      </w:trPr>
      <w:tc>
        <w:tcPr>
          <w:tcW w:w="5000" w:type="pct"/>
          <w:gridSpan w:val="7"/>
          <w:shd w:val="clear" w:color="auto" w:fill="auto"/>
          <w:tcMar>
            <w:top w:w="57" w:type="dxa"/>
          </w:tcMar>
        </w:tcPr>
        <w:p w14:paraId="1D7BE754" w14:textId="77777777" w:rsidR="00875FA1" w:rsidRPr="0035025C" w:rsidRDefault="00875FA1" w:rsidP="0035025C">
          <w:pPr>
            <w:pStyle w:val="FooterText"/>
            <w:pBdr>
              <w:top w:val="single" w:sz="4" w:space="1" w:color="auto"/>
            </w:pBdr>
            <w:spacing w:before="200"/>
            <w:rPr>
              <w:sz w:val="2"/>
              <w:szCs w:val="2"/>
            </w:rPr>
          </w:pPr>
        </w:p>
      </w:tc>
    </w:tr>
    <w:tr w:rsidR="008E42AB" w:rsidRPr="00B310DC" w14:paraId="6C558E11" w14:textId="77777777" w:rsidTr="00430704">
      <w:trPr>
        <w:jc w:val="center"/>
      </w:trPr>
      <w:tc>
        <w:tcPr>
          <w:tcW w:w="2499" w:type="pct"/>
          <w:gridSpan w:val="2"/>
          <w:shd w:val="clear" w:color="auto" w:fill="auto"/>
          <w:tcMar>
            <w:top w:w="0" w:type="dxa"/>
          </w:tcMar>
        </w:tcPr>
        <w:p w14:paraId="3141B573" w14:textId="77777777" w:rsidR="00875FA1" w:rsidRPr="00AD7BF2" w:rsidRDefault="00875FA1" w:rsidP="0035025C">
          <w:pPr>
            <w:pStyle w:val="FooterText"/>
          </w:pPr>
          <w:r>
            <w:t>6040</w:t>
          </w:r>
          <w:r>
            <w:t>/</w:t>
          </w:r>
          <w:r>
            <w:t>26</w:t>
          </w:r>
          <w:r>
            <w:t xml:space="preserve"> </w:t>
          </w:r>
          <w:r w:rsidRPr="00C15257">
            <w:rPr>
              <w:sz w:val="16"/>
              <w:szCs w:val="16"/>
            </w:rPr>
            <w:t xml:space="preserve"> </w:t>
          </w:r>
        </w:p>
      </w:tc>
      <w:tc>
        <w:tcPr>
          <w:tcW w:w="625" w:type="pct"/>
          <w:shd w:val="clear" w:color="auto" w:fill="auto"/>
          <w:tcMar>
            <w:top w:w="0" w:type="dxa"/>
          </w:tcMar>
        </w:tcPr>
        <w:p w14:paraId="40DACB4D" w14:textId="77777777" w:rsidR="00875FA1" w:rsidRPr="00AD7BF2" w:rsidRDefault="00875FA1" w:rsidP="0035025C">
          <w:pPr>
            <w:pStyle w:val="FooterText"/>
            <w:jc w:val="center"/>
          </w:pPr>
        </w:p>
      </w:tc>
      <w:tc>
        <w:tcPr>
          <w:tcW w:w="1287" w:type="pct"/>
          <w:gridSpan w:val="3"/>
          <w:shd w:val="clear" w:color="auto" w:fill="auto"/>
          <w:tcMar>
            <w:top w:w="0" w:type="dxa"/>
          </w:tcMar>
        </w:tcPr>
        <w:p w14:paraId="24B6309A" w14:textId="77777777" w:rsidR="00875FA1" w:rsidRPr="002511D8" w:rsidRDefault="00875FA1" w:rsidP="0035025C">
          <w:pPr>
            <w:pStyle w:val="FooterText"/>
            <w:jc w:val="center"/>
          </w:pPr>
        </w:p>
      </w:tc>
      <w:tc>
        <w:tcPr>
          <w:tcW w:w="589" w:type="pct"/>
          <w:shd w:val="clear" w:color="auto" w:fill="auto"/>
          <w:tcMar>
            <w:top w:w="0" w:type="dxa"/>
          </w:tcMar>
        </w:tcPr>
        <w:p w14:paraId="7C733F6F" w14:textId="77777777" w:rsidR="00875FA1" w:rsidRPr="00B310DC" w:rsidRDefault="00875FA1"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46D0A9E4" w14:textId="77777777" w:rsidTr="00430704">
      <w:trPr>
        <w:jc w:val="center"/>
      </w:trPr>
      <w:tc>
        <w:tcPr>
          <w:tcW w:w="1774" w:type="pct"/>
          <w:shd w:val="clear" w:color="auto" w:fill="auto"/>
        </w:tcPr>
        <w:p w14:paraId="29380F0C" w14:textId="77777777" w:rsidR="00875FA1" w:rsidRPr="00AD7BF2" w:rsidRDefault="00875FA1" w:rsidP="0035025C">
          <w:pPr>
            <w:pStyle w:val="FooterText"/>
            <w:spacing w:before="40"/>
          </w:pPr>
        </w:p>
      </w:tc>
      <w:tc>
        <w:tcPr>
          <w:tcW w:w="1494" w:type="pct"/>
          <w:gridSpan w:val="3"/>
          <w:shd w:val="clear" w:color="auto" w:fill="auto"/>
        </w:tcPr>
        <w:p w14:paraId="66A61659" w14:textId="77777777" w:rsidR="00875FA1" w:rsidRPr="00AD7BF2" w:rsidRDefault="00875FA1" w:rsidP="0035025C">
          <w:pPr>
            <w:pStyle w:val="FooterText"/>
            <w:spacing w:before="40"/>
            <w:jc w:val="center"/>
          </w:pPr>
          <w:r>
            <w:t>JAI.B</w:t>
          </w:r>
        </w:p>
      </w:tc>
      <w:tc>
        <w:tcPr>
          <w:tcW w:w="703" w:type="pct"/>
          <w:shd w:val="clear" w:color="auto" w:fill="auto"/>
        </w:tcPr>
        <w:p w14:paraId="0CB4501E" w14:textId="77777777" w:rsidR="00875FA1" w:rsidRPr="0035025C" w:rsidRDefault="00875FA1" w:rsidP="004B628B">
          <w:pPr>
            <w:pStyle w:val="FooterText"/>
            <w:jc w:val="center"/>
            <w:rPr>
              <w:b/>
              <w:position w:val="-4"/>
              <w:sz w:val="36"/>
            </w:rPr>
          </w:pPr>
          <w:r>
            <w:rPr>
              <w:b/>
              <w:position w:val="-4"/>
              <w:sz w:val="36"/>
            </w:rPr>
            <w:t>LIMITE</w:t>
          </w:r>
        </w:p>
      </w:tc>
      <w:tc>
        <w:tcPr>
          <w:tcW w:w="1029" w:type="pct"/>
          <w:gridSpan w:val="2"/>
          <w:shd w:val="clear" w:color="auto" w:fill="auto"/>
        </w:tcPr>
        <w:p w14:paraId="7C724511" w14:textId="77777777" w:rsidR="00875FA1" w:rsidRPr="00695BAF" w:rsidRDefault="00875FA1" w:rsidP="0035025C">
          <w:pPr>
            <w:pStyle w:val="FooterText"/>
            <w:jc w:val="right"/>
            <w:rPr>
              <w:caps/>
              <w:sz w:val="16"/>
            </w:rPr>
          </w:pPr>
          <w:r>
            <w:rPr>
              <w:b/>
              <w:caps/>
              <w:spacing w:val="-20"/>
              <w:position w:val="-4"/>
              <w:sz w:val="36"/>
            </w:rPr>
            <w:t>RO</w:t>
          </w:r>
        </w:p>
      </w:tc>
    </w:tr>
  </w:tbl>
  <w:p w14:paraId="4E126E76" w14:textId="77777777" w:rsidR="007208D2" w:rsidRDefault="007208D2">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00CC1654" w14:textId="77777777" w:rsidTr="0035025C">
      <w:trPr>
        <w:jc w:val="center"/>
      </w:trPr>
      <w:tc>
        <w:tcPr>
          <w:tcW w:w="5000" w:type="pct"/>
          <w:gridSpan w:val="7"/>
          <w:shd w:val="clear" w:color="auto" w:fill="auto"/>
          <w:tcMar>
            <w:top w:w="57" w:type="dxa"/>
          </w:tcMar>
        </w:tcPr>
        <w:p w14:paraId="00F637EC" w14:textId="77777777" w:rsidR="00875FA1" w:rsidRPr="0035025C" w:rsidRDefault="00875FA1" w:rsidP="0035025C">
          <w:pPr>
            <w:pStyle w:val="FooterText"/>
            <w:pBdr>
              <w:top w:val="single" w:sz="4" w:space="1" w:color="auto"/>
            </w:pBdr>
            <w:spacing w:before="200"/>
            <w:rPr>
              <w:sz w:val="2"/>
              <w:szCs w:val="2"/>
            </w:rPr>
          </w:pPr>
          <w:bookmarkStart w:id="1" w:name="FOOTER_LEGACTS"/>
        </w:p>
      </w:tc>
    </w:tr>
    <w:tr w:rsidR="008E42AB" w:rsidRPr="00B310DC" w14:paraId="1FAEBDFF" w14:textId="77777777" w:rsidTr="00430704">
      <w:trPr>
        <w:jc w:val="center"/>
      </w:trPr>
      <w:tc>
        <w:tcPr>
          <w:tcW w:w="2499" w:type="pct"/>
          <w:gridSpan w:val="2"/>
          <w:shd w:val="clear" w:color="auto" w:fill="auto"/>
          <w:tcMar>
            <w:top w:w="0" w:type="dxa"/>
          </w:tcMar>
        </w:tcPr>
        <w:p w14:paraId="308153D5" w14:textId="77777777" w:rsidR="00875FA1" w:rsidRPr="00AD7BF2" w:rsidRDefault="00875FA1" w:rsidP="0035025C">
          <w:pPr>
            <w:pStyle w:val="FooterText"/>
          </w:pPr>
          <w:r>
            <w:t>6040</w:t>
          </w:r>
          <w:r>
            <w:t>/</w:t>
          </w:r>
          <w:r>
            <w:t>26</w:t>
          </w:r>
          <w:r>
            <w:t xml:space="preserve"> </w:t>
          </w:r>
          <w:r w:rsidRPr="00C15257">
            <w:rPr>
              <w:sz w:val="16"/>
              <w:szCs w:val="16"/>
            </w:rPr>
            <w:t xml:space="preserve"> </w:t>
          </w:r>
        </w:p>
      </w:tc>
      <w:tc>
        <w:tcPr>
          <w:tcW w:w="625" w:type="pct"/>
          <w:shd w:val="clear" w:color="auto" w:fill="auto"/>
          <w:tcMar>
            <w:top w:w="0" w:type="dxa"/>
          </w:tcMar>
        </w:tcPr>
        <w:p w14:paraId="6C79E402" w14:textId="77777777" w:rsidR="00875FA1" w:rsidRPr="00AD7BF2" w:rsidRDefault="00875FA1" w:rsidP="0035025C">
          <w:pPr>
            <w:pStyle w:val="FooterText"/>
            <w:jc w:val="center"/>
          </w:pPr>
        </w:p>
      </w:tc>
      <w:tc>
        <w:tcPr>
          <w:tcW w:w="1287" w:type="pct"/>
          <w:gridSpan w:val="3"/>
          <w:shd w:val="clear" w:color="auto" w:fill="auto"/>
          <w:tcMar>
            <w:top w:w="0" w:type="dxa"/>
          </w:tcMar>
        </w:tcPr>
        <w:p w14:paraId="1B2D192D" w14:textId="77777777" w:rsidR="00875FA1" w:rsidRPr="002511D8" w:rsidRDefault="00875FA1" w:rsidP="0035025C">
          <w:pPr>
            <w:pStyle w:val="FooterText"/>
            <w:jc w:val="center"/>
          </w:pPr>
        </w:p>
      </w:tc>
      <w:tc>
        <w:tcPr>
          <w:tcW w:w="589" w:type="pct"/>
          <w:shd w:val="clear" w:color="auto" w:fill="auto"/>
          <w:tcMar>
            <w:top w:w="0" w:type="dxa"/>
          </w:tcMar>
        </w:tcPr>
        <w:p w14:paraId="2C2B998F" w14:textId="77777777" w:rsidR="00875FA1" w:rsidRPr="00B310DC" w:rsidRDefault="00875FA1" w:rsidP="0035025C">
          <w:pPr>
            <w:pStyle w:val="FooterText"/>
            <w:jc w:val="right"/>
          </w:pPr>
        </w:p>
      </w:tc>
    </w:tr>
    <w:tr w:rsidR="008E42AB" w:rsidRPr="0035025C" w14:paraId="3B842956" w14:textId="77777777" w:rsidTr="00430704">
      <w:trPr>
        <w:jc w:val="center"/>
      </w:trPr>
      <w:tc>
        <w:tcPr>
          <w:tcW w:w="1774" w:type="pct"/>
          <w:shd w:val="clear" w:color="auto" w:fill="auto"/>
        </w:tcPr>
        <w:p w14:paraId="0DBB9836" w14:textId="77777777" w:rsidR="00875FA1" w:rsidRPr="00AD7BF2" w:rsidRDefault="00875FA1" w:rsidP="0035025C">
          <w:pPr>
            <w:pStyle w:val="FooterText"/>
            <w:spacing w:before="40"/>
          </w:pPr>
        </w:p>
      </w:tc>
      <w:tc>
        <w:tcPr>
          <w:tcW w:w="1494" w:type="pct"/>
          <w:gridSpan w:val="3"/>
          <w:shd w:val="clear" w:color="auto" w:fill="auto"/>
        </w:tcPr>
        <w:p w14:paraId="70CB0869" w14:textId="77777777" w:rsidR="00875FA1" w:rsidRPr="00AD7BF2" w:rsidRDefault="00875FA1" w:rsidP="0035025C">
          <w:pPr>
            <w:pStyle w:val="FooterText"/>
            <w:spacing w:before="40"/>
            <w:jc w:val="center"/>
          </w:pPr>
          <w:r>
            <w:t>JAI.B</w:t>
          </w:r>
        </w:p>
      </w:tc>
      <w:tc>
        <w:tcPr>
          <w:tcW w:w="703" w:type="pct"/>
          <w:shd w:val="clear" w:color="auto" w:fill="auto"/>
        </w:tcPr>
        <w:p w14:paraId="380E9836" w14:textId="77777777" w:rsidR="00875FA1" w:rsidRPr="0035025C" w:rsidRDefault="00875FA1" w:rsidP="004B628B">
          <w:pPr>
            <w:pStyle w:val="FooterText"/>
            <w:jc w:val="center"/>
            <w:rPr>
              <w:b/>
              <w:position w:val="-4"/>
              <w:sz w:val="36"/>
            </w:rPr>
          </w:pPr>
          <w:r>
            <w:rPr>
              <w:b/>
              <w:position w:val="-4"/>
              <w:sz w:val="36"/>
            </w:rPr>
            <w:t>LIMITE</w:t>
          </w:r>
        </w:p>
      </w:tc>
      <w:tc>
        <w:tcPr>
          <w:tcW w:w="1029" w:type="pct"/>
          <w:gridSpan w:val="2"/>
          <w:shd w:val="clear" w:color="auto" w:fill="auto"/>
        </w:tcPr>
        <w:p w14:paraId="22F21108" w14:textId="77777777" w:rsidR="00875FA1" w:rsidRPr="00695BAF" w:rsidRDefault="00875FA1" w:rsidP="0035025C">
          <w:pPr>
            <w:pStyle w:val="FooterText"/>
            <w:jc w:val="right"/>
            <w:rPr>
              <w:caps/>
              <w:sz w:val="16"/>
            </w:rPr>
          </w:pPr>
          <w:r>
            <w:rPr>
              <w:b/>
              <w:caps/>
              <w:spacing w:val="-20"/>
              <w:position w:val="-4"/>
              <w:sz w:val="36"/>
            </w:rPr>
            <w:t>RO</w:t>
          </w:r>
        </w:p>
      </w:tc>
    </w:tr>
    <w:bookmarkEnd w:id="1"/>
  </w:tbl>
  <w:p w14:paraId="5832A261" w14:textId="77777777" w:rsidR="007208D2" w:rsidRDefault="007208D2">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1ECEA" w14:textId="77777777" w:rsidR="007208D2" w:rsidRDefault="007208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1879" w14:textId="77777777" w:rsidR="007208D2" w:rsidRDefault="007208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6C316" w14:textId="77777777" w:rsidR="00553107" w:rsidRPr="00245855" w:rsidRDefault="00553107" w:rsidP="00245855">
      <w:pPr>
        <w:spacing w:before="0" w:after="0"/>
      </w:pPr>
      <w:r w:rsidRPr="00245855">
        <w:separator/>
      </w:r>
    </w:p>
  </w:footnote>
  <w:footnote w:type="continuationSeparator" w:id="0">
    <w:p w14:paraId="27578453" w14:textId="77777777" w:rsidR="00553107" w:rsidRDefault="00553107" w:rsidP="00245855">
      <w:pPr>
        <w:spacing w:before="0" w:after="0" w:line="240" w:lineRule="auto"/>
      </w:pPr>
      <w:r>
        <w:continuationSeparator/>
      </w:r>
    </w:p>
  </w:footnote>
  <w:footnote w:id="1">
    <w:p w14:paraId="64886571" w14:textId="77777777" w:rsidR="008D20AB" w:rsidRDefault="008D20AB" w:rsidP="00215952">
      <w:pPr>
        <w:pStyle w:val="FootnoteText"/>
      </w:pPr>
      <w:r>
        <w:rPr>
          <w:rStyle w:val="FootnoteReference"/>
        </w:rPr>
        <w:footnoteRef/>
      </w:r>
      <w:r>
        <w:tab/>
        <w:t xml:space="preserve">Decizia-cadru </w:t>
      </w:r>
      <w:r w:rsidRPr="001263A2">
        <w:t>2004</w:t>
      </w:r>
      <w:r>
        <w:t>/</w:t>
      </w:r>
      <w:r w:rsidRPr="001263A2">
        <w:t>757</w:t>
      </w:r>
      <w:r>
        <w:t xml:space="preserve">/JAI a Consiliului din </w:t>
      </w:r>
      <w:r w:rsidRPr="001263A2">
        <w:t>25</w:t>
      </w:r>
      <w:r>
        <w:t xml:space="preserve"> octombrie </w:t>
      </w:r>
      <w:r w:rsidRPr="001263A2">
        <w:t>2004</w:t>
      </w:r>
      <w:r>
        <w:t xml:space="preserve"> de stabilire a dispozițiilor minime privind elementele constitutive ale infracțiunilor și sancțiunile aplicabile în domeniul traficului ilicit de droguri (JO L </w:t>
      </w:r>
      <w:r w:rsidRPr="001263A2">
        <w:t>335</w:t>
      </w:r>
      <w:r>
        <w:t xml:space="preserve">, </w:t>
      </w:r>
      <w:r w:rsidRPr="001263A2">
        <w:t>11</w:t>
      </w:r>
      <w:r>
        <w:t>.</w:t>
      </w:r>
      <w:r w:rsidRPr="001263A2">
        <w:t>11</w:t>
      </w:r>
      <w:r>
        <w:t>.</w:t>
      </w:r>
      <w:r w:rsidRPr="001263A2">
        <w:t>2004</w:t>
      </w:r>
      <w:r>
        <w:t>, p.</w:t>
      </w:r>
      <w:r w:rsidR="009B512A">
        <w:t> </w:t>
      </w:r>
      <w:r w:rsidRPr="001263A2">
        <w:t>8</w:t>
      </w:r>
      <w:r w:rsidR="007E5426">
        <w:t xml:space="preserve">, </w:t>
      </w:r>
      <w:r w:rsidR="007E5426" w:rsidRPr="00FD4AE4">
        <w:t>ELI: </w:t>
      </w:r>
      <w:hyperlink r:id="rId1" w:history="1">
        <w:r w:rsidR="009B512A" w:rsidRPr="00252500">
          <w:rPr>
            <w:rStyle w:val="Hyperlink"/>
          </w:rPr>
          <w:t>http://data.europa.eu/eli/dec_framw/2004/757/oj</w:t>
        </w:r>
      </w:hyperlink>
      <w:r>
        <w:t>).</w:t>
      </w:r>
    </w:p>
  </w:footnote>
  <w:footnote w:id="2">
    <w:p w14:paraId="5FA89C5B" w14:textId="77777777" w:rsidR="008D20AB" w:rsidRDefault="008D20AB" w:rsidP="00215952">
      <w:pPr>
        <w:pStyle w:val="FootnoteText"/>
      </w:pPr>
      <w:r>
        <w:rPr>
          <w:rStyle w:val="FootnoteReference"/>
        </w:rPr>
        <w:footnoteRef/>
      </w:r>
      <w:r>
        <w:tab/>
        <w:t xml:space="preserve">Regulamentul (UE) </w:t>
      </w:r>
      <w:r w:rsidRPr="001263A2">
        <w:t>2023</w:t>
      </w:r>
      <w:r>
        <w:t>/</w:t>
      </w:r>
      <w:r w:rsidRPr="001263A2">
        <w:t>1322</w:t>
      </w:r>
      <w:r>
        <w:t xml:space="preserve"> al Parlamentului European și al Consiliului din </w:t>
      </w:r>
      <w:r w:rsidRPr="001263A2">
        <w:t>27</w:t>
      </w:r>
      <w:r>
        <w:t xml:space="preserve"> iunie </w:t>
      </w:r>
      <w:r w:rsidRPr="001263A2">
        <w:t>2023</w:t>
      </w:r>
      <w:r>
        <w:t xml:space="preserve"> cu privire la Agenția Uniunii Europene privind Drogurile (EUDA) și de abrogare a Regulamentului (CE) nr. </w:t>
      </w:r>
      <w:r w:rsidRPr="001263A2">
        <w:t>1920</w:t>
      </w:r>
      <w:r>
        <w:t>/</w:t>
      </w:r>
      <w:r w:rsidRPr="001263A2">
        <w:t>2006</w:t>
      </w:r>
      <w:r>
        <w:t xml:space="preserve"> </w:t>
      </w:r>
      <w:r w:rsidR="007E5426">
        <w:t>(</w:t>
      </w:r>
      <w:r>
        <w:t>JO L </w:t>
      </w:r>
      <w:r w:rsidRPr="001263A2">
        <w:t>166</w:t>
      </w:r>
      <w:r>
        <w:t xml:space="preserve">, </w:t>
      </w:r>
      <w:r w:rsidRPr="001263A2">
        <w:t>30</w:t>
      </w:r>
      <w:r>
        <w:t>.</w:t>
      </w:r>
      <w:r w:rsidRPr="001263A2">
        <w:t>6</w:t>
      </w:r>
      <w:r>
        <w:t>.</w:t>
      </w:r>
      <w:r w:rsidRPr="001263A2">
        <w:t>2023</w:t>
      </w:r>
      <w:r>
        <w:t>, p.</w:t>
      </w:r>
      <w:r w:rsidR="009B512A">
        <w:t> </w:t>
      </w:r>
      <w:r w:rsidRPr="001263A2">
        <w:t>6</w:t>
      </w:r>
      <w:r w:rsidR="007A4656">
        <w:t>,</w:t>
      </w:r>
      <w:r w:rsidR="007A4656" w:rsidRPr="007A4656">
        <w:t xml:space="preserve"> ELI:</w:t>
      </w:r>
      <w:r w:rsidR="007A4656">
        <w:t> </w:t>
      </w:r>
      <w:hyperlink r:id="rId2" w:history="1">
        <w:r w:rsidR="007A4656" w:rsidRPr="00220386">
          <w:rPr>
            <w:rStyle w:val="Hyperlink"/>
          </w:rPr>
          <w:t>http://data.europa.eu/eli/reg/2023/1322/oj</w:t>
        </w:r>
      </w:hyperlink>
      <w:r w:rsidR="007A4656">
        <w:t>)</w:t>
      </w:r>
      <w:r>
        <w:t>.</w:t>
      </w:r>
    </w:p>
  </w:footnote>
  <w:footnote w:id="3">
    <w:p w14:paraId="62833602" w14:textId="77777777" w:rsidR="007A4656" w:rsidRDefault="009B512A" w:rsidP="007A4656">
      <w:pPr>
        <w:pStyle w:val="FootnoteText"/>
      </w:pPr>
      <w:r>
        <w:rPr>
          <w:rStyle w:val="FootnoteReference"/>
        </w:rPr>
        <w:footnoteRef/>
      </w:r>
      <w:r w:rsidR="007A4656">
        <w:tab/>
        <w:t>Belgia, Germania, Spania, Franța, Italia, Lituania, Ungaria, Malta, Țările de Jos, Austria, Polonia, Portugalia, Slovenia și Finlanda.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0C145" w14:textId="77777777" w:rsidR="007208D2" w:rsidRDefault="00875FA1">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3C23" w14:textId="77777777" w:rsidR="007208D2" w:rsidRDefault="00875FA1">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F7EE" w14:textId="77777777" w:rsidR="007208D2" w:rsidRDefault="007208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7251" w14:textId="77777777" w:rsidR="007208D2" w:rsidRDefault="00875FA1">
    <w:r>
      <w: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02D2" w14:textId="77777777" w:rsidR="007208D2" w:rsidRDefault="007208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5" w15:restartNumberingAfterBreak="0">
    <w:nsid w:val="5B0B0635"/>
    <w:multiLevelType w:val="singleLevel"/>
    <w:tmpl w:val="017E7CEE"/>
    <w:name w:val="List Number 4"/>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6" w15:restartNumberingAfterBreak="0">
    <w:nsid w:val="5DF84969"/>
    <w:multiLevelType w:val="singleLevel"/>
    <w:tmpl w:val="1E12021A"/>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371224461">
    <w:abstractNumId w:val="4"/>
  </w:num>
  <w:num w:numId="2" w16cid:durableId="1583297739">
    <w:abstractNumId w:val="10"/>
  </w:num>
  <w:num w:numId="3" w16cid:durableId="493028266">
    <w:abstractNumId w:val="13"/>
  </w:num>
  <w:num w:numId="4" w16cid:durableId="19748251">
    <w:abstractNumId w:val="12"/>
  </w:num>
  <w:num w:numId="5" w16cid:durableId="194975596">
    <w:abstractNumId w:val="22"/>
  </w:num>
  <w:num w:numId="6" w16cid:durableId="2051998500">
    <w:abstractNumId w:val="7"/>
  </w:num>
  <w:num w:numId="7" w16cid:durableId="920985168">
    <w:abstractNumId w:val="8"/>
  </w:num>
  <w:num w:numId="8" w16cid:durableId="859395038">
    <w:abstractNumId w:val="9"/>
  </w:num>
  <w:num w:numId="9" w16cid:durableId="1884709445">
    <w:abstractNumId w:val="11"/>
  </w:num>
  <w:num w:numId="10" w16cid:durableId="907809623">
    <w:abstractNumId w:val="5"/>
  </w:num>
  <w:num w:numId="11" w16cid:durableId="147790786">
    <w:abstractNumId w:val="0"/>
  </w:num>
  <w:num w:numId="12" w16cid:durableId="1276255905">
    <w:abstractNumId w:val="23"/>
  </w:num>
  <w:num w:numId="13" w16cid:durableId="641539383">
    <w:abstractNumId w:val="6"/>
  </w:num>
  <w:num w:numId="14" w16cid:durableId="1463424940">
    <w:abstractNumId w:val="2"/>
  </w:num>
  <w:num w:numId="15" w16cid:durableId="1445808034">
    <w:abstractNumId w:val="1"/>
  </w:num>
  <w:num w:numId="16" w16cid:durableId="1852645536">
    <w:abstractNumId w:val="18"/>
  </w:num>
  <w:num w:numId="17" w16cid:durableId="850142578">
    <w:abstractNumId w:val="17"/>
  </w:num>
  <w:num w:numId="18" w16cid:durableId="9839530">
    <w:abstractNumId w:val="14"/>
  </w:num>
  <w:num w:numId="19" w16cid:durableId="1073358758">
    <w:abstractNumId w:val="20"/>
  </w:num>
  <w:num w:numId="20" w16cid:durableId="1326860946">
    <w:abstractNumId w:val="19"/>
  </w:num>
  <w:num w:numId="21" w16cid:durableId="1663196454">
    <w:abstractNumId w:val="21"/>
  </w:num>
  <w:num w:numId="22" w16cid:durableId="808937615">
    <w:abstractNumId w:val="3"/>
  </w:num>
  <w:num w:numId="23" w16cid:durableId="704335002">
    <w:abstractNumId w:val="16"/>
  </w:num>
  <w:num w:numId="24" w16cid:durableId="1071929312">
    <w:abstractNumId w:val="15"/>
  </w:num>
  <w:num w:numId="25" w16cid:durableId="1371224461">
    <w:abstractNumId w:val="4"/>
  </w:num>
  <w:num w:numId="26" w16cid:durableId="1583297739">
    <w:abstractNumId w:val="10"/>
  </w:num>
  <w:num w:numId="27" w16cid:durableId="493028266">
    <w:abstractNumId w:val="13"/>
  </w:num>
  <w:num w:numId="28" w16cid:durableId="19748251">
    <w:abstractNumId w:val="12"/>
  </w:num>
  <w:num w:numId="29" w16cid:durableId="194975596">
    <w:abstractNumId w:val="22"/>
  </w:num>
  <w:num w:numId="30" w16cid:durableId="2051998500">
    <w:abstractNumId w:val="7"/>
  </w:num>
  <w:num w:numId="31" w16cid:durableId="920985168">
    <w:abstractNumId w:val="8"/>
  </w:num>
  <w:num w:numId="32" w16cid:durableId="859395038">
    <w:abstractNumId w:val="9"/>
  </w:num>
  <w:num w:numId="33" w16cid:durableId="1884709445">
    <w:abstractNumId w:val="11"/>
  </w:num>
  <w:num w:numId="34" w16cid:durableId="907809623">
    <w:abstractNumId w:val="5"/>
  </w:num>
  <w:num w:numId="35" w16cid:durableId="147790786">
    <w:abstractNumId w:val="0"/>
  </w:num>
  <w:num w:numId="36" w16cid:durableId="1276255905">
    <w:abstractNumId w:val="23"/>
  </w:num>
  <w:num w:numId="37" w16cid:durableId="641539383">
    <w:abstractNumId w:val="6"/>
  </w:num>
  <w:num w:numId="38" w16cid:durableId="1463424940">
    <w:abstractNumId w:val="2"/>
  </w:num>
  <w:num w:numId="39" w16cid:durableId="1445808034">
    <w:abstractNumId w:val="1"/>
  </w:num>
  <w:num w:numId="40" w16cid:durableId="1852645536">
    <w:abstractNumId w:val="18"/>
  </w:num>
  <w:num w:numId="41" w16cid:durableId="850142578">
    <w:abstractNumId w:val="17"/>
  </w:num>
  <w:num w:numId="42" w16cid:durableId="9839530">
    <w:abstractNumId w:val="14"/>
  </w:num>
  <w:num w:numId="43" w16cid:durableId="1073358758">
    <w:abstractNumId w:val="20"/>
  </w:num>
  <w:num w:numId="44" w16cid:durableId="1326860946">
    <w:abstractNumId w:val="19"/>
  </w:num>
  <w:num w:numId="45" w16cid:durableId="1663196454">
    <w:abstractNumId w:val="21"/>
  </w:num>
  <w:num w:numId="46" w16cid:durableId="8089376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8193"/>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830861882677665161&quot;&gt;_x000d__x000a_  &lt;metadata key=&quot;md_DocumentLanguages&quot;&gt;_x000d__x000a_    &lt;basicdatatypelist&gt;_x000d__x000a_      &lt;language key=&quot;RO&quot; text=&quot;RO&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ACTE LEGISLATIVE &amp;#536;I ALTE INSTRUMENTE&quot; /&gt;_x000d__x000a_    &lt;/basicdatatype&gt;_x000d__x000a_  &lt;/metadata&gt;_x000d__x000a_  &lt;metadata key=&quot;md_HeadingText&quot;&gt;_x000d__x000a_    &lt;headingtext text=&quot;ACTE LEGISLATIVE &amp;#536;I ALTE INSTRUMENTE&quot;&gt;_x000d__x000a_      &lt;formattedtext&gt;_x000d__x000a_        &lt;xaml text=&quot;ACTE LEGISLATIVE &amp;#536;I ALTE INSTRUMENTE&quot;&gt;&amp;lt;FlowDocument xmlns=&quot;http://schemas.microsoft.com/winfx/2006/xaml/presentation&quot;&amp;gt;&amp;lt;Paragraph&amp;gt;ACTE LEGISLATIVE &amp;#536;I ALTE INSTRUMEN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xelles&quot; /&gt;_x000d__x000a_    &lt;/basicdatatype&gt;_x000d__x000a_  &lt;/metadata&gt;_x000d__x000a_  &lt;metadata key=&quot;md_DocumentDate&quot;&gt;_x000d__x000a_    &lt;text&gt;2026-02-20&lt;/text&gt;_x000d__x000a_  &lt;/metadata&gt;_x000d__x000a_  &lt;metadata key=&quot;md_Prefix&quot;&gt;_x000d__x000a_    &lt;text&gt;&lt;/text&gt;_x000d__x000a_  &lt;/metadata&gt;_x000d__x000a_  &lt;metadata key=&quot;md_DocumentNumber&quot;&gt;_x000d__x000a_    &lt;text&gt;6040&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2&quot; text=&quot;LIMITE&quot; /&gt;_x000d__x000a_    &lt;/basicdatatype&gt;_x000d__x000a_  &lt;/metadata&gt;_x000d__x000a_  &lt;metadata key=&quot;md_SubjectCodes&quot;&gt;_x000d__x000a_    &lt;textlist&gt;_x000d__x000a_      &lt;text&gt;CORDROGUE 16&lt;/text&gt;_x000d__x000a_      &lt;text&gt;SAN 68&lt;/text&gt;_x000d__x000a_      &lt;text&gt;RELEX 155&lt;/text&gt;_x000d__x000a_    &lt;/textlist&gt;_x000d__x000a_  &lt;/metadata&gt;_x000d__x000a_  &lt;metadata key=&quot;md_ThirdPartyDistributionMarkers&quot;&gt;_x000d__x000a_    &lt;textlist&gt;_x000d__x000a_      &lt;text&gt;EUDA&lt;/text&gt;_x000d__x000a_      &lt;text&gt;EUROPOL&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DECIZIE A CONSILIULUI privind pozi&amp;#539;ia care urmeaz&amp;#259; s&amp;#259; fie adoptat&amp;#259;, în numele Uniunii Europene, în cadrul celei de a 69-a sesiuni a Comisiei pentru stupefiante, cu privire la modificarea tabelelor de substan&amp;#539;e anexate la Conven&amp;#539;ia unic&amp;#259; asupra stupefiantelor din 1961, astfel cum a fost modificat&amp;#259; prin Protocolul din 1972, &amp;#537;i la Conven&amp;#539;ia asupra substan&amp;#539;elor psihotrope din 1971&quot;&gt;&amp;lt;FlowDocument FontFamily=&quot;Segoe UI&quot; FontSize=&quot;12&quot; LineHeight=&quot;6&quot; PageWidth=&quot;329&quot; PagePadding=&quot;2,2,2,2&quot; AllowDrop=&quot;False&quot; xmlns=&quot;http://schemas.microsoft.com/winfx/2006/xaml/presentation&quot;&amp;gt;&amp;lt;Paragraph&amp;gt;DECIZIE A CONSILIULUI &amp;lt;Run xml:lang=&quot;ro-ro&quot;&amp;gt;privind pozi&amp;#539;ia care urmeaz&amp;#259; s&amp;#259; fie adoptat&amp;#259;, în numele Uniunii Europene, în cadrul celei de a 69-a sesiuni a Comisiei pentru stupefiante, cu privire la modificarea tabelelor de substan&amp;#539;e anexate la Conven&amp;#539;ia unic&amp;#259; asupra stupefiantelor din 1961, astfel cum a fost modificat&amp;#259; prin Protocolul din 1972, &amp;#537;i la Conven&amp;#539;ia asupra substan&amp;#539;elor psihotrope din 1971&amp;lt;/Run&amp;gt;&amp;lt;/Paragraph&amp;gt;&amp;lt;/FlowDocument&amp;gt;&lt;/xaml&gt;_x000d__x000a_  &lt;/metadata&gt;_x000d__x000a_  &lt;metadata key=&quot;md_SubjectFootnote&quot; /&gt;_x000d__x000a_  &lt;metadata key=&quot;md_DG&quot;&gt;_x000d__x000a_    &lt;text&gt;JAI.B&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LEGACTS"/>
    <w:docVar w:name="DW_TechnicalBlockHash" w:val="767af44d31542bda1bb832ee4b45329e8cf2d49dafc594740b11c39250e60297"/>
    <w:docVar w:name="EPKit_DocumentHasBeenSaved" w:val="true"/>
  </w:docVars>
  <w:rsids>
    <w:rsidRoot w:val="00553107"/>
    <w:rsid w:val="00071263"/>
    <w:rsid w:val="000C5C3D"/>
    <w:rsid w:val="0010098C"/>
    <w:rsid w:val="00215952"/>
    <w:rsid w:val="00245855"/>
    <w:rsid w:val="00261E57"/>
    <w:rsid w:val="002D187E"/>
    <w:rsid w:val="002E245B"/>
    <w:rsid w:val="0033339D"/>
    <w:rsid w:val="00334087"/>
    <w:rsid w:val="003D6C66"/>
    <w:rsid w:val="004610C5"/>
    <w:rsid w:val="0046785F"/>
    <w:rsid w:val="00553107"/>
    <w:rsid w:val="005808AF"/>
    <w:rsid w:val="005A30F6"/>
    <w:rsid w:val="005C3F8F"/>
    <w:rsid w:val="007136B4"/>
    <w:rsid w:val="007208D2"/>
    <w:rsid w:val="007A4656"/>
    <w:rsid w:val="007C71B6"/>
    <w:rsid w:val="007E5426"/>
    <w:rsid w:val="00851F9F"/>
    <w:rsid w:val="00875FA1"/>
    <w:rsid w:val="008B4C44"/>
    <w:rsid w:val="008D20AB"/>
    <w:rsid w:val="00940A59"/>
    <w:rsid w:val="009B512A"/>
    <w:rsid w:val="00A22788"/>
    <w:rsid w:val="00BB1852"/>
    <w:rsid w:val="00BB6CB1"/>
    <w:rsid w:val="00BD3232"/>
    <w:rsid w:val="00BE2C8A"/>
    <w:rsid w:val="00D42ABB"/>
    <w:rsid w:val="00DA39CF"/>
    <w:rsid w:val="00DC380E"/>
    <w:rsid w:val="00E152CE"/>
    <w:rsid w:val="00E346AF"/>
    <w:rsid w:val="00E72BEB"/>
    <w:rsid w:val="00EE7420"/>
    <w:rsid w:val="00F16003"/>
    <w:rsid w:val="00F27C4D"/>
    <w:rsid w:val="00F73B73"/>
    <w:rsid w:val="00F93549"/>
    <w:rsid w:val="00FB38BA"/>
    <w:rsid w:val="00FB39B0"/>
    <w:rsid w:val="00FC0E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37849CE"/>
  <w15:chartTrackingRefBased/>
  <w15:docId w15:val="{4A0F4DB5-17A0-4F68-9945-A554654A0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ro-RO"/>
    </w:rPr>
  </w:style>
  <w:style w:type="paragraph" w:styleId="Heading1">
    <w:name w:val="heading 1"/>
    <w:basedOn w:val="Normal"/>
    <w:next w:val="Text1"/>
    <w:link w:val="Heading1Char"/>
    <w:uiPriority w:val="9"/>
    <w:qFormat/>
    <w:rsid w:val="00245855"/>
    <w:pPr>
      <w:keepNext/>
      <w:numPr>
        <w:numId w:val="35"/>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35"/>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35"/>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35"/>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35"/>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35"/>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35"/>
      </w:numPr>
      <w:tabs>
        <w:tab w:val="left" w:pos="850"/>
      </w:tabs>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940A59"/>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940A59"/>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940A5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40A5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940A5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940A59"/>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940A59"/>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940A59"/>
    <w:rPr>
      <w:rFonts w:ascii="Arial" w:eastAsia="Times New Roman" w:hAnsi="Arial" w:cs="Arial"/>
      <w:b/>
      <w:sz w:val="23"/>
      <w:szCs w:val="20"/>
      <w:u w:color="606060"/>
      <w:lang w:val="ro-RO" w:eastAsia="fr-BE"/>
    </w:rPr>
  </w:style>
  <w:style w:type="paragraph" w:customStyle="1" w:styleId="TBDistrbMarkers">
    <w:name w:val="TBDistrbMarkers"/>
    <w:basedOn w:val="TBEntRefer"/>
    <w:qFormat/>
    <w:rsid w:val="00940A59"/>
    <w:pPr>
      <w:tabs>
        <w:tab w:val="left" w:pos="2262"/>
      </w:tabs>
    </w:pPr>
    <w:rPr>
      <w:i/>
      <w:iCs/>
      <w:szCs w:val="23"/>
    </w:rPr>
  </w:style>
  <w:style w:type="paragraph" w:customStyle="1" w:styleId="TBSubjectTable">
    <w:name w:val="TBSubjectTable"/>
    <w:basedOn w:val="TechnicalBlockBase"/>
    <w:rsid w:val="00940A59"/>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940A59"/>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940A59"/>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940A59"/>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ro-RO" w:eastAsia="fr-BE"/>
    </w:rPr>
  </w:style>
  <w:style w:type="character" w:customStyle="1" w:styleId="TechnicalBlockBaseChar">
    <w:name w:val="TechnicalBlockBase Char"/>
    <w:basedOn w:val="EntInstitChar"/>
    <w:link w:val="TechnicalBlockBase"/>
    <w:rsid w:val="00940A59"/>
    <w:rPr>
      <w:rFonts w:ascii="Arial New Roman" w:eastAsia="Times New Roman" w:hAnsi="Arial New Roman" w:cs="Arial"/>
      <w:b/>
      <w:i/>
      <w:dstrike/>
      <w:color w:val="606060"/>
      <w:w w:val="98"/>
      <w:sz w:val="10"/>
      <w:szCs w:val="20"/>
      <w:u w:val="words" w:color="606060"/>
      <w:lang w:val="ro-RO" w:eastAsia="fr-BE"/>
    </w:rPr>
  </w:style>
  <w:style w:type="paragraph" w:styleId="ListBullet">
    <w:name w:val="List Bullet"/>
    <w:basedOn w:val="Normal"/>
    <w:rsid w:val="00553107"/>
    <w:pPr>
      <w:numPr>
        <w:numId w:val="23"/>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553107"/>
    <w:pPr>
      <w:numPr>
        <w:numId w:val="24"/>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553107"/>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553107"/>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553107"/>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553107"/>
    <w:rPr>
      <w:rFonts w:ascii="Arial" w:eastAsia="Times New Roman" w:hAnsi="Arial" w:cs="Arial"/>
      <w:b/>
      <w:i w:val="0"/>
      <w:dstrike/>
      <w:color w:val="606060"/>
      <w:w w:val="98"/>
      <w:sz w:val="23"/>
      <w:szCs w:val="23"/>
      <w:u w:val="words" w:color="606060"/>
      <w:lang w:val="ro-RO" w:eastAsia="fr-BE"/>
    </w:rPr>
  </w:style>
  <w:style w:type="character" w:customStyle="1" w:styleId="HeaderCouncilLargeChar">
    <w:name w:val="Header Council Large Char"/>
    <w:basedOn w:val="TBNormalTechnicalBlockChar"/>
    <w:link w:val="HeaderCouncilLarge"/>
    <w:rsid w:val="00553107"/>
    <w:rPr>
      <w:rFonts w:ascii="Times New Roman" w:eastAsia="Times New Roman" w:hAnsi="Times New Roman" w:cs="Times New Roman"/>
      <w:b/>
      <w:i w:val="0"/>
      <w:dstrike/>
      <w:color w:val="606060"/>
      <w:w w:val="98"/>
      <w:sz w:val="2"/>
      <w:szCs w:val="20"/>
      <w:u w:val="words" w:color="606060"/>
      <w:lang w:val="ro-RO" w:eastAsia="fr-BE"/>
    </w:rPr>
  </w:style>
  <w:style w:type="paragraph" w:customStyle="1" w:styleId="FooterText">
    <w:name w:val="Footer Text"/>
    <w:basedOn w:val="Normal"/>
    <w:rsid w:val="00553107"/>
    <w:pPr>
      <w:spacing w:before="0" w:after="0" w:line="240" w:lineRule="auto"/>
    </w:pPr>
    <w:rPr>
      <w:rFonts w:eastAsia="Times New Roman"/>
      <w:szCs w:val="24"/>
      <w:lang w:val="en-GB"/>
    </w:rPr>
  </w:style>
  <w:style w:type="character" w:styleId="PlaceholderText">
    <w:name w:val="Placeholder Text"/>
    <w:basedOn w:val="DefaultParagraphFont"/>
    <w:uiPriority w:val="99"/>
    <w:semiHidden/>
    <w:rsid w:val="00553107"/>
    <w:rPr>
      <w:color w:val="808080"/>
    </w:rPr>
  </w:style>
  <w:style w:type="paragraph" w:styleId="Revision">
    <w:name w:val="Revision"/>
    <w:hidden/>
    <w:uiPriority w:val="99"/>
    <w:semiHidden/>
    <w:rsid w:val="008D20AB"/>
    <w:pPr>
      <w:spacing w:after="0" w:line="240" w:lineRule="auto"/>
    </w:pPr>
    <w:rPr>
      <w:rFonts w:ascii="Times New Roman" w:hAnsi="Times New Roman" w:cs="Times New Roman"/>
      <w:sz w:val="24"/>
      <w:lang w:val="ro-RO"/>
    </w:rPr>
  </w:style>
  <w:style w:type="character" w:styleId="Hyperlink">
    <w:name w:val="Hyperlink"/>
    <w:basedOn w:val="DefaultParagraphFont"/>
    <w:uiPriority w:val="99"/>
    <w:unhideWhenUsed/>
    <w:rsid w:val="007A4656"/>
    <w:rPr>
      <w:color w:val="0563C1" w:themeColor="hyperlink"/>
      <w:u w:val="single"/>
    </w:rPr>
  </w:style>
  <w:style w:type="character" w:styleId="UnresolvedMention">
    <w:name w:val="Unresolved Mention"/>
    <w:basedOn w:val="DefaultParagraphFont"/>
    <w:uiPriority w:val="99"/>
    <w:semiHidden/>
    <w:unhideWhenUsed/>
    <w:rsid w:val="007A4656"/>
    <w:rPr>
      <w:color w:val="605E5C"/>
      <w:shd w:val="clear" w:color="auto" w:fill="E1DFDD"/>
    </w:rPr>
  </w:style>
  <w:style w:type="paragraph" w:styleId="Header">
    <w:name w:val="header"/>
    <w:basedOn w:val="Normal"/>
    <w:link w:val="HeaderChar"/>
    <w:uiPriority w:val="99"/>
    <w:semiHidden/>
    <w:unhideWhenUsed/>
    <w:rsid w:val="00245855"/>
    <w:pPr>
      <w:tabs>
        <w:tab w:val="right" w:pos="9638"/>
      </w:tabs>
    </w:pPr>
  </w:style>
  <w:style w:type="character" w:customStyle="1" w:styleId="HeaderChar">
    <w:name w:val="Header Char"/>
    <w:basedOn w:val="DefaultParagraphFont"/>
    <w:link w:val="Header"/>
    <w:uiPriority w:val="99"/>
    <w:semiHidden/>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semiHidden/>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semiHidden/>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semiHidden/>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bdr w:val="none" w:sz="0" w:space="0" w:color="auto"/>
      <w:shd w:val="clear" w:color="auto" w:fill="auto"/>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bdr w:val="none" w:sz="0" w:space="0" w:color="auto"/>
      <w:shd w:val="clear" w:color="auto" w:fill="auto"/>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bdr w:val="none" w:sz="0" w:space="0" w:color="auto"/>
      <w:shd w:val="clear" w:color="auto" w:fill="auto"/>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semiHidden/>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25"/>
      </w:numPr>
    </w:pPr>
  </w:style>
  <w:style w:type="paragraph" w:customStyle="1" w:styleId="Tiret1">
    <w:name w:val="Tiret 1"/>
    <w:basedOn w:val="Normal"/>
    <w:rsid w:val="00245855"/>
    <w:pPr>
      <w:numPr>
        <w:numId w:val="26"/>
      </w:numPr>
    </w:pPr>
  </w:style>
  <w:style w:type="paragraph" w:customStyle="1" w:styleId="Tiret2">
    <w:name w:val="Tiret 2"/>
    <w:basedOn w:val="Normal"/>
    <w:rsid w:val="00245855"/>
    <w:pPr>
      <w:numPr>
        <w:numId w:val="27"/>
      </w:numPr>
    </w:pPr>
  </w:style>
  <w:style w:type="paragraph" w:customStyle="1" w:styleId="Tiret3">
    <w:name w:val="Tiret 3"/>
    <w:basedOn w:val="Normal"/>
    <w:rsid w:val="00245855"/>
    <w:pPr>
      <w:numPr>
        <w:numId w:val="28"/>
      </w:numPr>
    </w:pPr>
  </w:style>
  <w:style w:type="paragraph" w:customStyle="1" w:styleId="Tiret4">
    <w:name w:val="Tiret 4"/>
    <w:basedOn w:val="Normal"/>
    <w:rsid w:val="00245855"/>
    <w:pPr>
      <w:numPr>
        <w:numId w:val="29"/>
      </w:numPr>
    </w:pPr>
  </w:style>
  <w:style w:type="paragraph" w:customStyle="1" w:styleId="Tiret5">
    <w:name w:val="Tiret 5"/>
    <w:basedOn w:val="Normal"/>
    <w:rsid w:val="00245855"/>
    <w:pPr>
      <w:numPr>
        <w:numId w:val="30"/>
      </w:numPr>
    </w:pPr>
  </w:style>
  <w:style w:type="paragraph" w:customStyle="1" w:styleId="Tiret6">
    <w:name w:val="Tiret 6"/>
    <w:basedOn w:val="Normal"/>
    <w:rsid w:val="00245855"/>
    <w:pPr>
      <w:numPr>
        <w:numId w:val="31"/>
      </w:numPr>
    </w:pPr>
  </w:style>
  <w:style w:type="paragraph" w:customStyle="1" w:styleId="Tiret7">
    <w:name w:val="Tiret 7"/>
    <w:basedOn w:val="Normal"/>
    <w:rsid w:val="00245855"/>
    <w:pPr>
      <w:numPr>
        <w:numId w:val="32"/>
      </w:numPr>
    </w:pPr>
  </w:style>
  <w:style w:type="paragraph" w:customStyle="1" w:styleId="Tiret8">
    <w:name w:val="Tiret 8"/>
    <w:basedOn w:val="Normal"/>
    <w:rsid w:val="00245855"/>
    <w:pPr>
      <w:numPr>
        <w:numId w:val="33"/>
      </w:numPr>
    </w:pPr>
  </w:style>
  <w:style w:type="paragraph" w:customStyle="1" w:styleId="NumPar1">
    <w:name w:val="NumPar 1"/>
    <w:basedOn w:val="Normal"/>
    <w:next w:val="Text1"/>
    <w:rsid w:val="00245855"/>
    <w:pPr>
      <w:numPr>
        <w:numId w:val="34"/>
      </w:numPr>
      <w:tabs>
        <w:tab w:val="left" w:pos="850"/>
      </w:tabs>
    </w:pPr>
  </w:style>
  <w:style w:type="paragraph" w:customStyle="1" w:styleId="NumPar2">
    <w:name w:val="NumPar 2"/>
    <w:basedOn w:val="Normal"/>
    <w:next w:val="Text1"/>
    <w:rsid w:val="00245855"/>
    <w:pPr>
      <w:numPr>
        <w:ilvl w:val="1"/>
        <w:numId w:val="34"/>
      </w:numPr>
      <w:tabs>
        <w:tab w:val="left" w:pos="850"/>
      </w:tabs>
    </w:pPr>
  </w:style>
  <w:style w:type="paragraph" w:customStyle="1" w:styleId="NumPar3">
    <w:name w:val="NumPar 3"/>
    <w:basedOn w:val="Normal"/>
    <w:next w:val="Text1"/>
    <w:rsid w:val="00245855"/>
    <w:pPr>
      <w:numPr>
        <w:ilvl w:val="2"/>
        <w:numId w:val="34"/>
      </w:numPr>
      <w:tabs>
        <w:tab w:val="left" w:pos="850"/>
      </w:tabs>
    </w:pPr>
  </w:style>
  <w:style w:type="paragraph" w:customStyle="1" w:styleId="NumPar4">
    <w:name w:val="NumPar 4"/>
    <w:basedOn w:val="Normal"/>
    <w:next w:val="Text1"/>
    <w:rsid w:val="00245855"/>
    <w:pPr>
      <w:numPr>
        <w:ilvl w:val="3"/>
        <w:numId w:val="34"/>
      </w:numPr>
      <w:tabs>
        <w:tab w:val="left" w:pos="850"/>
      </w:tabs>
    </w:pPr>
  </w:style>
  <w:style w:type="paragraph" w:customStyle="1" w:styleId="NumPar5">
    <w:name w:val="NumPar 5"/>
    <w:basedOn w:val="Normal"/>
    <w:next w:val="Text2"/>
    <w:rsid w:val="00245855"/>
    <w:pPr>
      <w:numPr>
        <w:ilvl w:val="4"/>
        <w:numId w:val="34"/>
      </w:numPr>
      <w:tabs>
        <w:tab w:val="left" w:pos="1417"/>
      </w:tabs>
    </w:pPr>
  </w:style>
  <w:style w:type="paragraph" w:customStyle="1" w:styleId="NumPar6">
    <w:name w:val="NumPar 6"/>
    <w:basedOn w:val="Normal"/>
    <w:next w:val="Text2"/>
    <w:rsid w:val="00245855"/>
    <w:pPr>
      <w:numPr>
        <w:ilvl w:val="5"/>
        <w:numId w:val="34"/>
      </w:numPr>
      <w:tabs>
        <w:tab w:val="left" w:pos="1417"/>
      </w:tabs>
    </w:pPr>
  </w:style>
  <w:style w:type="paragraph" w:customStyle="1" w:styleId="NumPar7">
    <w:name w:val="NumPar 7"/>
    <w:basedOn w:val="Normal"/>
    <w:next w:val="Text2"/>
    <w:rsid w:val="00245855"/>
    <w:pPr>
      <w:numPr>
        <w:ilvl w:val="6"/>
        <w:numId w:val="34"/>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36"/>
      </w:numPr>
    </w:pPr>
  </w:style>
  <w:style w:type="paragraph" w:customStyle="1" w:styleId="Point1number">
    <w:name w:val="Point 1 (number)"/>
    <w:basedOn w:val="Normal"/>
    <w:rsid w:val="00245855"/>
    <w:pPr>
      <w:numPr>
        <w:ilvl w:val="2"/>
        <w:numId w:val="36"/>
      </w:numPr>
    </w:pPr>
  </w:style>
  <w:style w:type="paragraph" w:customStyle="1" w:styleId="Point2number">
    <w:name w:val="Point 2 (number)"/>
    <w:basedOn w:val="Normal"/>
    <w:rsid w:val="00245855"/>
    <w:pPr>
      <w:numPr>
        <w:ilvl w:val="4"/>
        <w:numId w:val="36"/>
      </w:numPr>
    </w:pPr>
  </w:style>
  <w:style w:type="paragraph" w:customStyle="1" w:styleId="Point3number">
    <w:name w:val="Point 3 (number)"/>
    <w:basedOn w:val="Normal"/>
    <w:rsid w:val="00245855"/>
    <w:pPr>
      <w:numPr>
        <w:ilvl w:val="6"/>
        <w:numId w:val="36"/>
      </w:numPr>
    </w:pPr>
  </w:style>
  <w:style w:type="paragraph" w:customStyle="1" w:styleId="Point0letter">
    <w:name w:val="Point 0 (letter)"/>
    <w:basedOn w:val="Normal"/>
    <w:rsid w:val="00245855"/>
    <w:pPr>
      <w:numPr>
        <w:ilvl w:val="1"/>
        <w:numId w:val="36"/>
      </w:numPr>
    </w:pPr>
  </w:style>
  <w:style w:type="paragraph" w:customStyle="1" w:styleId="Point1letter">
    <w:name w:val="Point 1 (letter)"/>
    <w:basedOn w:val="Normal"/>
    <w:rsid w:val="00245855"/>
    <w:pPr>
      <w:numPr>
        <w:ilvl w:val="3"/>
        <w:numId w:val="36"/>
      </w:numPr>
    </w:pPr>
  </w:style>
  <w:style w:type="paragraph" w:customStyle="1" w:styleId="Point2letter">
    <w:name w:val="Point 2 (letter)"/>
    <w:basedOn w:val="Normal"/>
    <w:rsid w:val="00245855"/>
    <w:pPr>
      <w:numPr>
        <w:ilvl w:val="5"/>
        <w:numId w:val="36"/>
      </w:numPr>
    </w:pPr>
  </w:style>
  <w:style w:type="paragraph" w:customStyle="1" w:styleId="Point3letter">
    <w:name w:val="Point 3 (letter)"/>
    <w:basedOn w:val="Normal"/>
    <w:rsid w:val="00245855"/>
    <w:pPr>
      <w:numPr>
        <w:ilvl w:val="7"/>
        <w:numId w:val="36"/>
      </w:numPr>
    </w:pPr>
  </w:style>
  <w:style w:type="paragraph" w:customStyle="1" w:styleId="Point4letter">
    <w:name w:val="Point 4 (letter)"/>
    <w:basedOn w:val="Normal"/>
    <w:rsid w:val="00245855"/>
    <w:pPr>
      <w:numPr>
        <w:ilvl w:val="8"/>
        <w:numId w:val="36"/>
      </w:numPr>
    </w:pPr>
  </w:style>
  <w:style w:type="paragraph" w:customStyle="1" w:styleId="Bullet0">
    <w:name w:val="Bullet 0"/>
    <w:basedOn w:val="Normal"/>
    <w:rsid w:val="00245855"/>
    <w:pPr>
      <w:numPr>
        <w:numId w:val="37"/>
      </w:numPr>
    </w:pPr>
  </w:style>
  <w:style w:type="paragraph" w:customStyle="1" w:styleId="Bullet1">
    <w:name w:val="Bullet 1"/>
    <w:basedOn w:val="Normal"/>
    <w:rsid w:val="00245855"/>
    <w:pPr>
      <w:numPr>
        <w:numId w:val="38"/>
      </w:numPr>
    </w:pPr>
  </w:style>
  <w:style w:type="paragraph" w:customStyle="1" w:styleId="Bullet2">
    <w:name w:val="Bullet 2"/>
    <w:basedOn w:val="Normal"/>
    <w:rsid w:val="00245855"/>
    <w:pPr>
      <w:numPr>
        <w:numId w:val="39"/>
      </w:numPr>
    </w:pPr>
  </w:style>
  <w:style w:type="paragraph" w:customStyle="1" w:styleId="Bullet3">
    <w:name w:val="Bullet 3"/>
    <w:basedOn w:val="Normal"/>
    <w:rsid w:val="00245855"/>
    <w:pPr>
      <w:numPr>
        <w:numId w:val="40"/>
      </w:numPr>
    </w:pPr>
  </w:style>
  <w:style w:type="paragraph" w:customStyle="1" w:styleId="Bullet4">
    <w:name w:val="Bullet 4"/>
    <w:basedOn w:val="Normal"/>
    <w:rsid w:val="00245855"/>
    <w:pPr>
      <w:numPr>
        <w:numId w:val="41"/>
      </w:numPr>
    </w:pPr>
  </w:style>
  <w:style w:type="paragraph" w:customStyle="1" w:styleId="Bullet5">
    <w:name w:val="Bullet 5"/>
    <w:basedOn w:val="Normal"/>
    <w:rsid w:val="00245855"/>
    <w:pPr>
      <w:numPr>
        <w:numId w:val="42"/>
      </w:numPr>
    </w:pPr>
  </w:style>
  <w:style w:type="paragraph" w:customStyle="1" w:styleId="Bullet6">
    <w:name w:val="Bullet 6"/>
    <w:basedOn w:val="Normal"/>
    <w:rsid w:val="00245855"/>
    <w:pPr>
      <w:numPr>
        <w:numId w:val="43"/>
      </w:numPr>
    </w:pPr>
  </w:style>
  <w:style w:type="paragraph" w:customStyle="1" w:styleId="Bullet7">
    <w:name w:val="Bullet 7"/>
    <w:basedOn w:val="Normal"/>
    <w:rsid w:val="00245855"/>
    <w:pPr>
      <w:numPr>
        <w:numId w:val="44"/>
      </w:numPr>
    </w:pPr>
  </w:style>
  <w:style w:type="paragraph" w:customStyle="1" w:styleId="Bullet8">
    <w:name w:val="Bullet 8"/>
    <w:basedOn w:val="Normal"/>
    <w:rsid w:val="00245855"/>
    <w:pPr>
      <w:numPr>
        <w:numId w:val="45"/>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46"/>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3/1322/oj" TargetMode="External"/><Relationship Id="rId1" Type="http://schemas.openxmlformats.org/officeDocument/2006/relationships/hyperlink" Target="http://data.europa.eu/eli/dec_framw/2004/75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2.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4.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DW_LEGACTS.dotm</Template>
  <TotalTime>4</TotalTime>
  <Pages>9</Pages>
  <Words>1554</Words>
  <Characters>8413</Characters>
  <Application>Microsoft Office Word</Application>
  <DocSecurity>0</DocSecurity>
  <Lines>186</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Amalia</dc:creator>
  <cp:keywords/>
  <dc:description/>
  <cp:lastModifiedBy>NEGOITA Amalia</cp:lastModifiedBy>
  <cp:revision>7</cp:revision>
  <dcterms:created xsi:type="dcterms:W3CDTF">2026-02-20T10:18:00Z</dcterms:created>
  <dcterms:modified xsi:type="dcterms:W3CDTF">2026-02-20T10:23:00Z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4.13.1, Build 20250723</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2026-02-20T10:19:12Z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