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jpeg"/>
  <Override PartName="/media/image4.bin" ContentType="image/jpeg"/>
  <Override PartName="/media/image5.bin" ContentType="image/jpe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4b491918660c4988" /><Relationship Type="http://schemas.openxmlformats.org/package/2006/relationships/metadata/core-properties" Target="/docProps/core.xml" Id="Re5946a73e9914f15" /><Relationship Type="http://schemas.openxmlformats.org/officeDocument/2006/relationships/extended-properties" Target="/docProps/app.xml" Id="Rf7ad71d93b44443d" /><Relationship Type="http://schemas.openxmlformats.org/officeDocument/2006/relationships/custom-properties" Target="/docProps/custom.xml" Id="Rd27c809a5e6f45c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00e7c374bd3a42de"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13 February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cs</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6360</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POLCOM 56	ENER 73</w:t>
                </w:r>
              </w:p>
              <w:p>
                <w:pPr>
                  <w:pStyle w:val="TBEntRefer"/>
                  <w:tabs>
                    <w:tab w:val="left" w:pos="2265"/>
                  </w:tabs>
                </w:pPr>
                <w:r>
                  <w:t xml:space="preserve">COMPET 188	CODEC 234</w:t>
                </w:r>
              </w:p>
              <w:p>
                <w:pPr>
                  <w:pStyle w:val="TBEntRefer"/>
                  <w:tabs>
                    <w:tab w:val="left" w:pos="2265"/>
                  </w:tabs>
                </w:pPr>
                <w:r>
                  <w:t xml:space="preserve">IND 115	ENV 129</w:t>
                </w:r>
              </w:p>
              <w:p>
                <w:pPr>
                  <w:pStyle w:val="TBEntRefer"/>
                  <w:tabs>
                    <w:tab w:val="left" w:pos="2265"/>
                  </w:tabs>
                </w:pPr>
                <w:r>
                  <w:t xml:space="preserve">MI 126	INDEF 56</w:t>
                </w:r>
              </w:p>
              <w:p>
                <w:pPr>
                  <w:pStyle w:val="TBEntRefer"/>
                  <w:tabs>
                    <w:tab w:val="left" w:pos="2265"/>
                  </w:tabs>
                </w:pPr>
                <w:r>
                  <w:t xml:space="preserve">WTO 22	CYBER 60</w:t>
                </w:r>
              </w:p>
              <w:p>
                <w:pPr>
                  <w:pStyle w:val="TBEntRefer"/>
                  <w:tabs>
                    <w:tab w:val="left" w:pos="2265"/>
                  </w:tabs>
                </w:pPr>
                <w:r>
                  <w:t xml:space="preserve">RELEX 219	PROCIV 25</w:t>
                </w:r>
              </w:p>
              <w:p>
                <w:pPr>
                  <w:pStyle w:val="TBEntRefer"/>
                  <w:tabs>
                    <w:tab w:val="left" w:pos="2265"/>
                  </w:tabs>
                </w:pPr>
                <w:r>
                  <w:t xml:space="preserve">RECH 65	MAP 54</w:t>
                </w:r>
              </w:p>
              <w:p>
                <w:pPr>
                  <w:pStyle w:val="TBEntRefer"/>
                  <w:tabs>
                    <w:tab w:val="left" w:pos="2265"/>
                  </w:tabs>
                </w:pPr>
                <w:r>
                  <w:t xml:space="preserve">FDI 5	RC 3</w:t>
                </w:r>
              </w:p>
              <w:p>
                <w:pPr>
                  <w:pStyle w:val="TBEntRefer"/>
                  <w:tabs>
                    <w:tab w:val="left" w:pos="2265"/>
                  </w:tabs>
                </w:pPr>
                <w:r>
                  <w:t xml:space="preserve">COMER 27	INST 47</w:t>
                </w:r>
              </w:p>
              <w:p>
                <w:pPr>
                  <w:pStyle w:val="TBEntRefer"/>
                  <w:tabs>
                    <w:tab w:val="left" w:pos="2265"/>
                  </w:tabs>
                </w:pPr>
                <w:r>
                  <w:t xml:space="preserve">TELECOM 66	PARLNAT 14</w:t>
                </w:r>
              </w:p>
              <w:p>
                <w:pPr>
                  <w:pStyle w:val="TBEntRefer"/>
                  <w:tabs>
                    <w:tab w:val="left" w:pos="2265"/>
                  </w:tabs>
                </w:pPr>
                <w:r>
                  <w:t xml:space="preserve">DUAL USE 11</w:t>
                </w:r>
              </w:p>
            </w:tc>
          </w:tr>
          <w:tr w:rsidRPr="006720F9" w:rsidR="003558E4" w:rsidTr="00524601" w14:paraId="1D7B6A6F" w14:textId="77777777">
            <w:trPr>
              <w:gridBefore w:val="1"/>
              <w:wBefore w:w="850" w:type="dxa"/>
              <w:cantSplit/>
              <w:trHeight w:val="837"/>
            </w:trPr>
            <w:tc>
              <w:tcPr>
                <w:tcW w:w="3832" w:type="dxa"/>
                <w:gridSpan w:val="2"/>
                <w:vAlign w:val="center"/>
              </w:tcPr>
              <w:p w:rsidRPr="002E211F" w:rsidR="003558E4" w:rsidP="00524601" w:rsidRDefault="00000000" w14:paraId="1F124A88" w14:textId="77777777">
                <w:pPr>
                  <w:pStyle w:val="TBEntReferNew"/>
                </w:pP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Senate of the Parliament of the Czech Republic</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13 February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General Secretariat of the Council</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amending Regulation (EU) 2024/1252</w:t>
                </w:r>
              </w:p>
              <w:p>
                <w:pPr>
                  <w:pStyle w:val="TBSubjectText"/>
                </w:pPr>
                <w:r>
                  <w:t xml:space="preserve">[doc. 16460/25 - COM(2025)946]</w:t>
                </w:r>
              </w:p>
              <w:p>
                <w:pPr>
                  <w:pStyle w:val="TBSubjectText"/>
                </w:pPr>
                <w:r>
                  <w:t xml:space="preserve">COMMUNICATION FROM THE COMMISSION TO THE EUROPEAN PARLIAMENT, THE COUNCIL, THE EUROPEAN ECONOMIC AND SOCIAL COMMITTEE AND THE COMMITTEE OF THE REGIONS RESourceEU Action Plan Accelerating our critical raw materials strategy to adapt to a new reality</w:t>
                </w:r>
              </w:p>
              <w:p>
                <w:pPr>
                  <w:pStyle w:val="TBSubjectText"/>
                </w:pPr>
                <w:r>
                  <w:t xml:space="preserve">[doc. 16330/25 - COM(2025)945]</w:t>
                </w:r>
              </w:p>
              <w:p>
                <w:pPr>
                  <w:pStyle w:val="TBSubjectText"/>
                </w:pPr>
                <w:r/>
                <w:r>
                  <w:t xml:space="preserve"> </w:t>
                </w:r>
                <w:r>
                  <w:t xml:space="preserve">JOINT COMMUNICATION TO THE EUROPEAN PARLIAMENT AND THE COUNCIL Strengthening EU economic security</w:t>
                </w:r>
              </w:p>
              <w:p>
                <w:pPr>
                  <w:pStyle w:val="TBSubjectText"/>
                </w:pPr>
                <w:r>
                  <w:t xml:space="preserve">[doc. 16389/25 - JOIN(2025)977]</w:t>
                </w:r>
              </w:p>
              <w:p>
                <w:pPr>
                  <w:pStyle w:val="TBSubjectText"/>
                </w:pPr>
                <w:r>
                  <w:t xml:space="preserve">- Opinion on the application of the Principles of Subsidiarity and </w:t>
                </w:r>
                <w:r>
                  <w:t xml:space="preserve"> </w:t>
                </w:r>
                <w:r>
                  <w:t xml:space="preserve">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7A7DC8" w:rsidP="00DB71C8" w:rsidRDefault="007A7DC8" w14:paraId="475BDD75" w14:textId="6FE51779">
      <w:pPr>
        <w:rPr>
          <w:szCs w:val="24"/>
        </w:rPr>
      </w:pPr>
      <w:r w:rsidRPr="00F47680">
        <w:rPr>
          <w:szCs w:val="24"/>
        </w:rPr>
        <w:t>Delegations will find attached the opinion</w:t>
      </w:r>
      <w:r w:rsidRPr="00F47680">
        <w:rPr>
          <w:rStyle w:val="FootnoteReference"/>
          <w:szCs w:val="24"/>
        </w:rPr>
        <w:footnoteReference w:id="2"/>
      </w:r>
      <w:r w:rsidRPr="00F47680">
        <w:rPr>
          <w:szCs w:val="24"/>
        </w:rPr>
        <w:t xml:space="preserve"> of the Senate of the Parliament of the Czech Republic</w:t>
      </w:r>
      <w:r>
        <w:rPr>
          <w:szCs w:val="24"/>
        </w:rPr>
        <w:t xml:space="preserve"> on the above</w:t>
      </w:r>
      <w:r w:rsidRPr="00F47680">
        <w:rPr>
          <w:szCs w:val="24"/>
        </w:rPr>
        <w:t>, followed by a courtesy English translation.</w:t>
      </w:r>
    </w:p>
    <w:p w:rsidR="007A7DC8" w:rsidRDefault="007A7DC8" w14:paraId="42C27ECF" w14:textId="77777777">
      <w:pPr>
        <w:spacing w:after="160" w:line="259" w:lineRule="auto"/>
        <w:rPr>
          <w:szCs w:val="24"/>
        </w:rPr>
      </w:pPr>
      <w:r>
        <w:rPr>
          <w:szCs w:val="24"/>
        </w:rPr>
        <w:br w:type="page"/>
      </w:r>
    </w:p>
    <w:p w:rsidR="007A7DC8" w:rsidRDefault="007A7DC8" w14:paraId="475BDD78" w14:textId="399F6725">
      <w:pPr>
        <w:spacing w:after="160" w:line="259" w:lineRule="auto"/>
        <w:rPr>
          <w:b/>
        </w:rPr>
      </w:pPr>
      <w:r>
        <w:rPr>
          <w:noProof/>
        </w:rPr>
        <w:lastRenderedPageBreak/>
        <w:drawing>
          <wp:inline distT="0" distB="0" distL="0" distR="0" wp14:anchorId="475BDD7D" wp14:editId="475BDD7E">
            <wp:extent cx="6120765" cy="8649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e7220f99cd8f44f2" cstate="print">
                      <a:extLst>
                        <a:ext uri="{28A0092B-C50C-407E-A947-70E740481C1C}">
                          <a14:useLocalDpi xmlns:a14="http://schemas.microsoft.com/office/drawing/2010/main" val="0"/>
                        </a:ext>
                      </a:extLst>
                    </a:blip>
                    <a:srcRect/>
                    <a:stretch>
                      <a:fillRect/>
                    </a:stretch>
                  </pic:blipFill>
                  <pic:spPr bwMode="auto">
                    <a:xfrm>
                      <a:off x="0" y="0"/>
                      <a:ext cx="6120765" cy="8649970"/>
                    </a:xfrm>
                    <a:prstGeom prst="rect">
                      <a:avLst/>
                    </a:prstGeom>
                    <a:noFill/>
                    <a:ln>
                      <a:noFill/>
                    </a:ln>
                  </pic:spPr>
                </pic:pic>
              </a:graphicData>
            </a:graphic>
          </wp:inline>
        </w:drawing>
      </w:r>
      <w:r>
        <w:rPr>
          <w:noProof/>
        </w:rPr>
        <w:lastRenderedPageBreak/>
        <w:drawing>
          <wp:inline distT="0" distB="0" distL="0" distR="0" wp14:anchorId="475BDD7F" wp14:editId="5A8F2202">
            <wp:extent cx="6120765" cy="864997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c9d70dc4733041d1" cstate="print">
                      <a:extLst>
                        <a:ext uri="{28A0092B-C50C-407E-A947-70E740481C1C}">
                          <a14:useLocalDpi xmlns:a14="http://schemas.microsoft.com/office/drawing/2010/main" val="0"/>
                        </a:ext>
                      </a:extLst>
                    </a:blip>
                    <a:srcRect/>
                    <a:stretch>
                      <a:fillRect/>
                    </a:stretch>
                  </pic:blipFill>
                  <pic:spPr bwMode="auto">
                    <a:xfrm>
                      <a:off x="0" y="0"/>
                      <a:ext cx="6120765" cy="8649970"/>
                    </a:xfrm>
                    <a:prstGeom prst="rect">
                      <a:avLst/>
                    </a:prstGeom>
                    <a:noFill/>
                    <a:ln>
                      <a:noFill/>
                    </a:ln>
                  </pic:spPr>
                </pic:pic>
              </a:graphicData>
            </a:graphic>
          </wp:inline>
        </w:drawing>
      </w:r>
    </w:p>
    <w:p w:rsidR="007A7DC8" w:rsidRDefault="007A7DC8" w14:paraId="475BDD79" w14:textId="77777777">
      <w:pPr>
        <w:spacing w:after="160" w:line="259" w:lineRule="auto"/>
        <w:rPr>
          <w:b/>
        </w:rPr>
      </w:pPr>
      <w:r>
        <w:rPr>
          <w:b/>
        </w:rPr>
        <w:br w:type="page"/>
      </w:r>
    </w:p>
    <w:p w:rsidR="007A7DC8" w:rsidRDefault="007A7DC8" w14:paraId="475BDD7A" w14:textId="77777777">
      <w:pPr>
        <w:spacing w:after="160" w:line="259" w:lineRule="auto"/>
        <w:rPr>
          <w:b/>
        </w:rPr>
      </w:pPr>
      <w:r>
        <w:rPr>
          <w:noProof/>
        </w:rPr>
        <w:lastRenderedPageBreak/>
        <w:drawing>
          <wp:inline distT="0" distB="0" distL="0" distR="0" wp14:anchorId="475BDD81" wp14:editId="475BDD82">
            <wp:extent cx="6120765" cy="86499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bcd06eabfae3475a" cstate="print">
                      <a:extLst>
                        <a:ext uri="{28A0092B-C50C-407E-A947-70E740481C1C}">
                          <a14:useLocalDpi xmlns:a14="http://schemas.microsoft.com/office/drawing/2010/main" val="0"/>
                        </a:ext>
                      </a:extLst>
                    </a:blip>
                    <a:srcRect/>
                    <a:stretch>
                      <a:fillRect/>
                    </a:stretch>
                  </pic:blipFill>
                  <pic:spPr bwMode="auto">
                    <a:xfrm>
                      <a:off x="0" y="0"/>
                      <a:ext cx="6120765" cy="8649970"/>
                    </a:xfrm>
                    <a:prstGeom prst="rect">
                      <a:avLst/>
                    </a:prstGeom>
                    <a:noFill/>
                    <a:ln>
                      <a:noFill/>
                    </a:ln>
                  </pic:spPr>
                </pic:pic>
              </a:graphicData>
            </a:graphic>
          </wp:inline>
        </w:drawing>
      </w:r>
      <w:r>
        <w:rPr>
          <w:noProof/>
        </w:rPr>
        <w:lastRenderedPageBreak/>
        <w:drawing>
          <wp:inline distT="0" distB="0" distL="0" distR="0" wp14:anchorId="475BDD83" wp14:editId="1B9C69AF">
            <wp:extent cx="6120765" cy="864997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d4cbff5c909c4fce" cstate="print">
                      <a:extLst>
                        <a:ext uri="{28A0092B-C50C-407E-A947-70E740481C1C}">
                          <a14:useLocalDpi xmlns:a14="http://schemas.microsoft.com/office/drawing/2010/main" val="0"/>
                        </a:ext>
                      </a:extLst>
                    </a:blip>
                    <a:srcRect/>
                    <a:stretch>
                      <a:fillRect/>
                    </a:stretch>
                  </pic:blipFill>
                  <pic:spPr bwMode="auto">
                    <a:xfrm>
                      <a:off x="0" y="0"/>
                      <a:ext cx="6120765" cy="8649970"/>
                    </a:xfrm>
                    <a:prstGeom prst="rect">
                      <a:avLst/>
                    </a:prstGeom>
                    <a:noFill/>
                    <a:ln>
                      <a:noFill/>
                    </a:ln>
                  </pic:spPr>
                </pic:pic>
              </a:graphicData>
            </a:graphic>
          </wp:inline>
        </w:drawing>
      </w:r>
    </w:p>
    <w:sectPr w:rsidR="00DB71C8" w:rsidSect="00B47D14">
      <w:headerReference w:type="even" r:id="Rc36afd8d8c6b4472"/>
      <w:headerReference w:type="default" r:id="R6de83a1f8995406b"/>
      <w:footerReference w:type="even" r:id="R801876af92f04560"/>
      <w:footerReference w:type="default" r:id="Reaa0786560df41da"/>
      <w:headerReference w:type="first" r:id="R6a0dc28f90634832"/>
      <w:footerReference w:type="first" r:id="R83d98c43acd94afd"/>
      <w:pgSz w:w="11907" w:h="16840" w:code="9"/>
      <w:pgMar w:top="624" w:right="1134" w:bottom="1134" w:left="1134" w:header="567" w:footer="567" w:gutter="0"/>
      <w:pgNumType w:start="0"/>
      <w:cols w:space="708"/>
      <w:titlePg/>
      <w:docGrid w:linePitch="360"/>
      <w:pgSz w:w="11907" w:h="16840" w:code="9"/>
      <w:pgSz w:w="11907" w:h="16840" w:code="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6360</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COMPET.3</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6360</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COMPET.3</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475BDD8C" w14:textId="77777777">
      <w:trPr>
        <w:jc w:val="center"/>
      </w:trPr>
      <w:tc>
        <w:tcPr>
          <w:tcW w:w="5000" w:type="pct"/>
          <w:gridSpan w:val="7"/>
          <w:shd w:val="clear" w:color="auto" w:fill="auto"/>
          <w:tcMar>
            <w:top w:w="57" w:type="dxa"/>
          </w:tcMar>
        </w:tcPr>
        <w:p w:rsidRPr="00D94637" w:rsidR="007A7DC8" w:rsidP="00D94637" w:rsidRDefault="007A7DC8" w14:paraId="475BDD8B" w14:textId="77777777">
          <w:pPr>
            <w:pStyle w:val="FooterText"/>
            <w:pBdr>
              <w:top w:val="single" w:color="auto" w:sz="4" w:space="1"/>
            </w:pBdr>
            <w:spacing w:before="200"/>
            <w:rPr>
              <w:sz w:val="2"/>
              <w:szCs w:val="2"/>
            </w:rPr>
          </w:pPr>
        </w:p>
      </w:tc>
    </w:tr>
    <w:tr w:rsidRPr="00B310DC" w:rsidR="004F54B2" w:rsidTr="00842D7E" w14:paraId="475BDD91" w14:textId="77777777">
      <w:trPr>
        <w:jc w:val="center"/>
      </w:trPr>
      <w:tc>
        <w:tcPr>
          <w:tcW w:w="2500" w:type="pct"/>
          <w:gridSpan w:val="2"/>
          <w:shd w:val="clear" w:color="auto" w:fill="auto"/>
          <w:tcMar>
            <w:top w:w="0" w:type="dxa"/>
          </w:tcMar>
        </w:tcPr>
        <w:p w:rsidRPr="00AD7BF2" w:rsidR="007A7DC8" w:rsidP="004F54B2" w:rsidRDefault="007A7DC8" w14:paraId="475BDD8D" w14:textId="77777777">
          <w:pPr>
            <w:pStyle w:val="FooterText"/>
          </w:pPr>
          <w:r>
            <w:t>6360/26</w:t>
          </w:r>
          <w:r w:rsidRPr="002511D8">
            <w:t xml:space="preserve"> </w:t>
          </w:r>
        </w:p>
      </w:tc>
      <w:tc>
        <w:tcPr>
          <w:tcW w:w="625" w:type="pct"/>
          <w:shd w:val="clear" w:color="auto" w:fill="auto"/>
          <w:tcMar>
            <w:top w:w="0" w:type="dxa"/>
          </w:tcMar>
        </w:tcPr>
        <w:p w:rsidRPr="00AD7BF2" w:rsidR="007A7DC8" w:rsidP="00D94637" w:rsidRDefault="007A7DC8" w14:paraId="475BDD8E" w14:textId="77777777">
          <w:pPr>
            <w:pStyle w:val="FooterText"/>
            <w:jc w:val="center"/>
          </w:pPr>
        </w:p>
      </w:tc>
      <w:tc>
        <w:tcPr>
          <w:tcW w:w="1286" w:type="pct"/>
          <w:gridSpan w:val="3"/>
          <w:shd w:val="clear" w:color="auto" w:fill="auto"/>
          <w:tcMar>
            <w:top w:w="0" w:type="dxa"/>
          </w:tcMar>
        </w:tcPr>
        <w:p w:rsidRPr="002511D8" w:rsidR="007A7DC8" w:rsidP="00D94637" w:rsidRDefault="007A7DC8" w14:paraId="475BDD8F" w14:textId="77777777">
          <w:pPr>
            <w:pStyle w:val="FooterText"/>
            <w:jc w:val="center"/>
          </w:pPr>
        </w:p>
      </w:tc>
      <w:tc>
        <w:tcPr>
          <w:tcW w:w="589" w:type="pct"/>
          <w:shd w:val="clear" w:color="auto" w:fill="auto"/>
          <w:tcMar>
            <w:top w:w="0" w:type="dxa"/>
          </w:tcMar>
        </w:tcPr>
        <w:p w:rsidRPr="00B310DC" w:rsidR="007A7DC8" w:rsidP="00D94637" w:rsidRDefault="007A7DC8" w14:paraId="475BDD90"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475BDD96" w14:textId="77777777">
      <w:trPr>
        <w:jc w:val="center"/>
      </w:trPr>
      <w:tc>
        <w:tcPr>
          <w:tcW w:w="1774" w:type="pct"/>
          <w:shd w:val="clear" w:color="auto" w:fill="auto"/>
        </w:tcPr>
        <w:p w:rsidRPr="00AD7BF2" w:rsidR="007A7DC8" w:rsidP="00D94637" w:rsidRDefault="007A7DC8" w14:paraId="475BDD92" w14:textId="77777777">
          <w:pPr>
            <w:pStyle w:val="FooterText"/>
            <w:spacing w:before="40"/>
          </w:pPr>
        </w:p>
      </w:tc>
      <w:tc>
        <w:tcPr>
          <w:tcW w:w="1455" w:type="pct"/>
          <w:gridSpan w:val="3"/>
          <w:shd w:val="clear" w:color="auto" w:fill="auto"/>
        </w:tcPr>
        <w:p w:rsidRPr="00AD7BF2" w:rsidR="007A7DC8" w:rsidP="00D204D6" w:rsidRDefault="007A7DC8" w14:paraId="475BDD93" w14:textId="77777777">
          <w:pPr>
            <w:pStyle w:val="FooterText"/>
            <w:spacing w:before="40"/>
            <w:jc w:val="center"/>
          </w:pPr>
          <w:r>
            <w:t>COMPET.3</w:t>
          </w:r>
        </w:p>
      </w:tc>
      <w:tc>
        <w:tcPr>
          <w:tcW w:w="742" w:type="pct"/>
          <w:shd w:val="clear" w:color="auto" w:fill="auto"/>
        </w:tcPr>
        <w:p w:rsidRPr="00D94637" w:rsidR="007A7DC8" w:rsidP="002F0099" w:rsidRDefault="007A7DC8" w14:paraId="475BDD94" w14:textId="77777777">
          <w:pPr>
            <w:pStyle w:val="FooterText"/>
            <w:jc w:val="center"/>
            <w:rPr>
              <w:b/>
              <w:position w:val="-4"/>
              <w:sz w:val="36"/>
            </w:rPr>
          </w:pPr>
        </w:p>
      </w:tc>
      <w:tc>
        <w:tcPr>
          <w:tcW w:w="1029" w:type="pct"/>
          <w:gridSpan w:val="2"/>
          <w:shd w:val="clear" w:color="auto" w:fill="auto"/>
        </w:tcPr>
        <w:p w:rsidRPr="00695BAF" w:rsidR="007A7DC8" w:rsidP="00D94637" w:rsidRDefault="007A7DC8" w14:paraId="475BDD95" w14:textId="77777777">
          <w:pPr>
            <w:pStyle w:val="FooterText"/>
            <w:jc w:val="right"/>
            <w:rPr>
              <w:caps/>
              <w:spacing w:val="-20"/>
              <w:sz w:val="16"/>
            </w:rPr>
          </w:pPr>
          <w:r>
            <w:rPr>
              <w:b/>
              <w:caps/>
              <w:spacing w:val="-20"/>
              <w:position w:val="-4"/>
              <w:sz w:val="36"/>
            </w:rPr>
            <w:t>EN‌/CS</w:t>
          </w:r>
        </w:p>
      </w:tc>
    </w:tr>
  </w:tbl>
  <w:p w:rsidR="007A7DC8" w:rsidRDefault="007A7DC8" w14:paraId="475BDD97"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6360</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COMPET.3</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6360</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COMPET.3</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DC8" w:rsidP="005037DB" w:rsidRDefault="007A7DC8" w14:paraId="475BDD85" w14:textId="77777777">
      <w:pPr>
        <w:spacing w:line="240" w:lineRule="auto"/>
      </w:pPr>
      <w:r>
        <w:separator/>
      </w:r>
    </w:p>
  </w:footnote>
  <w:footnote w:type="continuationSeparator" w:id="0">
    <w:p w:rsidR="007A7DC8" w:rsidP="005037DB" w:rsidRDefault="007A7DC8" w14:paraId="475BDD86" w14:textId="77777777">
      <w:pPr>
        <w:spacing w:line="240" w:lineRule="auto"/>
      </w:pPr>
      <w:r>
        <w:continuationSeparator/>
      </w:r>
    </w:p>
  </w:footnote>
  <w:footnote w:id="2">
    <w:p w:rsidRPr="00735F38" w:rsidR="007A7DC8" w:rsidP="00DB71C8" w:rsidRDefault="007A7DC8" w14:paraId="475BDDB3" w14:textId="77777777">
      <w:pPr>
        <w:pStyle w:val="FootnoteText"/>
        <w:rPr>
          <w:sz w:val="24"/>
          <w:szCs w:val="24"/>
          <w:lang w:val="hr-HR"/>
        </w:rPr>
      </w:pPr>
      <w:r w:rsidRPr="00735F38">
        <w:rPr>
          <w:rStyle w:val="FootnoteReference"/>
          <w:rFonts w:eastAsiaTheme="majorEastAsia"/>
          <w:sz w:val="24"/>
          <w:szCs w:val="24"/>
        </w:rPr>
        <w:footnoteRef/>
      </w:r>
      <w:r>
        <w:rPr>
          <w:sz w:val="24"/>
          <w:szCs w:val="24"/>
        </w:rPr>
        <w:t xml:space="preserve"> </w:t>
      </w:r>
      <w:r w:rsidRPr="00735F38">
        <w:rPr>
          <w:sz w:val="24"/>
          <w:szCs w:val="24"/>
        </w:rPr>
        <w:t>translation(s) of the opinion may be available on the Interparliamentary EU Information Exchange website (IPEX) at the following address:</w:t>
      </w:r>
      <w:r w:rsidRPr="00735F38">
        <w:rPr>
          <w:color w:val="FF0000"/>
          <w:sz w:val="24"/>
          <w:szCs w:val="24"/>
        </w:rPr>
        <w:t xml:space="preserve"> </w:t>
      </w:r>
      <w:hyperlink w:history="1" r:id="rId1">
        <w:r w:rsidRPr="00A14238">
          <w:rPr>
            <w:rStyle w:val="Hyperlink"/>
          </w:rPr>
          <w:t>https://secure.ipex.eu/IPEXL-WEB/document/COM-2025-0946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7DC8" w:rsidRDefault="007A7DC8" w14:paraId="475BDD89" w14:textId="77777777">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CS&quot; text=&quot;CS&quot; /&gt;&#13;&#10;    &lt;/basicdatatypelist&gt;&#13;&#10;  &lt;/metadata&gt;&#13;&#10;  &lt;metadata key=&quot;md_OriginalLanguages&quot;&gt;&#13;&#10;    &lt;basicdatatypelist&gt;&#13;&#10;      &lt;language key=&quot;EN&quot; text=&quot;EN&quot; /&gt;&#13;&#10;      &lt;language key=&quot;CS&quot; text=&quot;CS&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2-13&lt;/text&gt;&#13;&#10;  &lt;/metadata&gt;&#13;&#10;  &lt;metadata key=&quot;md_Prefix&quot;&gt;&#13;&#10;    &lt;text&gt;&lt;/text&gt;&#13;&#10;  &lt;/metadata&gt;&#13;&#10;  &lt;metadata key=&quot;md_DocumentNumber&quot;&gt;&#13;&#10;    &lt;text&gt;6360&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POLCOM 56&lt;/text&gt;&#13;&#10;      &lt;text&gt;COMPET 188&lt;/text&gt;&#13;&#10;      &lt;text&gt;IND 115&lt;/text&gt;&#13;&#10;      &lt;text&gt;MI 126&lt;/text&gt;&#13;&#10;      &lt;text&gt;WTO 22&lt;/text&gt;&#13;&#10;      &lt;text&gt;RELEX 219&lt;/text&gt;&#13;&#10;      &lt;text&gt;RECH 65&lt;/text&gt;&#13;&#10;      &lt;text&gt;FDI 5&lt;/text&gt;&#13;&#10;      &lt;text&gt;COMER 27&lt;/text&gt;&#13;&#10;      &lt;text&gt;TELECOM 66&lt;/text&gt;&#13;&#10;      &lt;text&gt;DUAL USE 11&lt;/text&gt;&#13;&#10;      &lt;text&gt;ENER 73&lt;/text&gt;&#13;&#10;      &lt;text&gt;CODEC 234&lt;/text&gt;&#13;&#10;      &lt;text&gt;ENV 129&lt;/text&gt;&#13;&#10;      &lt;text&gt;INDEF 56&lt;/text&gt;&#13;&#10;      &lt;text&gt;CYBER 60&lt;/text&gt;&#13;&#10;      &lt;text&gt;PROCIV 25&lt;/text&gt;&#13;&#10;      &lt;text&gt;MAP 54&lt;/text&gt;&#13;&#10;      &lt;text&gt;RC 3&lt;/text&gt;&#13;&#10;      &lt;text&gt;INST 47&lt;/text&gt;&#13;&#10;      &lt;text&gt;PARLNAT 14&lt;/text&gt;&#13;&#10;    &lt;/textlist&gt;&#13;&#10;  &lt;/metadata&gt;&#13;&#10;  &lt;metadata key=&quot;md_ThirdPartyDistributionMarkers&quot;&gt;&#13;&#10;    &lt;textlist /&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 /&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Senate of the Parliament of the Czech Republic&quot;&gt;&amp;lt;FlowDocument xmlns=&quot;http://schemas.microsoft.com/winfx/2006/xaml/presentation&quot;&amp;gt;&amp;lt;Paragraph&amp;gt;The Senate of the Parliament of the Czech Republic&amp;lt;/Paragraph&amp;gt;&amp;lt;/FlowDocument&amp;gt;&lt;/xaml&gt;&#13;&#10;    &lt;/basicdatatype&gt;&#13;&#10;  &lt;/metadata&gt;&#13;&#10;  &lt;metadata key=&quot;md_Recipient&quot;&gt;&#13;&#10;    &lt;basicdatatype&gt;&#13;&#10;      &lt;recipient key=&quot;re_11&quot; text=&quot;General Secretariat of the Council&quot; /&gt;&#13;&#10;    &lt;/basicdatatype&gt;&#13;&#10;  &lt;/metadata&gt;&#13;&#10;  &lt;metadata key=&quot;md_DateOfReceipt&quot;&gt;&#13;&#10;    &lt;text&gt;2026-02-13&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amending Regulation (EU) 2024/1252 [doc. 16460/25 - COM(2025)946] COMMUNICATION FROM THE COMMISSION TO THE EUROPEAN PARLIAMENT, THE COUNCIL, THE EUROPEAN ECONOMIC AND SOCIAL COMMITTEE AND THE COMMITTEE OF THE REGIONS RESourceEU Action Plan Accelerating our critical raw materials strategy to adapt to a new reality [doc. 16330/25 - COM(2025)945]  JOINT COMMUNICATION TO THE EUROPEAN PARLIAMENT AND THE COUNCIL Strengthening EU economic security [doc. 16389/25 - JOIN(2025)977] - Opinion on the application of the Principles of Subsidiarity and  Proportionality&quot;&gt;&amp;lt;FlowDocument xmlns=&quot;http://schemas.microsoft.com/winfx/2006/xaml/presentation&quot;&amp;gt;&amp;lt;Paragraph&amp;gt;Proposal for a REGULATION OF THE EUROPEAN PARLIAMENT AND OF THE COUNCIL amending Regulation (EU) 2024/1252&amp;lt;/Paragraph&amp;gt;&amp;lt;Paragraph&amp;gt;[doc. 16460/25 - COM(2025)946]&amp;lt;/Paragraph&amp;gt;&amp;lt;Paragraph&amp;gt;COMMUNICATION FROM THE COMMISSION TO THE EUROPEAN PARLIAMENT, THE COUNCIL, THE EUROPEAN ECONOMIC AND SOCIAL COMMITTEE AND THE COMMITTEE OF THE REGIONS RESourceEU Action Plan Accelerating our critical raw materials strategy to adapt to a new reality&amp;lt;/Paragraph&amp;gt;&amp;lt;Paragraph&amp;gt;[doc. 16330/25 - COM(2025)945]&amp;lt;/Paragraph&amp;gt;&amp;lt;Paragraph&amp;gt;&amp;lt;Run FontWeight=&quot;Bold&quot;&amp;gt; &amp;lt;/Run&amp;gt;JOINT COMMUNICATION TO THE EUROPEAN PARLIAMENT AND THE COUNCIL Strengthening EU economic security&amp;lt;/Paragraph&amp;gt;&amp;lt;Paragraph&amp;gt;[doc. 16389/25 - JOIN(2025)977]&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COMPET.3&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tru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0FF0"/>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E80D97"/>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80D97"/>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0D97"/>
    <w:pPr>
      <w:keepNext/>
      <w:keepLines/>
      <w:spacing w:before="160" w:after="80"/>
      <w:outlineLvl w:val="2"/>
    </w:pPr>
    <w:rPr>
      <w:rFonts w:asciiTheme="minorHAnsi" w:hAnsiTheme="minorHAnsi"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80D97"/>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80D97"/>
    <w:pPr>
      <w:keepNext/>
      <w:keepLines/>
      <w:spacing w:before="80" w:after="40"/>
      <w:outlineLvl w:val="4"/>
    </w:pPr>
    <w:rPr>
      <w:rFonts w:asciiTheme="minorHAnsi" w:hAnsiTheme="min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80D97"/>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97"/>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97"/>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97"/>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rPr>
      <w:sz w:val="2"/>
      <w:rFonts w:ascii="Times New Roman" w:hAnsi="Times New Roman"/>
    </w:rPr>
    <w:pPr>
      <w:spacing w:before="0" w:after="0"/>
    </w:p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5037DB"/>
    <w:pPr>
      <w:tabs>
        <w:tab w:val="center" w:pos="4513"/>
        <w:tab w:val="right" w:pos="9026"/>
      </w:tabs>
      <w:spacing w:line="240" w:lineRule="auto"/>
    </w:pPr>
  </w:style>
  <w:style w:type="character" w:styleId="HeaderChar" w:customStyle="1">
    <w:name w:val="Header Char"/>
    <w:basedOn w:val="DefaultParagraphFont"/>
    <w:link w:val="Header"/>
    <w:uiPriority w:val="99"/>
    <w:rsid w:val="005037DB"/>
    <w:rPr>
      <w:rFonts w:ascii="Times New Roman" w:hAnsi="Times New Roman"/>
      <w:sz w:val="24"/>
    </w:rPr>
  </w:style>
  <w:style w:type="paragraph" w:styleId="Footer">
    <w:name w:val="footer"/>
    <w:basedOn w:val="Normal"/>
    <w:link w:val="FooterChar"/>
    <w:uiPriority w:val="99"/>
    <w:unhideWhenUsed/>
    <w:rsid w:val="005037DB"/>
    <w:pPr>
      <w:tabs>
        <w:tab w:val="center" w:pos="4513"/>
        <w:tab w:val="right" w:pos="9026"/>
      </w:tabs>
      <w:spacing w:line="240" w:lineRule="auto"/>
    </w:pPr>
  </w:style>
  <w:style w:type="character" w:styleId="FooterChar" w:customStyle="1">
    <w:name w:val="Footer Char"/>
    <w:basedOn w:val="DefaultParagraphFont"/>
    <w:link w:val="Footer"/>
    <w:uiPriority w:val="99"/>
    <w:rsid w:val="005037DB"/>
    <w:rPr>
      <w:rFonts w:ascii="Times New Roman" w:hAnsi="Times New Roman"/>
      <w:sz w:val="24"/>
    </w:rPr>
  </w:style>
  <w:style w:type="character" w:styleId="Heading1Char" w:customStyle="1">
    <w:name w:val="Heading 1 Char"/>
    <w:basedOn w:val="DefaultParagraphFont"/>
    <w:link w:val="Heading1"/>
    <w:uiPriority w:val="9"/>
    <w:rsid w:val="00E80D97"/>
    <w:rPr>
      <w:rFonts w:asciiTheme="majorHAnsi" w:hAnsiTheme="majorHAnsi" w:eastAsiaTheme="majorEastAsia" w:cstheme="majorBidi"/>
      <w:color w:val="365F91" w:themeColor="accent1" w:themeShade="BF"/>
      <w:sz w:val="40"/>
      <w:szCs w:val="40"/>
      <w:lang w:val="fr-CA"/>
    </w:rPr>
  </w:style>
  <w:style w:type="character" w:styleId="Heading2Char" w:customStyle="1">
    <w:name w:val="Heading 2 Char"/>
    <w:basedOn w:val="DefaultParagraphFont"/>
    <w:link w:val="Heading2"/>
    <w:uiPriority w:val="9"/>
    <w:semiHidden/>
    <w:rsid w:val="00E80D97"/>
    <w:rPr>
      <w:rFonts w:asciiTheme="majorHAnsi" w:hAnsiTheme="majorHAnsi" w:eastAsiaTheme="majorEastAsia" w:cstheme="majorBidi"/>
      <w:color w:val="365F91" w:themeColor="accent1" w:themeShade="BF"/>
      <w:sz w:val="32"/>
      <w:szCs w:val="32"/>
      <w:lang w:val="fr-CA"/>
    </w:rPr>
  </w:style>
  <w:style w:type="character" w:styleId="Heading3Char" w:customStyle="1">
    <w:name w:val="Heading 3 Char"/>
    <w:basedOn w:val="DefaultParagraphFont"/>
    <w:link w:val="Heading3"/>
    <w:uiPriority w:val="9"/>
    <w:semiHidden/>
    <w:rsid w:val="00E80D97"/>
    <w:rPr>
      <w:rFonts w:eastAsiaTheme="majorEastAsia" w:cstheme="majorBidi"/>
      <w:color w:val="365F91" w:themeColor="accent1" w:themeShade="BF"/>
      <w:sz w:val="28"/>
      <w:szCs w:val="28"/>
      <w:lang w:val="fr-CA"/>
    </w:rPr>
  </w:style>
  <w:style w:type="character" w:styleId="Heading4Char" w:customStyle="1">
    <w:name w:val="Heading 4 Char"/>
    <w:basedOn w:val="DefaultParagraphFont"/>
    <w:link w:val="Heading4"/>
    <w:uiPriority w:val="9"/>
    <w:semiHidden/>
    <w:rsid w:val="00E80D97"/>
    <w:rPr>
      <w:rFonts w:eastAsiaTheme="majorEastAsia" w:cstheme="majorBidi"/>
      <w:i/>
      <w:iCs/>
      <w:color w:val="365F91" w:themeColor="accent1" w:themeShade="BF"/>
      <w:sz w:val="24"/>
      <w:lang w:val="fr-CA"/>
    </w:rPr>
  </w:style>
  <w:style w:type="character" w:styleId="Heading5Char" w:customStyle="1">
    <w:name w:val="Heading 5 Char"/>
    <w:basedOn w:val="DefaultParagraphFont"/>
    <w:link w:val="Heading5"/>
    <w:uiPriority w:val="9"/>
    <w:semiHidden/>
    <w:rsid w:val="00E80D97"/>
    <w:rPr>
      <w:rFonts w:eastAsiaTheme="majorEastAsia" w:cstheme="majorBidi"/>
      <w:color w:val="365F91" w:themeColor="accent1" w:themeShade="BF"/>
      <w:sz w:val="24"/>
      <w:lang w:val="fr-CA"/>
    </w:rPr>
  </w:style>
  <w:style w:type="character" w:styleId="Heading6Char" w:customStyle="1">
    <w:name w:val="Heading 6 Char"/>
    <w:basedOn w:val="DefaultParagraphFont"/>
    <w:link w:val="Heading6"/>
    <w:uiPriority w:val="9"/>
    <w:semiHidden/>
    <w:rsid w:val="00E80D97"/>
    <w:rPr>
      <w:rFonts w:eastAsiaTheme="majorEastAsia" w:cstheme="majorBidi"/>
      <w:i/>
      <w:iCs/>
      <w:color w:val="595959" w:themeColor="text1" w:themeTint="A6"/>
      <w:sz w:val="24"/>
      <w:lang w:val="fr-CA"/>
    </w:rPr>
  </w:style>
  <w:style w:type="character" w:styleId="Heading7Char" w:customStyle="1">
    <w:name w:val="Heading 7 Char"/>
    <w:basedOn w:val="DefaultParagraphFont"/>
    <w:link w:val="Heading7"/>
    <w:uiPriority w:val="9"/>
    <w:semiHidden/>
    <w:rsid w:val="00E80D97"/>
    <w:rPr>
      <w:rFonts w:eastAsiaTheme="majorEastAsia" w:cstheme="majorBidi"/>
      <w:color w:val="595959" w:themeColor="text1" w:themeTint="A6"/>
      <w:sz w:val="24"/>
      <w:lang w:val="fr-CA"/>
    </w:rPr>
  </w:style>
  <w:style w:type="character" w:styleId="Heading8Char" w:customStyle="1">
    <w:name w:val="Heading 8 Char"/>
    <w:basedOn w:val="DefaultParagraphFont"/>
    <w:link w:val="Heading8"/>
    <w:uiPriority w:val="9"/>
    <w:semiHidden/>
    <w:rsid w:val="00E80D97"/>
    <w:rPr>
      <w:rFonts w:eastAsiaTheme="majorEastAsia" w:cstheme="majorBidi"/>
      <w:i/>
      <w:iCs/>
      <w:color w:val="272727" w:themeColor="text1" w:themeTint="D8"/>
      <w:sz w:val="24"/>
      <w:lang w:val="fr-CA"/>
    </w:rPr>
  </w:style>
  <w:style w:type="character" w:styleId="Heading9Char" w:customStyle="1">
    <w:name w:val="Heading 9 Char"/>
    <w:basedOn w:val="DefaultParagraphFont"/>
    <w:link w:val="Heading9"/>
    <w:uiPriority w:val="9"/>
    <w:semiHidden/>
    <w:rsid w:val="00E80D97"/>
    <w:rPr>
      <w:rFonts w:eastAsiaTheme="majorEastAsia" w:cstheme="majorBidi"/>
      <w:color w:val="272727" w:themeColor="text1" w:themeTint="D8"/>
      <w:sz w:val="24"/>
      <w:lang w:val="fr-CA"/>
    </w:rPr>
  </w:style>
  <w:style w:type="paragraph" w:styleId="Title">
    <w:name w:val="Title"/>
    <w:basedOn w:val="Normal"/>
    <w:next w:val="Normal"/>
    <w:link w:val="TitleChar"/>
    <w:uiPriority w:val="10"/>
    <w:qFormat/>
    <w:rsid w:val="00E80D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0D97"/>
    <w:rPr>
      <w:rFonts w:asciiTheme="majorHAnsi" w:hAnsiTheme="majorHAnsi" w:eastAsiaTheme="majorEastAsia" w:cstheme="majorBidi"/>
      <w:spacing w:val="-10"/>
      <w:kern w:val="28"/>
      <w:sz w:val="56"/>
      <w:szCs w:val="56"/>
      <w:lang w:val="fr-CA"/>
    </w:rPr>
  </w:style>
  <w:style w:type="paragraph" w:styleId="Subtitle">
    <w:name w:val="Subtitle"/>
    <w:basedOn w:val="Normal"/>
    <w:next w:val="Normal"/>
    <w:link w:val="SubtitleChar"/>
    <w:uiPriority w:val="11"/>
    <w:qFormat/>
    <w:rsid w:val="00E80D97"/>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0D97"/>
    <w:rPr>
      <w:rFonts w:eastAsiaTheme="majorEastAsia" w:cstheme="majorBidi"/>
      <w:color w:val="595959" w:themeColor="text1" w:themeTint="A6"/>
      <w:spacing w:val="15"/>
      <w:sz w:val="28"/>
      <w:szCs w:val="28"/>
      <w:lang w:val="fr-CA"/>
    </w:rPr>
  </w:style>
  <w:style w:type="paragraph" w:styleId="Quote">
    <w:name w:val="Quote"/>
    <w:basedOn w:val="Normal"/>
    <w:next w:val="Normal"/>
    <w:link w:val="QuoteChar"/>
    <w:uiPriority w:val="29"/>
    <w:qFormat/>
    <w:rsid w:val="00E80D9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80D97"/>
    <w:rPr>
      <w:rFonts w:ascii="Times New Roman" w:hAnsi="Times New Roman"/>
      <w:i/>
      <w:iCs/>
      <w:color w:val="404040" w:themeColor="text1" w:themeTint="BF"/>
      <w:sz w:val="24"/>
      <w:lang w:val="fr-CA"/>
    </w:rPr>
  </w:style>
  <w:style w:type="paragraph" w:styleId="ListParagraph">
    <w:name w:val="List Paragraph"/>
    <w:basedOn w:val="Normal"/>
    <w:uiPriority w:val="34"/>
    <w:qFormat/>
    <w:rsid w:val="00E80D97"/>
    <w:pPr>
      <w:ind w:left="720"/>
      <w:contextualSpacing/>
    </w:pPr>
  </w:style>
  <w:style w:type="character" w:styleId="IntenseEmphasis">
    <w:name w:val="Intense Emphasis"/>
    <w:basedOn w:val="DefaultParagraphFont"/>
    <w:uiPriority w:val="21"/>
    <w:qFormat/>
    <w:rsid w:val="00E80D97"/>
    <w:rPr>
      <w:i/>
      <w:iCs/>
      <w:color w:val="365F91" w:themeColor="accent1" w:themeShade="BF"/>
    </w:rPr>
  </w:style>
  <w:style w:type="paragraph" w:styleId="IntenseQuote">
    <w:name w:val="Intense Quote"/>
    <w:basedOn w:val="Normal"/>
    <w:next w:val="Normal"/>
    <w:link w:val="IntenseQuoteChar"/>
    <w:uiPriority w:val="30"/>
    <w:qFormat/>
    <w:rsid w:val="00E80D97"/>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E80D97"/>
    <w:rPr>
      <w:rFonts w:ascii="Times New Roman" w:hAnsi="Times New Roman"/>
      <w:i/>
      <w:iCs/>
      <w:color w:val="365F91" w:themeColor="accent1" w:themeShade="BF"/>
      <w:sz w:val="24"/>
      <w:lang w:val="fr-CA"/>
    </w:rPr>
  </w:style>
  <w:style w:type="character" w:styleId="IntenseReference">
    <w:name w:val="Intense Reference"/>
    <w:basedOn w:val="DefaultParagraphFont"/>
    <w:uiPriority w:val="32"/>
    <w:qFormat/>
    <w:rsid w:val="00E80D97"/>
    <w:rPr>
      <w:b/>
      <w:bCs/>
      <w:smallCaps/>
      <w:color w:val="365F91" w:themeColor="accent1" w:themeShade="BF"/>
      <w:spacing w:val="5"/>
    </w:rPr>
  </w:style>
  <w:style w:type="paragraph" w:styleId="NoSpacing">
    <w:name w:val="No Spacing"/>
    <w:uiPriority w:val="1"/>
    <w:qFormat/>
    <w:rsid w:val="007E0FF0"/>
    <w:pPr>
      <w:spacing w:after="0" w:line="240" w:lineRule="auto"/>
    </w:pPr>
    <w:rPr>
      <w:rFonts w:ascii="Times New Roman" w:hAnsi="Times New Roman"/>
      <w:sz w:val="24"/>
    </w:rPr>
  </w:style>
  <w:style w:type="character" w:styleId="Hyperlink">
    <w:name w:val="Hyperlink"/>
    <w:basedOn w:val="DefaultParagraphFont"/>
    <w:uiPriority w:val="99"/>
    <w:unhideWhenUsed/>
    <w:rsid w:val="00DB71C8"/>
    <w:rPr>
      <w:color w:val="0000FF" w:themeColor="hyperlink"/>
      <w:u w:val="single"/>
    </w:rPr>
  </w:style>
  <w:style w:type="paragraph" w:styleId="FootnoteText">
    <w:name w:val="footnote text"/>
    <w:basedOn w:val="Normal"/>
    <w:link w:val="FootnoteTextChar"/>
    <w:uiPriority w:val="99"/>
    <w:semiHidden/>
    <w:unhideWhenUsed/>
    <w:rsid w:val="00DB71C8"/>
    <w:pPr>
      <w:widowControl w:val="0"/>
      <w:autoSpaceDE w:val="0"/>
      <w:autoSpaceDN w:val="0"/>
      <w:spacing w:line="240" w:lineRule="auto"/>
    </w:pPr>
    <w:rPr>
      <w:rFonts w:eastAsia="Times New Roman" w:cs="Times New Roman"/>
      <w:sz w:val="20"/>
      <w:szCs w:val="20"/>
    </w:rPr>
  </w:style>
  <w:style w:type="character" w:styleId="FootnoteTextChar" w:customStyle="1">
    <w:name w:val="Footnote Text Char"/>
    <w:basedOn w:val="DefaultParagraphFont"/>
    <w:link w:val="FootnoteText"/>
    <w:uiPriority w:val="99"/>
    <w:semiHidden/>
    <w:rsid w:val="00DB71C8"/>
    <w:rPr>
      <w:rFonts w:ascii="Times New Roman" w:hAnsi="Times New Roman" w:eastAsia="Times New Roman" w:cs="Times New Roman"/>
      <w:sz w:val="20"/>
      <w:szCs w:val="20"/>
    </w:rPr>
  </w:style>
  <w:style w:type="character" w:styleId="FootnoteReference">
    <w:name w:val="footnote reference"/>
    <w:basedOn w:val="DefaultParagraphFont"/>
    <w:uiPriority w:val="99"/>
    <w:semiHidden/>
    <w:unhideWhenUsed/>
    <w:rsid w:val="00DB71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3c110a39fdc24fb0" Type="http://schemas.openxmlformats.org/officeDocument/2006/relationships/settings" Target="/word/settings.xml"/><Relationship Id="R8bd1d2370a26435a" Type="http://schemas.openxmlformats.org/officeDocument/2006/relationships/webSettings" Target="/word/webSettings.xml"/><Relationship Id="R7ee3f6c3523f422b" Type="http://schemas.openxmlformats.org/officeDocument/2006/relationships/header" Target="/word/header1.xml"/><Relationship Id="R5090098f34c44705" Type="http://schemas.openxmlformats.org/officeDocument/2006/relationships/header" Target="/word/header3.xml"/><Relationship Id="Re7220f99cd8f44f2" Type="http://schemas.openxmlformats.org/officeDocument/2006/relationships/image" Target="/media/image2.bin"/><Relationship Id="Rc36afd8d8c6b4472" Type="http://schemas.openxmlformats.org/officeDocument/2006/relationships/header" Target="/word/header4.xml"/><Relationship Id="R4424b41499a045c1" Type="http://schemas.openxmlformats.org/officeDocument/2006/relationships/glossaryDocument" Target="/word/glossary/document.xml"/><Relationship Id="Rde6218b03dca4aaf" Type="http://schemas.openxmlformats.org/officeDocument/2006/relationships/styles" Target="/word/styles.xml"/><Relationship Id="rId3" Type="http://schemas.openxmlformats.org/officeDocument/2006/relationships/customXml" Target="../customXml/item3.xml"/><Relationship Id="R0e3ed74136e94e58" Type="http://schemas.openxmlformats.org/officeDocument/2006/relationships/footnotes" Target="/word/footnotes.xml"/><Relationship Id="R5b4a21420fc946b7" Type="http://schemas.openxmlformats.org/officeDocument/2006/relationships/theme" Target="/word/theme/theme1.xml"/><Relationship Id="R5635399a9c9c42c4" Type="http://schemas.openxmlformats.org/officeDocument/2006/relationships/fontTable" Target="/word/fontTable.xml"/><Relationship Id="Rd2378dbb5cdb4c58" Type="http://schemas.openxmlformats.org/officeDocument/2006/relationships/footer" Target="/word/footer2.xml"/><Relationship Id="Rc9d70dc4733041d1" Type="http://schemas.openxmlformats.org/officeDocument/2006/relationships/image" Target="/media/image3.bin"/><Relationship Id="Rd4cbff5c909c4fce" Type="http://schemas.openxmlformats.org/officeDocument/2006/relationships/image" Target="/media/image5.bin"/><Relationship Id="rId2" Type="http://schemas.openxmlformats.org/officeDocument/2006/relationships/customXml" Target="../customXml/item2.xml"/><Relationship Id="R96b2400367c94017" Type="http://schemas.openxmlformats.org/officeDocument/2006/relationships/endnotes" Target="/word/endnotes.xml"/><Relationship Id="R00e7c374bd3a42de" Type="http://schemas.openxmlformats.org/officeDocument/2006/relationships/image" Target="/media/image.bin"/><Relationship Id="R9fd2f36501664fc6" Type="http://schemas.openxmlformats.org/officeDocument/2006/relationships/header" Target="/word/header2.xml"/><Relationship Id="R6de83a1f8995406b" Type="http://schemas.openxmlformats.org/officeDocument/2006/relationships/header" Target="/word/header5.xml"/><Relationship Id="R83d98c43acd94afd" Type="http://schemas.openxmlformats.org/officeDocument/2006/relationships/footer" Target="/word/footer6.xml"/><Relationship Id="rId1" Type="http://schemas.openxmlformats.org/officeDocument/2006/relationships/customXml" Target="../customXml/item1.xml"/><Relationship Id="Rbcd06eabfae3475a" Type="http://schemas.openxmlformats.org/officeDocument/2006/relationships/image" Target="/media/image4.bin"/><Relationship Id="R6a0dc28f90634832" Type="http://schemas.openxmlformats.org/officeDocument/2006/relationships/header" Target="/word/header6.xml"/><Relationship Id="R7b3bf47e79ed4756" Type="http://schemas.openxmlformats.org/officeDocument/2006/relationships/footer" Target="/word/footer1.xml"/><Relationship Id="Rcbf8f28fcaee4ed9" Type="http://schemas.openxmlformats.org/officeDocument/2006/relationships/footer" Target="/word/footer3.xml"/><Relationship Id="R801876af92f04560" Type="http://schemas.openxmlformats.org/officeDocument/2006/relationships/footer" Target="/word/footer4.xml"/><Relationship Id="Reaa0786560df41da" Type="http://schemas.openxmlformats.org/officeDocument/2006/relationships/footer" Target="/word/footer5.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946"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042ae154e02b444e" /><Relationship Type="http://schemas.openxmlformats.org/officeDocument/2006/relationships/fontTable" Target="/word/glossary/fontTable2.xml" Id="R3f86030f7db647e9" /><Relationship Type="http://schemas.openxmlformats.org/officeDocument/2006/relationships/settings" Target="/word/glossary/settings2.xml" Id="R104cac6b51f7402f" /><Relationship Type="http://schemas.openxmlformats.org/officeDocument/2006/relationships/webSettings" Target="/word/glossary/webSettings2.xml" Id="R7ac63e12ba454249"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017674-EF81-4994-9C4D-FF3E29592E3C}"/>
</file>

<file path=customXml/itemProps2.xml><?xml version="1.0" encoding="utf-8"?>
<ds:datastoreItem xmlns:ds="http://schemas.openxmlformats.org/officeDocument/2006/customXml" ds:itemID="{B46458E9-2534-4366-90CF-D56FABD36B21}"/>
</file>

<file path=customXml/itemProps3.xml><?xml version="1.0" encoding="utf-8"?>
<ds:datastoreItem xmlns:ds="http://schemas.openxmlformats.org/officeDocument/2006/customXml" ds:itemID="{5CC518D7-C6B6-482A-8EA5-4616353C8CCF}"/>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Anna%20SZMIDT</dc:creator>
  <cp:keywords/>
  <dc:description/>
  <cp:lastModifiedBy>Anna%20SZMIDT</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2026-02-13T17:26:14Z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