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b w:val="0"/>
          <w:sz w:val="24"/>
          <w:szCs w:val="20"/>
          <w:lang w:eastAsia="ro-RO" w:bidi="ro-RO"/>
        </w:rPr>
        <w:alias w:val="TechnicalBlock"/>
        <w:tag w:val="LCK:TechnicalBlock"/>
        <w:id w:val="-904448321"/>
        <w:lock w:val="contentLocked"/>
      </w:sdtPr>
      <w:sdtEndPr>
        <w:rPr>
          <w:szCs w:val="22"/>
        </w:rPr>
      </w:sdtEndPr>
      <w:sdtContent>
        <w:tbl>
          <w:tblPr>
            <w:tblW w:w="11344" w:type="dxa"/>
            <w:jc w:val="center"/>
            <w:tblLayout w:type="fixed"/>
            <w:tblCellMar>
              <w:left w:w="0" w:type="dxa"/>
              <w:right w:w="0" w:type="dxa"/>
            </w:tblCellMar>
            <w:tblLook w:val="0000" w:firstRow="0" w:lastRow="0" w:firstColumn="0" w:lastColumn="0" w:noHBand="0" w:noVBand="0"/>
          </w:tblPr>
          <w:tblGrid>
            <w:gridCol w:w="850"/>
            <w:gridCol w:w="970"/>
            <w:gridCol w:w="2862"/>
            <w:gridCol w:w="1696"/>
            <w:gridCol w:w="147"/>
            <w:gridCol w:w="4819"/>
          </w:tblGrid>
          <w:tr w:rsidR="00EB3D0B" w:rsidRPr="005F5A6B" w14:paraId="48DA623B" w14:textId="77777777" w:rsidTr="00EE7DE6">
            <w:trPr>
              <w:cantSplit/>
              <w:trHeight w:val="510"/>
              <w:jc w:val="center"/>
            </w:trPr>
            <w:tc>
              <w:tcPr>
                <w:tcW w:w="11344" w:type="dxa"/>
                <w:gridSpan w:val="6"/>
                <w:vAlign w:val="bottom"/>
              </w:tcPr>
              <w:p w14:paraId="7B17530F" w14:textId="4875B68B" w:rsidR="00EB3D0B" w:rsidRPr="005F5A6B" w:rsidRDefault="00EB3D0B" w:rsidP="00EE7DE6">
                <w:pPr>
                  <w:pStyle w:val="TBNormalTechnicalBlock"/>
                  <w:jc w:val="right"/>
                  <w:rPr>
                    <w:b w:val="0"/>
                    <w:bCs/>
                  </w:rPr>
                </w:pPr>
              </w:p>
            </w:tc>
          </w:tr>
          <w:tr w:rsidR="00EB3D0B" w:rsidRPr="006720F9" w14:paraId="0FB2390D" w14:textId="77777777" w:rsidTr="00296074">
            <w:trPr>
              <w:cantSplit/>
              <w:trHeight w:val="567"/>
              <w:jc w:val="center"/>
            </w:trPr>
            <w:tc>
              <w:tcPr>
                <w:tcW w:w="1820" w:type="dxa"/>
                <w:gridSpan w:val="2"/>
                <w:vAlign w:val="bottom"/>
              </w:tcPr>
              <w:p w14:paraId="7CF74DF7" w14:textId="77777777" w:rsidR="00EB3D0B" w:rsidRPr="006C5D93" w:rsidRDefault="00EB3D0B" w:rsidP="003C6CD1">
                <w:pPr>
                  <w:pStyle w:val="TBEntInstit"/>
                </w:pPr>
                <w:r w:rsidRPr="006C5D93">
                  <w:rPr>
                    <w:noProof/>
                  </w:rPr>
                  <w:drawing>
                    <wp:inline distT="0" distB="0" distL="0" distR="0" wp14:anchorId="6A9DBFA4" wp14:editId="40CDE120">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14:paraId="36770972" w14:textId="77777777" w:rsidR="00EB3D0B" w:rsidRPr="008414C3" w:rsidRDefault="00EB3D0B" w:rsidP="005125B1">
                <w:pPr>
                  <w:pStyle w:val="TBInstitution"/>
                </w:pPr>
                <w:r>
                  <w:t>Consiliul</w:t>
                </w:r>
                <w:r>
                  <w:br/>
                  <w:t>Uniunii Europene</w:t>
                </w:r>
              </w:p>
            </w:tc>
          </w:tr>
          <w:tr w:rsidR="00EB3D0B" w:rsidRPr="006720F9" w14:paraId="1D083F29" w14:textId="77777777" w:rsidTr="00D5364D">
            <w:trPr>
              <w:gridBefore w:val="2"/>
              <w:wBefore w:w="1820" w:type="dxa"/>
              <w:cantSplit/>
              <w:trHeight w:val="1191"/>
              <w:jc w:val="center"/>
            </w:trPr>
            <w:tc>
              <w:tcPr>
                <w:tcW w:w="4558" w:type="dxa"/>
                <w:gridSpan w:val="2"/>
                <w:tcMar>
                  <w:top w:w="28" w:type="dxa"/>
                  <w:left w:w="85" w:type="dxa"/>
                </w:tcMar>
              </w:tcPr>
              <w:p w14:paraId="43436B02" w14:textId="77777777" w:rsidR="00EB3D0B" w:rsidRPr="00327887" w:rsidRDefault="00EB3D0B" w:rsidP="00762DBC">
                <w:pPr>
                  <w:pStyle w:val="TBInstitutionSubwordmark"/>
                </w:pPr>
              </w:p>
            </w:tc>
            <w:tc>
              <w:tcPr>
                <w:tcW w:w="147" w:type="dxa"/>
                <w:vAlign w:val="bottom"/>
              </w:tcPr>
              <w:p w14:paraId="0C6D09EA" w14:textId="77777777" w:rsidR="00EB3D0B" w:rsidRPr="00093255" w:rsidRDefault="00EB3D0B" w:rsidP="00D5364D">
                <w:pPr>
                  <w:pStyle w:val="TBNormalTechnicalBlock"/>
                  <w:jc w:val="right"/>
                  <w:rPr>
                    <w:b w:val="0"/>
                    <w:bCs/>
                  </w:rPr>
                </w:pPr>
              </w:p>
            </w:tc>
            <w:tc>
              <w:tcPr>
                <w:tcW w:w="4819" w:type="dxa"/>
                <w:vMerge w:val="restart"/>
                <w:tcMar>
                  <w:top w:w="0" w:type="dxa"/>
                </w:tcMar>
              </w:tcPr>
              <w:p w14:paraId="4E2215D9" w14:textId="77777777" w:rsidR="00EB3D0B" w:rsidRPr="0012121B" w:rsidRDefault="00EB3D0B" w:rsidP="001A5B8F">
                <w:pPr>
                  <w:pStyle w:val="TBNormalTechnicalBlock"/>
                </w:pPr>
                <w:r>
                  <w:t>Bruxelles, 6 martie 2026</w:t>
                </w:r>
              </w:p>
              <w:p w14:paraId="0CACF662" w14:textId="77777777" w:rsidR="00EB3D0B" w:rsidRPr="00871A20" w:rsidRDefault="00EB3D0B" w:rsidP="009024D2">
                <w:pPr>
                  <w:pStyle w:val="TBNormalTechnicalBlock"/>
                  <w:rPr>
                    <w:bCs/>
                  </w:rPr>
                </w:pPr>
                <w:r w:rsidRPr="00E60683">
                  <w:rPr>
                    <w:bCs/>
                  </w:rPr>
                  <w:t xml:space="preserve">(OR. </w:t>
                </w:r>
                <w:r>
                  <w:rPr>
                    <w:bCs/>
                  </w:rPr>
                  <w:t>en</w:t>
                </w:r>
                <w:r w:rsidRPr="00871A20">
                  <w:rPr>
                    <w:bCs/>
                  </w:rPr>
                  <w:t>)</w:t>
                </w:r>
              </w:p>
              <w:p w14:paraId="6274CB31" w14:textId="77777777" w:rsidR="00EB3D0B" w:rsidRPr="00871A20" w:rsidRDefault="00EB3D0B" w:rsidP="00871A20">
                <w:pPr>
                  <w:pStyle w:val="TBNormalTechnicalBlock"/>
                  <w:jc w:val="right"/>
                </w:pPr>
              </w:p>
              <w:p w14:paraId="35A3FC7B" w14:textId="77777777" w:rsidR="00EB3D0B" w:rsidRPr="00871A20" w:rsidRDefault="00EB3D0B" w:rsidP="00871A20">
                <w:pPr>
                  <w:pStyle w:val="TBNormalTechnicalBlock"/>
                  <w:jc w:val="right"/>
                </w:pPr>
              </w:p>
              <w:p w14:paraId="6F19C0D0" w14:textId="77777777" w:rsidR="00EB3D0B" w:rsidRPr="00EB3D0B" w:rsidRDefault="00EB3D0B" w:rsidP="009024D2">
                <w:pPr>
                  <w:pStyle w:val="TBNormalTechnicalBlock"/>
                  <w:rPr>
                    <w:bCs/>
                    <w:lang w:val="fr-BE"/>
                  </w:rPr>
                </w:pPr>
                <w:r w:rsidRPr="00EB3D0B">
                  <w:rPr>
                    <w:bCs/>
                    <w:lang w:val="fr-BE"/>
                  </w:rPr>
                  <w:t>7049/26</w:t>
                </w:r>
              </w:p>
              <w:p w14:paraId="4A06EC5D" w14:textId="77777777" w:rsidR="00EB3D0B" w:rsidRPr="00EB3D0B" w:rsidRDefault="00EB3D0B" w:rsidP="009024D2">
                <w:pPr>
                  <w:pStyle w:val="TBNormalTechnicalBlock"/>
                  <w:rPr>
                    <w:lang w:val="fr-BE"/>
                  </w:rPr>
                </w:pPr>
              </w:p>
              <w:p w14:paraId="06A68EEB" w14:textId="77777777" w:rsidR="00EB3D0B" w:rsidRPr="00EB3D0B" w:rsidRDefault="00EB3D0B" w:rsidP="00871A20">
                <w:pPr>
                  <w:pStyle w:val="TBNormalTechnicalBlock"/>
                  <w:jc w:val="right"/>
                  <w:rPr>
                    <w:lang w:val="fr-BE"/>
                  </w:rPr>
                </w:pPr>
              </w:p>
              <w:p w14:paraId="3EC58CC3" w14:textId="77777777" w:rsidR="00EB3D0B" w:rsidRDefault="00EB3D0B" w:rsidP="009024D2">
                <w:pPr>
                  <w:pStyle w:val="TBNormalTechnicalBlock"/>
                </w:pPr>
              </w:p>
              <w:p w14:paraId="3BB5E1F1" w14:textId="77777777" w:rsidR="00EB3D0B" w:rsidRDefault="00EB3D0B" w:rsidP="00871A20">
                <w:pPr>
                  <w:pStyle w:val="TBNormalTechnicalBlock"/>
                  <w:jc w:val="right"/>
                </w:pPr>
              </w:p>
              <w:p w14:paraId="4BA9B0DE" w14:textId="77777777" w:rsidR="00EB3D0B" w:rsidRDefault="00EB3D0B">
                <w:pPr>
                  <w:pStyle w:val="TBEntRefer"/>
                  <w:tabs>
                    <w:tab w:val="left" w:pos="2265"/>
                  </w:tabs>
                </w:pPr>
                <w:r>
                  <w:t>SCH-EVAL 14</w:t>
                </w:r>
              </w:p>
              <w:p w14:paraId="47F31814" w14:textId="77777777" w:rsidR="00EB3D0B" w:rsidRDefault="00EB3D0B">
                <w:pPr>
                  <w:pStyle w:val="TBEntRefer"/>
                  <w:tabs>
                    <w:tab w:val="left" w:pos="2265"/>
                  </w:tabs>
                </w:pPr>
                <w:r>
                  <w:t>FRONT 58</w:t>
                </w:r>
              </w:p>
              <w:p w14:paraId="53EF9287" w14:textId="77777777" w:rsidR="00EB3D0B" w:rsidRDefault="00EB3D0B">
                <w:pPr>
                  <w:pStyle w:val="TBEntRefer"/>
                  <w:tabs>
                    <w:tab w:val="left" w:pos="2265"/>
                  </w:tabs>
                </w:pPr>
                <w:r>
                  <w:t>IXIM 70</w:t>
                </w:r>
              </w:p>
              <w:p w14:paraId="28D52806" w14:textId="77777777" w:rsidR="00EB3D0B" w:rsidRDefault="00EB3D0B">
                <w:pPr>
                  <w:pStyle w:val="TBEntRefer"/>
                  <w:tabs>
                    <w:tab w:val="left" w:pos="2265"/>
                  </w:tabs>
                </w:pPr>
                <w:r>
                  <w:t>COMIX 66</w:t>
                </w:r>
              </w:p>
              <w:p w14:paraId="146D4600" w14:textId="77777777" w:rsidR="00EB3D0B" w:rsidRPr="00073AB8" w:rsidRDefault="00EB3D0B" w:rsidP="00DF51D5">
                <w:pPr>
                  <w:pStyle w:val="TBEntRefer"/>
                  <w:tabs>
                    <w:tab w:val="left" w:pos="2262"/>
                  </w:tabs>
                  <w:rPr>
                    <w:sz w:val="4"/>
                    <w:szCs w:val="4"/>
                  </w:rPr>
                </w:pPr>
              </w:p>
              <w:p w14:paraId="3F231CFB" w14:textId="77777777" w:rsidR="00EB3D0B" w:rsidRDefault="00EB3D0B">
                <w:pPr>
                  <w:pStyle w:val="TBDistrbMarkers"/>
                </w:pPr>
                <w:r>
                  <w:t>CH</w:t>
                </w:r>
              </w:p>
              <w:p w14:paraId="411B9EC1" w14:textId="77777777" w:rsidR="00EB3D0B" w:rsidRDefault="00EB3D0B">
                <w:pPr>
                  <w:pStyle w:val="TBDistrbMarkers"/>
                </w:pPr>
                <w:r>
                  <w:t>IS</w:t>
                </w:r>
              </w:p>
              <w:p w14:paraId="5BA61639" w14:textId="77777777" w:rsidR="00EB3D0B" w:rsidRDefault="00EB3D0B">
                <w:pPr>
                  <w:pStyle w:val="TBDistrbMarkers"/>
                </w:pPr>
                <w:r>
                  <w:t>LI</w:t>
                </w:r>
              </w:p>
              <w:p w14:paraId="0DAF66D2" w14:textId="77777777" w:rsidR="00EB3D0B" w:rsidRDefault="00EB3D0B">
                <w:pPr>
                  <w:pStyle w:val="TBDistrbMarkers"/>
                </w:pPr>
                <w:r>
                  <w:t>NO</w:t>
                </w:r>
              </w:p>
            </w:tc>
          </w:tr>
          <w:tr w:rsidR="00EB3D0B" w:rsidRPr="006720F9" w14:paraId="2C6030B9" w14:textId="77777777" w:rsidTr="00EE7DE6">
            <w:trPr>
              <w:gridBefore w:val="1"/>
              <w:wBefore w:w="850" w:type="dxa"/>
              <w:cantSplit/>
              <w:trHeight w:val="837"/>
              <w:jc w:val="center"/>
            </w:trPr>
            <w:tc>
              <w:tcPr>
                <w:tcW w:w="3832" w:type="dxa"/>
                <w:gridSpan w:val="2"/>
                <w:vAlign w:val="center"/>
              </w:tcPr>
              <w:p w14:paraId="606BDC90" w14:textId="77777777" w:rsidR="00EB3D0B" w:rsidRDefault="00EB3D0B">
                <w:pPr>
                  <w:pStyle w:val="TBEntReferNew"/>
                  <w:pBdr>
                    <w:top w:val="double" w:sz="6" w:space="2" w:color="auto"/>
                    <w:bottom w:val="double" w:sz="6" w:space="2" w:color="auto"/>
                  </w:pBdr>
                  <w:rPr>
                    <w:sz w:val="23"/>
                    <w:szCs w:val="23"/>
                  </w:rPr>
                </w:pPr>
                <w:r>
                  <w:rPr>
                    <w:sz w:val="23"/>
                    <w:szCs w:val="23"/>
                  </w:rPr>
                  <w:t>Dosar interinstituțional:</w:t>
                </w:r>
              </w:p>
              <w:p w14:paraId="24F963E5" w14:textId="77777777" w:rsidR="00EB3D0B" w:rsidRDefault="00EB3D0B">
                <w:pPr>
                  <w:pStyle w:val="TBEntReferNew"/>
                  <w:pBdr>
                    <w:top w:val="double" w:sz="6" w:space="2" w:color="auto"/>
                    <w:bottom w:val="double" w:sz="6" w:space="2" w:color="auto"/>
                  </w:pBdr>
                  <w:rPr>
                    <w:sz w:val="23"/>
                    <w:szCs w:val="23"/>
                  </w:rPr>
                </w:pPr>
                <w:r>
                  <w:rPr>
                    <w:sz w:val="23"/>
                    <w:szCs w:val="23"/>
                  </w:rPr>
                  <w:t>2026/0052 (NLE)</w:t>
                </w:r>
              </w:p>
            </w:tc>
            <w:tc>
              <w:tcPr>
                <w:tcW w:w="1843" w:type="dxa"/>
                <w:gridSpan w:val="2"/>
                <w:vMerge w:val="restart"/>
                <w:vAlign w:val="bottom"/>
              </w:tcPr>
              <w:p w14:paraId="0E7A0B08" w14:textId="77777777" w:rsidR="00EB3D0B" w:rsidRPr="008F6E25" w:rsidRDefault="00EB3D0B" w:rsidP="00EE7DE6">
                <w:pPr>
                  <w:pStyle w:val="TBNormalTechnicalBlock"/>
                  <w:jc w:val="right"/>
                  <w:rPr>
                    <w:b w:val="0"/>
                    <w:bCs/>
                  </w:rPr>
                </w:pPr>
              </w:p>
            </w:tc>
            <w:tc>
              <w:tcPr>
                <w:tcW w:w="4819" w:type="dxa"/>
                <w:vMerge/>
              </w:tcPr>
              <w:p w14:paraId="7B05E647" w14:textId="77777777" w:rsidR="00EB3D0B" w:rsidRPr="00F26BF3" w:rsidRDefault="00EB3D0B">
                <w:pPr>
                  <w:pStyle w:val="TBEntRefer"/>
                  <w:rPr>
                    <w:szCs w:val="23"/>
                  </w:rPr>
                </w:pPr>
              </w:p>
            </w:tc>
          </w:tr>
          <w:tr w:rsidR="00EB3D0B" w:rsidRPr="007D65B2" w14:paraId="4C451784" w14:textId="77777777" w:rsidTr="00327887">
            <w:trPr>
              <w:gridBefore w:val="1"/>
              <w:wBefore w:w="850" w:type="dxa"/>
              <w:cantSplit/>
              <w:trHeight w:val="998"/>
              <w:jc w:val="center"/>
            </w:trPr>
            <w:tc>
              <w:tcPr>
                <w:tcW w:w="3832" w:type="dxa"/>
                <w:gridSpan w:val="2"/>
                <w:vAlign w:val="center"/>
              </w:tcPr>
              <w:p w14:paraId="0139F7A9" w14:textId="77777777" w:rsidR="00EB3D0B" w:rsidRPr="007D65B2" w:rsidRDefault="00EB3D0B" w:rsidP="0058695F">
                <w:pPr>
                  <w:pStyle w:val="TBSousEmbargo"/>
                </w:pPr>
              </w:p>
            </w:tc>
            <w:tc>
              <w:tcPr>
                <w:tcW w:w="1843" w:type="dxa"/>
                <w:gridSpan w:val="2"/>
                <w:vMerge/>
                <w:vAlign w:val="center"/>
              </w:tcPr>
              <w:p w14:paraId="27DEC8B1" w14:textId="77777777" w:rsidR="00EB3D0B" w:rsidRPr="008F6E25" w:rsidRDefault="00EB3D0B" w:rsidP="008F6E25">
                <w:pPr>
                  <w:pStyle w:val="TBNormalTechnicalBlock"/>
                  <w:rPr>
                    <w:b w:val="0"/>
                    <w:bCs/>
                  </w:rPr>
                </w:pPr>
              </w:p>
            </w:tc>
            <w:tc>
              <w:tcPr>
                <w:tcW w:w="4819" w:type="dxa"/>
                <w:vMerge/>
              </w:tcPr>
              <w:p w14:paraId="28C5EDEB" w14:textId="77777777" w:rsidR="00EB3D0B" w:rsidRPr="007D65B2" w:rsidRDefault="00EB3D0B">
                <w:pPr>
                  <w:pStyle w:val="TBEntRefer"/>
                  <w:rPr>
                    <w:szCs w:val="23"/>
                  </w:rPr>
                </w:pPr>
              </w:p>
            </w:tc>
          </w:tr>
        </w:tbl>
        <w:p w14:paraId="11A3FB8F" w14:textId="77777777" w:rsidR="00EB3D0B" w:rsidRPr="007D65B2" w:rsidRDefault="00EB3D0B" w:rsidP="00DF1147">
          <w:pPr>
            <w:pStyle w:val="TBEntRefer"/>
            <w:rPr>
              <w:sz w:val="2"/>
              <w:szCs w:val="2"/>
            </w:rPr>
          </w:pPr>
        </w:p>
        <w:tbl>
          <w:tblPr>
            <w:tblW w:w="9640" w:type="dxa"/>
            <w:jc w:val="center"/>
            <w:tblLayout w:type="fixed"/>
            <w:tblCellMar>
              <w:left w:w="0" w:type="dxa"/>
              <w:right w:w="0" w:type="dxa"/>
            </w:tblCellMar>
            <w:tblLook w:val="0000" w:firstRow="0" w:lastRow="0" w:firstColumn="0" w:lastColumn="0" w:noHBand="0" w:noVBand="0"/>
          </w:tblPr>
          <w:tblGrid>
            <w:gridCol w:w="1984"/>
            <w:gridCol w:w="7656"/>
          </w:tblGrid>
          <w:tr w:rsidR="00EB3D0B" w:rsidRPr="008C093D" w14:paraId="38248400" w14:textId="77777777" w:rsidTr="000E0DFC">
            <w:trPr>
              <w:jc w:val="center"/>
            </w:trPr>
            <w:tc>
              <w:tcPr>
                <w:tcW w:w="9640" w:type="dxa"/>
                <w:gridSpan w:val="2"/>
              </w:tcPr>
              <w:p w14:paraId="5AF65B97" w14:textId="77777777" w:rsidR="00EB3D0B" w:rsidRPr="008C093D" w:rsidRDefault="00EB3D0B" w:rsidP="004F2640">
                <w:pPr>
                  <w:pStyle w:val="TBHeadingTable"/>
                </w:pPr>
                <w:r>
                  <w:t>REZULTATUL LUCRĂRILOR</w:t>
                </w:r>
              </w:p>
            </w:tc>
          </w:tr>
          <w:tr w:rsidR="00EB3D0B" w:rsidRPr="00F13D39" w14:paraId="55852CBE" w14:textId="77777777" w:rsidTr="00B511A2">
            <w:trPr>
              <w:jc w:val="center"/>
            </w:trPr>
            <w:tc>
              <w:tcPr>
                <w:tcW w:w="1985" w:type="dxa"/>
                <w:tcBorders>
                  <w:top w:val="single" w:sz="4" w:space="0" w:color="auto"/>
                  <w:bottom w:val="nil"/>
                </w:tcBorders>
              </w:tcPr>
              <w:p w14:paraId="6BE8CD2A" w14:textId="77777777" w:rsidR="00EB3D0B" w:rsidRPr="00F13D39" w:rsidRDefault="00EB3D0B" w:rsidP="00F13D39">
                <w:pPr>
                  <w:pStyle w:val="TBSubjectTable"/>
                </w:pPr>
                <w:r>
                  <w:t>Sursă:</w:t>
                </w:r>
              </w:p>
            </w:tc>
            <w:tc>
              <w:tcPr>
                <w:tcW w:w="7660" w:type="dxa"/>
                <w:tcBorders>
                  <w:top w:val="single" w:sz="4" w:space="0" w:color="auto"/>
                  <w:bottom w:val="nil"/>
                </w:tcBorders>
              </w:tcPr>
              <w:p w14:paraId="5D13A3F1" w14:textId="77777777" w:rsidR="00EB3D0B" w:rsidRPr="00F13D39" w:rsidRDefault="00EB3D0B" w:rsidP="00F13D39">
                <w:pPr>
                  <w:pStyle w:val="TBSubjectTable"/>
                </w:pPr>
                <w:r>
                  <w:t>Secretariatul General al Consiliului</w:t>
                </w:r>
              </w:p>
            </w:tc>
          </w:tr>
          <w:tr w:rsidR="00EB3D0B" w:rsidRPr="00F13D39" w14:paraId="31E25F2B" w14:textId="77777777" w:rsidTr="00B511A2">
            <w:tblPrEx>
              <w:tblBorders>
                <w:top w:val="single" w:sz="4" w:space="0" w:color="auto"/>
              </w:tblBorders>
            </w:tblPrEx>
            <w:trPr>
              <w:jc w:val="center"/>
            </w:trPr>
            <w:tc>
              <w:tcPr>
                <w:tcW w:w="1985" w:type="dxa"/>
                <w:tcBorders>
                  <w:top w:val="nil"/>
                  <w:bottom w:val="nil"/>
                </w:tcBorders>
              </w:tcPr>
              <w:p w14:paraId="711246D8" w14:textId="77777777" w:rsidR="00EB3D0B" w:rsidRPr="00F13D39" w:rsidRDefault="00EB3D0B" w:rsidP="00F13D39">
                <w:pPr>
                  <w:pStyle w:val="TBSubjectTable"/>
                </w:pPr>
                <w:r>
                  <w:t>Data:</w:t>
                </w:r>
              </w:p>
            </w:tc>
            <w:tc>
              <w:tcPr>
                <w:tcW w:w="7660" w:type="dxa"/>
                <w:tcBorders>
                  <w:top w:val="nil"/>
                  <w:bottom w:val="nil"/>
                </w:tcBorders>
              </w:tcPr>
              <w:p w14:paraId="6534B3CB" w14:textId="77777777" w:rsidR="00EB3D0B" w:rsidRPr="00F13D39" w:rsidRDefault="00EB3D0B" w:rsidP="00F13D39">
                <w:pPr>
                  <w:pStyle w:val="TBSubjectTable"/>
                </w:pPr>
                <w:r>
                  <w:t>5 martie 2026</w:t>
                </w:r>
              </w:p>
            </w:tc>
          </w:tr>
          <w:tr w:rsidR="00EB3D0B" w:rsidRPr="00F13D39" w14:paraId="74FD9CD0" w14:textId="77777777" w:rsidTr="00B511A2">
            <w:trPr>
              <w:jc w:val="center"/>
            </w:trPr>
            <w:tc>
              <w:tcPr>
                <w:tcW w:w="1985" w:type="dxa"/>
                <w:tcBorders>
                  <w:bottom w:val="single" w:sz="4" w:space="0" w:color="auto"/>
                </w:tcBorders>
              </w:tcPr>
              <w:p w14:paraId="5469C817" w14:textId="77777777" w:rsidR="00EB3D0B" w:rsidRPr="00F13D39" w:rsidRDefault="00EB3D0B" w:rsidP="00F13D39">
                <w:pPr>
                  <w:pStyle w:val="TBSubjectTable"/>
                </w:pPr>
                <w:r>
                  <w:t>Destinatar:</w:t>
                </w:r>
              </w:p>
            </w:tc>
            <w:tc>
              <w:tcPr>
                <w:tcW w:w="7660" w:type="dxa"/>
                <w:tcBorders>
                  <w:bottom w:val="single" w:sz="4" w:space="0" w:color="auto"/>
                </w:tcBorders>
              </w:tcPr>
              <w:p w14:paraId="792E0187" w14:textId="77777777" w:rsidR="00EB3D0B" w:rsidRPr="00F13D39" w:rsidRDefault="00EB3D0B" w:rsidP="00F13D39">
                <w:pPr>
                  <w:pStyle w:val="TBSubjectTable"/>
                </w:pPr>
                <w:r>
                  <w:t>Delegațiile</w:t>
                </w:r>
              </w:p>
            </w:tc>
          </w:tr>
          <w:tr w:rsidR="00EB3D0B" w:rsidRPr="00F13D39" w14:paraId="77316911" w14:textId="77777777" w:rsidTr="00B511A2">
            <w:trPr>
              <w:jc w:val="center"/>
            </w:trPr>
            <w:tc>
              <w:tcPr>
                <w:tcW w:w="1985" w:type="dxa"/>
                <w:tcBorders>
                  <w:top w:val="single" w:sz="4" w:space="0" w:color="auto"/>
                  <w:bottom w:val="single" w:sz="4" w:space="0" w:color="auto"/>
                </w:tcBorders>
              </w:tcPr>
              <w:p w14:paraId="4075D2AC" w14:textId="77777777" w:rsidR="00EB3D0B" w:rsidRPr="00F13D39" w:rsidRDefault="00EB3D0B" w:rsidP="00F13D39">
                <w:pPr>
                  <w:pStyle w:val="TBSubjectTable"/>
                </w:pPr>
                <w:r>
                  <w:t>Nr. doc. ant.:</w:t>
                </w:r>
              </w:p>
            </w:tc>
            <w:tc>
              <w:tcPr>
                <w:tcW w:w="7660" w:type="dxa"/>
                <w:tcBorders>
                  <w:top w:val="single" w:sz="4" w:space="0" w:color="auto"/>
                  <w:bottom w:val="single" w:sz="4" w:space="0" w:color="auto"/>
                </w:tcBorders>
              </w:tcPr>
              <w:p w14:paraId="031FD4C0" w14:textId="77777777" w:rsidR="00EB3D0B" w:rsidRPr="00F13D39" w:rsidRDefault="00EB3D0B" w:rsidP="00F13D39">
                <w:pPr>
                  <w:pStyle w:val="TBSubjectTable"/>
                </w:pPr>
                <w:r>
                  <w:t>6474/26</w:t>
                </w:r>
              </w:p>
            </w:tc>
          </w:tr>
          <w:tr w:rsidR="00EB3D0B" w:rsidRPr="00F13D39" w14:paraId="4F0A2F7C" w14:textId="77777777" w:rsidTr="00B511A2">
            <w:trPr>
              <w:jc w:val="center"/>
            </w:trPr>
            <w:tc>
              <w:tcPr>
                <w:tcW w:w="1985" w:type="dxa"/>
                <w:tcBorders>
                  <w:top w:val="single" w:sz="4" w:space="0" w:color="auto"/>
                  <w:bottom w:val="single" w:sz="4" w:space="0" w:color="auto"/>
                </w:tcBorders>
              </w:tcPr>
              <w:p w14:paraId="3D98AE89" w14:textId="77777777" w:rsidR="00EB3D0B" w:rsidRPr="00F13D39" w:rsidRDefault="00EB3D0B" w:rsidP="00F13D39">
                <w:pPr>
                  <w:pStyle w:val="TBSubjectTable"/>
                </w:pPr>
                <w:r>
                  <w:t>Subiect:</w:t>
                </w:r>
              </w:p>
            </w:tc>
            <w:tc>
              <w:tcPr>
                <w:tcW w:w="7660" w:type="dxa"/>
                <w:tcBorders>
                  <w:top w:val="single" w:sz="4" w:space="0" w:color="auto"/>
                  <w:bottom w:val="single" w:sz="4" w:space="0" w:color="auto"/>
                </w:tcBorders>
              </w:tcPr>
              <w:p w14:paraId="256C83D4" w14:textId="77777777" w:rsidR="00EB3D0B" w:rsidRPr="00F13D39" w:rsidRDefault="00EB3D0B" w:rsidP="00A56B75">
                <w:pPr>
                  <w:pStyle w:val="TBSubjectText"/>
                </w:pPr>
                <w:bookmarkStart w:id="0" w:name="SplitParasInCell_1"/>
                <w:bookmarkEnd w:id="0"/>
                <w:r>
                  <w:t>Decizie de punere în aplicare a Consiliului de formulare a unor recomandări de măsuri de remediere menite să abordeze deficiențele grave identificate în raportul de evaluare Schengen din 2025 pentru Portugalia în ceea ce privește verificările la frontierele externe, în conformitate cu Regulamentul (UE) 2022/922 al Consiliului</w:t>
                </w:r>
              </w:p>
            </w:tc>
          </w:tr>
        </w:tbl>
        <w:p w14:paraId="54CC8F39" w14:textId="77777777" w:rsidR="00EB3D0B" w:rsidRPr="00F751C6" w:rsidRDefault="00BC233B" w:rsidP="00F751C6">
          <w:pPr>
            <w:spacing w:before="20" w:after="240" w:line="20" w:lineRule="exact"/>
            <w:rPr>
              <w:sz w:val="2"/>
              <w:szCs w:val="2"/>
            </w:rPr>
          </w:pPr>
        </w:p>
      </w:sdtContent>
    </w:sdt>
    <w:p w14:paraId="4A68C5A6" w14:textId="77777777" w:rsidR="005861C4" w:rsidRPr="00EB3D0B" w:rsidRDefault="005861C4" w:rsidP="00DA0CF1">
      <w:pPr>
        <w:spacing w:before="0" w:after="0"/>
        <w:rPr>
          <w:b/>
          <w:noProof/>
        </w:rPr>
      </w:pPr>
      <w:bookmarkStart w:id="1" w:name="DQC_RangeToBeChecked"/>
      <w:r w:rsidRPr="00EB3D0B">
        <w:t>În anexă, se pune la dispoziția delegațiilor Decizia de punere în aplicare a Consiliului de formulare a unor recomandări de măsuri de remediere menite să abordeze deficiențele grave identificate în raportul de evaluare Schengen din 2025 pentru Portugalia în ceea ce privește verificările la frontierele externe, în conformitate cu Regulamentul (UE) 2022/922 al Consiliului, adoptată de Consiliu în cu ocazia reuniunii sale din 5 martie 2026.</w:t>
      </w:r>
    </w:p>
    <w:p w14:paraId="30734154" w14:textId="77777777" w:rsidR="005861C4" w:rsidRPr="00EB3D0B" w:rsidRDefault="005861C4" w:rsidP="00DA0CF1">
      <w:pPr>
        <w:spacing w:before="0" w:after="0"/>
      </w:pPr>
    </w:p>
    <w:p w14:paraId="509E0D0E" w14:textId="77777777" w:rsidR="005861C4" w:rsidRPr="00EB3D0B" w:rsidRDefault="005861C4" w:rsidP="009D1F72">
      <w:pPr>
        <w:spacing w:before="0" w:after="0"/>
      </w:pPr>
      <w:r w:rsidRPr="00EB3D0B">
        <w:t>În conformitate cu articolul 22 alineatul (4) din Regulamentul (UE) 2022/922 al Consiliului din 9 iunie 2022, aceste recomandări vor fi transmise Parlamentului European și parlamentelor naționale.</w:t>
      </w:r>
    </w:p>
    <w:p w14:paraId="5A67AE3F" w14:textId="77777777" w:rsidR="005861C4" w:rsidRPr="00EB3D0B" w:rsidRDefault="005861C4" w:rsidP="009D1F72">
      <w:pPr>
        <w:spacing w:before="0" w:after="0"/>
        <w:sectPr w:rsidR="005861C4" w:rsidRPr="00EB3D0B" w:rsidSect="00EB3D0B">
          <w:headerReference w:type="even" r:id="rId11"/>
          <w:headerReference w:type="default" r:id="rId12"/>
          <w:footerReference w:type="even" r:id="rId13"/>
          <w:footerReference w:type="default" r:id="rId14"/>
          <w:headerReference w:type="first" r:id="rId15"/>
          <w:footerReference w:type="first" r:id="rId16"/>
          <w:pgSz w:w="11907" w:h="16840" w:code="9"/>
          <w:pgMar w:top="624" w:right="1134" w:bottom="1134" w:left="1134" w:header="567" w:footer="567" w:gutter="0"/>
          <w:pgNumType w:start="1"/>
          <w:cols w:space="720"/>
          <w:titlePg/>
          <w:docGrid w:linePitch="360"/>
        </w:sectPr>
      </w:pPr>
    </w:p>
    <w:p w14:paraId="569490C2" w14:textId="77777777" w:rsidR="005861C4" w:rsidRPr="00EB3D0B" w:rsidRDefault="005861C4" w:rsidP="00DA0CF1">
      <w:pPr>
        <w:pStyle w:val="Annex"/>
      </w:pPr>
      <w:r w:rsidRPr="00EB3D0B">
        <w:lastRenderedPageBreak/>
        <w:t>ANEXĂ</w:t>
      </w:r>
    </w:p>
    <w:p w14:paraId="1C825592" w14:textId="77777777" w:rsidR="005861C4" w:rsidRPr="00EB3D0B" w:rsidRDefault="005861C4" w:rsidP="00DA0CF1">
      <w:pPr>
        <w:spacing w:before="360" w:after="0" w:line="240" w:lineRule="auto"/>
        <w:jc w:val="center"/>
        <w:rPr>
          <w:b/>
          <w:noProof/>
        </w:rPr>
      </w:pPr>
      <w:r w:rsidRPr="00EB3D0B">
        <w:rPr>
          <w:b/>
        </w:rPr>
        <w:t>DECIZIE DE PUNERE ÎN APLICARE A CONSILIULUI</w:t>
      </w:r>
    </w:p>
    <w:p w14:paraId="4F197584" w14:textId="61326292" w:rsidR="005861C4" w:rsidRPr="00EB3D0B" w:rsidRDefault="005861C4" w:rsidP="00DA0CF1">
      <w:pPr>
        <w:spacing w:before="360" w:after="360" w:line="240" w:lineRule="auto"/>
        <w:jc w:val="center"/>
        <w:rPr>
          <w:b/>
          <w:noProof/>
        </w:rPr>
      </w:pPr>
      <w:r w:rsidRPr="00EB3D0B">
        <w:rPr>
          <w:b/>
        </w:rPr>
        <w:t xml:space="preserve">de formulare a unor recomandări de măsuri de remediere menite să abordeze </w:t>
      </w:r>
      <w:r w:rsidR="00B0755D">
        <w:rPr>
          <w:b/>
        </w:rPr>
        <w:br/>
      </w:r>
      <w:r w:rsidRPr="00EB3D0B">
        <w:rPr>
          <w:b/>
        </w:rPr>
        <w:t xml:space="preserve">deficiențele grave identificate în raportul de evaluare Schengen din 2025 pentru Portugalia </w:t>
      </w:r>
      <w:r w:rsidR="00B0755D">
        <w:rPr>
          <w:b/>
        </w:rPr>
        <w:br/>
      </w:r>
      <w:r w:rsidRPr="00EB3D0B">
        <w:rPr>
          <w:b/>
        </w:rPr>
        <w:t xml:space="preserve">în ceea ce privește verificările la frontierele externe, </w:t>
      </w:r>
      <w:r w:rsidR="00B0755D">
        <w:rPr>
          <w:b/>
        </w:rPr>
        <w:br/>
      </w:r>
      <w:r w:rsidRPr="00EB3D0B">
        <w:rPr>
          <w:b/>
        </w:rPr>
        <w:t>în conformitate cu Regulamentul (UE) 2022/922 al Consiliului</w:t>
      </w:r>
    </w:p>
    <w:p w14:paraId="1EBE1AA1" w14:textId="77777777" w:rsidR="005861C4" w:rsidRPr="00EB3D0B" w:rsidRDefault="005861C4" w:rsidP="00DA0CF1">
      <w:pPr>
        <w:keepNext/>
        <w:spacing w:before="600" w:line="240" w:lineRule="auto"/>
        <w:jc w:val="both"/>
        <w:rPr>
          <w:noProof/>
        </w:rPr>
      </w:pPr>
      <w:r w:rsidRPr="00EB3D0B">
        <w:t>CONSILIUL UNIUNII EUROPENE,</w:t>
      </w:r>
    </w:p>
    <w:p w14:paraId="7E104583" w14:textId="77777777" w:rsidR="005861C4" w:rsidRPr="00EB3D0B" w:rsidRDefault="005861C4" w:rsidP="00DA0CF1">
      <w:pPr>
        <w:spacing w:line="240" w:lineRule="auto"/>
        <w:jc w:val="both"/>
        <w:rPr>
          <w:noProof/>
        </w:rPr>
      </w:pPr>
      <w:r w:rsidRPr="00EB3D0B">
        <w:t>având în vedere Tratatul privind funcționarea Uniunii Europene,</w:t>
      </w:r>
    </w:p>
    <w:p w14:paraId="5147A72D" w14:textId="77777777" w:rsidR="005861C4" w:rsidRPr="00EB3D0B" w:rsidRDefault="005861C4" w:rsidP="00DA0CF1">
      <w:pPr>
        <w:spacing w:line="240" w:lineRule="auto"/>
        <w:jc w:val="both"/>
        <w:rPr>
          <w:noProof/>
        </w:rPr>
      </w:pPr>
      <w:r w:rsidRPr="00EB3D0B">
        <w:t>având în vedere Regulamentul (UE) 2022/922 al Consiliului din 9 iunie 2022 privind instituirea și funcționarea unui mecanism de evaluare și monitorizare în vederea verificării aplicării acquis-ului Schengen și de abrogare a Regulamentului (UE) nr. 1053/2013</w:t>
      </w:r>
      <w:r w:rsidRPr="00EB3D0B">
        <w:rPr>
          <w:noProof/>
          <w:vertAlign w:val="superscript"/>
        </w:rPr>
        <w:footnoteReference w:id="1"/>
      </w:r>
      <w:r w:rsidRPr="00EB3D0B">
        <w:t>, în special articolul 22 alineatul (4),</w:t>
      </w:r>
    </w:p>
    <w:p w14:paraId="44E55B77" w14:textId="77777777" w:rsidR="005861C4" w:rsidRPr="00EB3D0B" w:rsidRDefault="005861C4" w:rsidP="00DA0CF1">
      <w:pPr>
        <w:spacing w:line="240" w:lineRule="auto"/>
        <w:jc w:val="both"/>
        <w:rPr>
          <w:noProof/>
        </w:rPr>
      </w:pPr>
      <w:r w:rsidRPr="00EB3D0B">
        <w:t>având în vedere propunerea Comisiei Europene,</w:t>
      </w:r>
    </w:p>
    <w:p w14:paraId="2DF2B036" w14:textId="77777777" w:rsidR="005861C4" w:rsidRPr="00EB3D0B" w:rsidRDefault="005861C4" w:rsidP="00DA0CF1">
      <w:pPr>
        <w:spacing w:line="240" w:lineRule="auto"/>
        <w:jc w:val="both"/>
        <w:rPr>
          <w:rFonts w:eastAsia="Times New Roman"/>
          <w:noProof/>
          <w:color w:val="333333"/>
        </w:rPr>
      </w:pPr>
    </w:p>
    <w:p w14:paraId="525EC223" w14:textId="77777777" w:rsidR="005861C4" w:rsidRPr="00EB3D0B" w:rsidRDefault="005861C4" w:rsidP="00DA0CF1">
      <w:pPr>
        <w:spacing w:line="240" w:lineRule="auto"/>
        <w:jc w:val="both"/>
        <w:rPr>
          <w:noProof/>
        </w:rPr>
      </w:pPr>
      <w:r w:rsidRPr="00EB3D0B">
        <w:t>întrucât:</w:t>
      </w:r>
    </w:p>
    <w:p w14:paraId="184A8D3D" w14:textId="77777777" w:rsidR="005861C4" w:rsidRPr="00EB3D0B" w:rsidRDefault="005861C4" w:rsidP="00DA0CF1">
      <w:pPr>
        <w:spacing w:line="240" w:lineRule="auto"/>
        <w:ind w:left="709" w:hanging="709"/>
        <w:jc w:val="both"/>
        <w:rPr>
          <w:noProof/>
        </w:rPr>
      </w:pPr>
      <w:r w:rsidRPr="00EB3D0B">
        <w:t>(1)</w:t>
      </w:r>
      <w:r w:rsidRPr="00EB3D0B">
        <w:tab/>
        <w:t>În conformitate cu articolul 4 alineatul (3) litera (b) din Regulamentul (UE) 2022/922, Comisia a organizat o evaluare neanunțată pentru a analiza gestionarea de către Portugalia a frontierei externe și aspectele relevante ale Sistemului de Informații Schengen, în special calitatea și eficiența verificărilor la frontiere, evaluare care a fost efectuată prin vizite la fața locului la aeroportul din Lisabona și în portul din Lisabona la 15 și, respectiv, 16 decembrie 2025.</w:t>
      </w:r>
    </w:p>
    <w:p w14:paraId="7F190C70" w14:textId="77777777" w:rsidR="005861C4" w:rsidRPr="00EB3D0B" w:rsidRDefault="005861C4" w:rsidP="00DA0CF1">
      <w:pPr>
        <w:spacing w:line="240" w:lineRule="auto"/>
        <w:ind w:left="709" w:hanging="709"/>
        <w:jc w:val="both"/>
        <w:rPr>
          <w:noProof/>
        </w:rPr>
      </w:pPr>
      <w:r w:rsidRPr="00EB3D0B">
        <w:t>(2)</w:t>
      </w:r>
      <w:r w:rsidRPr="00EB3D0B">
        <w:tab/>
        <w:t>Aeroportul din Lisabona are o importanță crucială pentru funcționarea și securitatea spațiului fără frontiere interne, deoarece este unul dintre cele mai importante puncte de trecere a frontierei aeriene în spațiul Schengen ca volum al fluxului de pasageri</w:t>
      </w:r>
      <w:r w:rsidRPr="00EB3D0B">
        <w:rPr>
          <w:noProof/>
          <w:vertAlign w:val="superscript"/>
        </w:rPr>
        <w:footnoteReference w:id="2"/>
      </w:r>
      <w:r w:rsidRPr="00EB3D0B">
        <w:t xml:space="preserve"> și al legăturilor aeriene cu Africa și America de Sud, în special Brazilia și Angola, care sunt țări cu riscuri semnificative în materie de migrație. Între 1 ianuarie 2025 și 30 noiembrie 2025, traficul din afara Schengen pe aeroportul din Lisabona a depășit pragul de 11,9 milioane de pasageri.</w:t>
      </w:r>
    </w:p>
    <w:p w14:paraId="7EFF1620" w14:textId="77777777" w:rsidR="005861C4" w:rsidRPr="00EB3D0B" w:rsidRDefault="005861C4" w:rsidP="00DA0CF1">
      <w:pPr>
        <w:spacing w:before="0" w:after="200" w:line="276" w:lineRule="auto"/>
        <w:rPr>
          <w:noProof/>
        </w:rPr>
      </w:pPr>
      <w:r w:rsidRPr="00EB3D0B">
        <w:br w:type="page"/>
      </w:r>
    </w:p>
    <w:p w14:paraId="1B00CA21" w14:textId="77777777" w:rsidR="005861C4" w:rsidRPr="00EB3D0B" w:rsidRDefault="005861C4" w:rsidP="00DA0CF1">
      <w:pPr>
        <w:spacing w:line="240" w:lineRule="auto"/>
        <w:ind w:left="709" w:hanging="709"/>
        <w:jc w:val="both"/>
        <w:rPr>
          <w:noProof/>
          <w:szCs w:val="24"/>
        </w:rPr>
      </w:pPr>
      <w:r w:rsidRPr="00EB3D0B">
        <w:lastRenderedPageBreak/>
        <w:t>(3)</w:t>
      </w:r>
      <w:r w:rsidRPr="00EB3D0B">
        <w:tab/>
        <w:t>Vizitele la fața locului au evidențiat deficiențe grave în efectuarea verificărilor la frontierele externe de către Portugalia pe aeroportul din Lisabona, din cauza calității foarte scăzute a verificărilor la frontiere din prima și din a doua linie, a timpului de așteptare excesiv de lung și a relaxării sistematice și nenotificate a verificărilor la frontiere, care a dus la absența controalelor la ieșire. Aceste deficiențe grave legate de controlul la frontierele externe au sau riscă să aibă, pe termen scurt și mediu, un impact negativ semnificativ asupra altor state membre, precum și asupra funcționării spațiului Schengen, prezentând un risc ridicat în materie de securitate pentru acest spațiu.</w:t>
      </w:r>
    </w:p>
    <w:p w14:paraId="08571B40" w14:textId="77777777" w:rsidR="005861C4" w:rsidRPr="00EB3D0B" w:rsidRDefault="005861C4" w:rsidP="00DA0CF1">
      <w:pPr>
        <w:spacing w:line="240" w:lineRule="auto"/>
        <w:ind w:left="709" w:hanging="709"/>
        <w:jc w:val="both"/>
        <w:rPr>
          <w:noProof/>
        </w:rPr>
      </w:pPr>
      <w:r w:rsidRPr="00EB3D0B">
        <w:t>(4)</w:t>
      </w:r>
      <w:r w:rsidRPr="00EB3D0B">
        <w:tab/>
        <w:t>În urma evaluării, Comisia a informat imediat Portugalia și Consiliul cu privire la deficiențele grave identificate și a adoptat, prin Decizia de punere în aplicare C(2026) 640 a Comisiei, un raport în care identifică deficiențele grave legate de verificările la frontierele externe.</w:t>
      </w:r>
    </w:p>
    <w:p w14:paraId="10BD0FC3" w14:textId="77777777" w:rsidR="005861C4" w:rsidRPr="00EB3D0B" w:rsidRDefault="005861C4" w:rsidP="00DA0CF1">
      <w:pPr>
        <w:spacing w:line="240" w:lineRule="auto"/>
        <w:ind w:left="709" w:hanging="709"/>
        <w:jc w:val="both"/>
        <w:rPr>
          <w:noProof/>
        </w:rPr>
      </w:pPr>
      <w:r w:rsidRPr="00EB3D0B">
        <w:t>(5)</w:t>
      </w:r>
      <w:r w:rsidRPr="00EB3D0B">
        <w:tab/>
        <w:t>Portugalia ar trebui să ia măsuri de remediere pentru a aborda deficiențele grave identificate. Având în vedere natura constatărilor Comisiei, este important ca fiecare dintre deficiențele identificate să fie remediată în cel mai scurt termen, pentru a asigura rapid verificări uniforme și de înalt nivel la frontiere pe aeroportul din Lisabona. În acest sens, ar trebui să se acorde prioritate punerii în aplicare a recomandărilor referitoare la calitatea verificărilor la frontiere, la capacitatea de detectare a fraudării documentelor, la formarea în domeniul controlului la frontiere și la alocarea resurselor umane pentru verificările la frontiere. Pentru a se asigura aplicarea efectivă a recomandărilor, ar trebui stabilite termene proporționale.</w:t>
      </w:r>
    </w:p>
    <w:p w14:paraId="40127771" w14:textId="77777777" w:rsidR="005861C4" w:rsidRPr="00EB3D0B" w:rsidRDefault="005861C4" w:rsidP="00DA0CF1">
      <w:pPr>
        <w:spacing w:line="240" w:lineRule="auto"/>
        <w:ind w:left="709" w:hanging="709"/>
        <w:jc w:val="both"/>
        <w:rPr>
          <w:noProof/>
        </w:rPr>
      </w:pPr>
      <w:r w:rsidRPr="00EB3D0B">
        <w:t>(6)</w:t>
      </w:r>
      <w:r w:rsidRPr="00EB3D0B">
        <w:tab/>
        <w:t>În temeiul articolului 22 alineatul (6) din Regulamentul (UE) 2022/922, în termen de o lună de la adoptarea prezentei decizii, Portugalia trebuie să elaboreze un plan de acțiune pentru punerea în aplicare a tuturor recomandărilor și pentru remedierea deficiențelor grave identificate în raportul de evaluare și să transmită planul de acțiune Comisiei și Consiliului. Consiliul trebuie să stabilească termene proporționale pentru punerea în aplicare a recomandărilor referitoare la o deficiență gravă.</w:t>
      </w:r>
    </w:p>
    <w:p w14:paraId="1F7D0E75" w14:textId="77777777" w:rsidR="005861C4" w:rsidRPr="00EB3D0B" w:rsidRDefault="005861C4" w:rsidP="00DA0CF1">
      <w:pPr>
        <w:spacing w:line="240" w:lineRule="auto"/>
        <w:ind w:left="709" w:hanging="709"/>
        <w:jc w:val="both"/>
        <w:rPr>
          <w:noProof/>
        </w:rPr>
      </w:pPr>
      <w:r w:rsidRPr="00EB3D0B">
        <w:t>(7)</w:t>
      </w:r>
      <w:r w:rsidRPr="00EB3D0B">
        <w:tab/>
        <w:t>Portugalia ar trebui să prezinte Comisiei și Consiliului un raport privind punerea în aplicare a planului său de acțiune din trei în trei luni după data notificării primirii analizei planului de acțiune, până când Comisia consideră că toate recomandările au fost puse în aplicare integral.</w:t>
      </w:r>
    </w:p>
    <w:p w14:paraId="1BA06144" w14:textId="77777777" w:rsidR="005861C4" w:rsidRPr="00EB3D0B" w:rsidRDefault="005861C4" w:rsidP="00DA0CF1">
      <w:pPr>
        <w:spacing w:line="240" w:lineRule="auto"/>
        <w:ind w:left="709" w:hanging="709"/>
        <w:jc w:val="both"/>
        <w:rPr>
          <w:noProof/>
        </w:rPr>
      </w:pPr>
      <w:r w:rsidRPr="00EB3D0B">
        <w:t>(8)</w:t>
      </w:r>
      <w:r w:rsidRPr="00EB3D0B">
        <w:tab/>
        <w:t>În conformitate cu articolul 22 alineatul (7) din Regulamentul (UE) 2022/922, în termen de cel mult un an de la data activității de evaluare, ar trebui să se efectueze o nouă vizită pentru a verifica progresele înregistrate în punerea în aplicare a recomandărilor,</w:t>
      </w:r>
    </w:p>
    <w:p w14:paraId="72C04178" w14:textId="77777777" w:rsidR="005861C4" w:rsidRPr="00EB3D0B" w:rsidRDefault="005861C4" w:rsidP="00DA0CF1">
      <w:pPr>
        <w:spacing w:before="0" w:after="200" w:line="276" w:lineRule="auto"/>
        <w:rPr>
          <w:noProof/>
        </w:rPr>
      </w:pPr>
      <w:r w:rsidRPr="00EB3D0B">
        <w:br w:type="page"/>
      </w:r>
    </w:p>
    <w:p w14:paraId="549C9BA4" w14:textId="77777777" w:rsidR="005861C4" w:rsidRPr="00EB3D0B" w:rsidRDefault="005861C4" w:rsidP="00DA0CF1">
      <w:pPr>
        <w:keepNext/>
        <w:spacing w:line="240" w:lineRule="auto"/>
        <w:jc w:val="both"/>
        <w:rPr>
          <w:noProof/>
        </w:rPr>
      </w:pPr>
      <w:r w:rsidRPr="00EB3D0B">
        <w:lastRenderedPageBreak/>
        <w:t>ADOPTĂ PREZENTA DECIZIE:</w:t>
      </w:r>
    </w:p>
    <w:p w14:paraId="170BD6F2" w14:textId="77777777" w:rsidR="005861C4" w:rsidRPr="00EB3D0B" w:rsidRDefault="005861C4" w:rsidP="00DA0CF1">
      <w:pPr>
        <w:keepNext/>
        <w:spacing w:before="360" w:line="240" w:lineRule="auto"/>
        <w:jc w:val="center"/>
        <w:rPr>
          <w:i/>
          <w:noProof/>
        </w:rPr>
      </w:pPr>
      <w:r w:rsidRPr="00EB3D0B">
        <w:rPr>
          <w:i/>
        </w:rPr>
        <w:t>Articolul 1</w:t>
      </w:r>
    </w:p>
    <w:p w14:paraId="3C41B8C3" w14:textId="77777777" w:rsidR="005861C4" w:rsidRPr="00EB3D0B" w:rsidRDefault="005861C4" w:rsidP="00DA0CF1">
      <w:pPr>
        <w:spacing w:line="240" w:lineRule="auto"/>
        <w:jc w:val="both"/>
        <w:rPr>
          <w:noProof/>
        </w:rPr>
      </w:pPr>
      <w:r w:rsidRPr="00EB3D0B">
        <w:t>Republica Portugheză pune în aplicare următoarele recomandări pentru a remedia deficiențele grave și alte neconformități și pentru a avansa în domenii care necesită îmbunătățiri și care sunt legate de deficiențe, astfel cum au fost identificate în raportul de evaluare a aeroportului din Lisabona și a portului din Lisabona:</w:t>
      </w:r>
    </w:p>
    <w:p w14:paraId="4059E92E" w14:textId="77777777" w:rsidR="005861C4" w:rsidRPr="00EB3D0B" w:rsidRDefault="005861C4" w:rsidP="00DA0CF1">
      <w:pPr>
        <w:spacing w:line="240" w:lineRule="auto"/>
        <w:jc w:val="both"/>
        <w:rPr>
          <w:noProof/>
        </w:rPr>
      </w:pPr>
      <w:r w:rsidRPr="00EB3D0B">
        <w:rPr>
          <w:b/>
        </w:rPr>
        <w:t>Capacitatea de a detecta fraudarea documentelor</w:t>
      </w:r>
      <w:r w:rsidRPr="00EB3D0B">
        <w:t>:</w:t>
      </w:r>
    </w:p>
    <w:p w14:paraId="54536978" w14:textId="77777777" w:rsidR="005861C4" w:rsidRPr="00EB3D0B" w:rsidRDefault="005861C4" w:rsidP="00DA0CF1">
      <w:pPr>
        <w:spacing w:line="240" w:lineRule="auto"/>
        <w:ind w:left="850" w:hanging="850"/>
        <w:jc w:val="both"/>
        <w:rPr>
          <w:noProof/>
        </w:rPr>
      </w:pPr>
      <w:r w:rsidRPr="00EB3D0B">
        <w:t>1.</w:t>
      </w:r>
      <w:r w:rsidRPr="00EB3D0B">
        <w:tab/>
        <w:t>să asigure un număr suficient de experți în materie de documente formați și să instituie o capacitate națională de detectare a fraudării documentelor;</w:t>
      </w:r>
    </w:p>
    <w:p w14:paraId="1F01FFAE" w14:textId="77777777" w:rsidR="005861C4" w:rsidRPr="00EB3D0B" w:rsidRDefault="005861C4" w:rsidP="00DA0CF1">
      <w:pPr>
        <w:spacing w:line="240" w:lineRule="auto"/>
        <w:jc w:val="both"/>
        <w:rPr>
          <w:b/>
          <w:bCs/>
          <w:noProof/>
        </w:rPr>
      </w:pPr>
      <w:r w:rsidRPr="00EB3D0B">
        <w:rPr>
          <w:b/>
        </w:rPr>
        <w:t>Formarea în domeniul controlului la frontiere:</w:t>
      </w:r>
    </w:p>
    <w:p w14:paraId="2ABA7CF2" w14:textId="77777777" w:rsidR="005861C4" w:rsidRPr="00EB3D0B" w:rsidRDefault="005861C4" w:rsidP="00DA0CF1">
      <w:pPr>
        <w:spacing w:line="240" w:lineRule="auto"/>
        <w:ind w:left="850" w:hanging="850"/>
        <w:jc w:val="both"/>
        <w:rPr>
          <w:noProof/>
        </w:rPr>
      </w:pPr>
      <w:r w:rsidRPr="00EB3D0B">
        <w:t>2.</w:t>
      </w:r>
      <w:r w:rsidRPr="00EB3D0B">
        <w:tab/>
        <w:t>să integreze programa comună de bază în sistemul de formare pentru autoritățile portugheze responsabile cu verificările la frontiere; să desfășoare activități de formare obligatorii pentru verificările la frontiere; să evalueze nivelul cunoștințelor dobândite de personalul care urmează formările; până la 30 aprilie 2026, să organizeze cursuri periodice de menținere și perfecționare pentru verificările la frontiere;</w:t>
      </w:r>
    </w:p>
    <w:p w14:paraId="4F58155F" w14:textId="77777777" w:rsidR="005861C4" w:rsidRPr="00EB3D0B" w:rsidRDefault="005861C4" w:rsidP="00DA0CF1">
      <w:pPr>
        <w:spacing w:line="240" w:lineRule="auto"/>
        <w:jc w:val="both"/>
        <w:rPr>
          <w:b/>
          <w:bCs/>
          <w:noProof/>
        </w:rPr>
      </w:pPr>
      <w:r w:rsidRPr="00EB3D0B">
        <w:rPr>
          <w:b/>
        </w:rPr>
        <w:t>Calitatea verificărilor la frontiere:</w:t>
      </w:r>
    </w:p>
    <w:p w14:paraId="0138C5F7" w14:textId="77777777" w:rsidR="005861C4" w:rsidRPr="00EB3D0B" w:rsidRDefault="005861C4" w:rsidP="00DA0CF1">
      <w:pPr>
        <w:spacing w:line="240" w:lineRule="auto"/>
        <w:ind w:left="850" w:hanging="850"/>
        <w:jc w:val="both"/>
        <w:rPr>
          <w:noProof/>
        </w:rPr>
      </w:pPr>
      <w:r w:rsidRPr="00EB3D0B">
        <w:t>3.</w:t>
      </w:r>
      <w:r w:rsidRPr="00EB3D0B">
        <w:tab/>
        <w:t>până la 30 aprilie 2026, să asigure verificări sistematice la frontieră pentru toate persoanele care trec frontiera externă la aeroportul din Lisabona;</w:t>
      </w:r>
    </w:p>
    <w:p w14:paraId="7A0F5025" w14:textId="77777777" w:rsidR="005861C4" w:rsidRPr="00EB3D0B" w:rsidRDefault="005861C4" w:rsidP="00DA0CF1">
      <w:pPr>
        <w:spacing w:line="240" w:lineRule="auto"/>
        <w:ind w:left="850" w:hanging="850"/>
        <w:jc w:val="both"/>
        <w:rPr>
          <w:noProof/>
        </w:rPr>
      </w:pPr>
      <w:r w:rsidRPr="00EB3D0B">
        <w:t>4.</w:t>
      </w:r>
      <w:r w:rsidRPr="00EB3D0B">
        <w:tab/>
        <w:t>până în aprilie 2026, să sporească gradul de conștientizare în rândul polițiștilor de frontieră cu privire la profilurile și indicatorii de risc și să asigure utilizarea produselor de analiză a riscurilor și a tehnicilor de creare de profiluri în cadrul verificărilor din prima linie;</w:t>
      </w:r>
    </w:p>
    <w:p w14:paraId="38829D38" w14:textId="77777777" w:rsidR="005861C4" w:rsidRPr="00EB3D0B" w:rsidRDefault="005861C4" w:rsidP="00DA0CF1">
      <w:pPr>
        <w:spacing w:line="240" w:lineRule="auto"/>
        <w:ind w:left="850" w:hanging="850"/>
        <w:jc w:val="both"/>
        <w:rPr>
          <w:noProof/>
        </w:rPr>
      </w:pPr>
      <w:r w:rsidRPr="00EB3D0B">
        <w:t>5.</w:t>
      </w:r>
      <w:r w:rsidRPr="00EB3D0B">
        <w:tab/>
        <w:t>până la 30 aprilie 2026, să asigure instalarea în cabinele de control a unor echipamente de detectare a fraudării documentelor, pentru a sprijini capacitatea polițiștilor de frontieră din prima linie de a detecta fraudarea documentelor;</w:t>
      </w:r>
    </w:p>
    <w:p w14:paraId="05D64371" w14:textId="77777777" w:rsidR="005861C4" w:rsidRPr="00EB3D0B" w:rsidRDefault="005861C4" w:rsidP="00DA0CF1">
      <w:pPr>
        <w:spacing w:line="240" w:lineRule="auto"/>
        <w:ind w:left="850" w:hanging="850"/>
        <w:jc w:val="both"/>
        <w:rPr>
          <w:noProof/>
        </w:rPr>
      </w:pPr>
      <w:r w:rsidRPr="00EB3D0B">
        <w:t>6.</w:t>
      </w:r>
      <w:r w:rsidRPr="00EB3D0B">
        <w:tab/>
        <w:t>până la 30 aprilie 2026, să se asigure că relaxarea verificărilor la frontiere este aplicată numai ca urmare a unor circumstanțe excepționale și neprevăzute, să garanteze verificări sistematice și să se asigure că se transmite Comisiei Europene, o dată pe an, un raport cu privire la cazurile de relaxare a verificărilor la frontiere;</w:t>
      </w:r>
    </w:p>
    <w:p w14:paraId="07E5EE37" w14:textId="77777777" w:rsidR="005861C4" w:rsidRPr="00EB3D0B" w:rsidRDefault="005861C4" w:rsidP="00DA0CF1">
      <w:pPr>
        <w:spacing w:line="240" w:lineRule="auto"/>
        <w:ind w:left="850" w:hanging="850"/>
        <w:jc w:val="both"/>
        <w:rPr>
          <w:noProof/>
        </w:rPr>
      </w:pPr>
      <w:r w:rsidRPr="00EB3D0B">
        <w:t>7.</w:t>
      </w:r>
      <w:r w:rsidRPr="00EB3D0B">
        <w:tab/>
        <w:t>să efectueze verificări amănunțite ale pasagerilor care utilizează porțile electronice, asigurând verificarea condițiilor de intrare a pasagerilor respectivi;</w:t>
      </w:r>
    </w:p>
    <w:p w14:paraId="1AF0753F" w14:textId="77777777" w:rsidR="005861C4" w:rsidRPr="00EB3D0B" w:rsidRDefault="005861C4" w:rsidP="00DA0CF1">
      <w:pPr>
        <w:spacing w:before="0" w:after="200" w:line="276" w:lineRule="auto"/>
        <w:rPr>
          <w:b/>
          <w:bCs/>
          <w:noProof/>
          <w:szCs w:val="24"/>
        </w:rPr>
      </w:pPr>
      <w:r w:rsidRPr="00EB3D0B">
        <w:br w:type="page"/>
      </w:r>
    </w:p>
    <w:p w14:paraId="15CEAD62" w14:textId="77777777" w:rsidR="005861C4" w:rsidRPr="00EB3D0B" w:rsidRDefault="005861C4" w:rsidP="00DA0CF1">
      <w:pPr>
        <w:spacing w:line="240" w:lineRule="auto"/>
        <w:jc w:val="both"/>
        <w:rPr>
          <w:noProof/>
          <w:szCs w:val="24"/>
        </w:rPr>
      </w:pPr>
      <w:r w:rsidRPr="00EB3D0B">
        <w:rPr>
          <w:b/>
        </w:rPr>
        <w:lastRenderedPageBreak/>
        <w:t>Cooperarea interinstituțională la aeroportul din Lisabona și la portul din Lisabona:</w:t>
      </w:r>
    </w:p>
    <w:p w14:paraId="34DE449F" w14:textId="77777777" w:rsidR="005861C4" w:rsidRPr="00EB3D0B" w:rsidRDefault="005861C4" w:rsidP="00DA0CF1">
      <w:pPr>
        <w:spacing w:line="240" w:lineRule="auto"/>
        <w:ind w:left="850" w:hanging="850"/>
        <w:jc w:val="both"/>
        <w:rPr>
          <w:noProof/>
          <w:szCs w:val="24"/>
        </w:rPr>
      </w:pPr>
      <w:r w:rsidRPr="00EB3D0B">
        <w:t>8.</w:t>
      </w:r>
      <w:r w:rsidRPr="00EB3D0B">
        <w:tab/>
        <w:t>să îmbunătățească coordonarea orizontală și cooperarea interinstituțională dintre autoritățile portugheze responsabile cu controlul la frontiere, pentru a asigura efectuarea unor verificări uniforme și de înalt nivel la frontiere;</w:t>
      </w:r>
    </w:p>
    <w:p w14:paraId="4DFB4E32" w14:textId="77777777" w:rsidR="005861C4" w:rsidRPr="00EB3D0B" w:rsidRDefault="005861C4" w:rsidP="00DA0CF1">
      <w:pPr>
        <w:numPr>
          <w:ilvl w:val="0"/>
          <w:numId w:val="22"/>
        </w:numPr>
        <w:spacing w:line="240" w:lineRule="auto"/>
        <w:ind w:left="0" w:firstLine="0"/>
        <w:jc w:val="both"/>
        <w:rPr>
          <w:b/>
          <w:bCs/>
          <w:noProof/>
          <w:szCs w:val="24"/>
        </w:rPr>
      </w:pPr>
      <w:r w:rsidRPr="00EB3D0B">
        <w:rPr>
          <w:b/>
        </w:rPr>
        <w:t>Resurse umane pentru controlul la frontiere în aeroportul din Lisabona:</w:t>
      </w:r>
    </w:p>
    <w:p w14:paraId="3CF3A41D" w14:textId="77777777" w:rsidR="005861C4" w:rsidRPr="00EB3D0B" w:rsidRDefault="005861C4" w:rsidP="00DA0CF1">
      <w:pPr>
        <w:spacing w:line="240" w:lineRule="auto"/>
        <w:ind w:left="850" w:hanging="850"/>
        <w:jc w:val="both"/>
        <w:rPr>
          <w:bCs/>
          <w:noProof/>
          <w:szCs w:val="24"/>
        </w:rPr>
      </w:pPr>
      <w:r w:rsidRPr="00EB3D0B">
        <w:t>9.</w:t>
      </w:r>
      <w:r w:rsidRPr="00EB3D0B">
        <w:tab/>
        <w:t>să optimizeze alocarea și mobilizarea personalului responsabil cu verificările la frontiere în funcție de nevoile actuale și emergente, pentru a asigura efectuarea unor verificări sistematice și eficiente la frontiere;</w:t>
      </w:r>
    </w:p>
    <w:p w14:paraId="69EBBF1B" w14:textId="77777777" w:rsidR="005861C4" w:rsidRPr="00EB3D0B" w:rsidRDefault="005861C4" w:rsidP="0071380C">
      <w:pPr>
        <w:numPr>
          <w:ilvl w:val="0"/>
          <w:numId w:val="22"/>
        </w:numPr>
        <w:spacing w:line="240" w:lineRule="auto"/>
        <w:ind w:hanging="1209"/>
        <w:jc w:val="both"/>
        <w:rPr>
          <w:b/>
          <w:bCs/>
          <w:noProof/>
          <w:szCs w:val="24"/>
        </w:rPr>
      </w:pPr>
      <w:r w:rsidRPr="00EB3D0B">
        <w:rPr>
          <w:b/>
        </w:rPr>
        <w:t>Calitatea verificărilor la frontiere în aeroportul din Lisabona și în portul din Lisabona:</w:t>
      </w:r>
    </w:p>
    <w:p w14:paraId="140F4F18" w14:textId="77777777" w:rsidR="005861C4" w:rsidRPr="00EB3D0B" w:rsidRDefault="005861C4" w:rsidP="00DA0CF1">
      <w:pPr>
        <w:spacing w:line="240" w:lineRule="auto"/>
        <w:ind w:left="850" w:hanging="850"/>
        <w:jc w:val="both"/>
        <w:rPr>
          <w:noProof/>
          <w:color w:val="000000" w:themeColor="text1"/>
          <w:szCs w:val="24"/>
        </w:rPr>
      </w:pPr>
      <w:r w:rsidRPr="00EB3D0B">
        <w:t>10.</w:t>
      </w:r>
      <w:r w:rsidRPr="00EB3D0B">
        <w:tab/>
        <w:t>să adopte o procedură de colectare discretă a informațiilor în cazul unor rezultate pozitive privind semnalările, în vederea efectuării de controale discrete la porțile electronice din aeroportul din Lisabona, care să nu pună în pericol natura acestor controale;</w:t>
      </w:r>
    </w:p>
    <w:p w14:paraId="2A5A0EDB" w14:textId="77777777" w:rsidR="005861C4" w:rsidRPr="00EB3D0B" w:rsidRDefault="005861C4" w:rsidP="00DA0CF1">
      <w:pPr>
        <w:spacing w:line="240" w:lineRule="auto"/>
        <w:ind w:left="850" w:hanging="850"/>
        <w:jc w:val="both"/>
        <w:rPr>
          <w:noProof/>
          <w:szCs w:val="24"/>
        </w:rPr>
      </w:pPr>
      <w:r w:rsidRPr="00EB3D0B">
        <w:t>11.</w:t>
      </w:r>
      <w:r w:rsidRPr="00EB3D0B">
        <w:tab/>
        <w:t>să asigure eliberarea vizelor uniforme la frontieră și cunoașterea corespunzătoare de către polițiștii de frontieră a procedurilor de eliberare a vizelor și să se asigure că vizele pentru membrii de familie ai cetățenilor Uniunii sunt eliberate gratuit;</w:t>
      </w:r>
    </w:p>
    <w:p w14:paraId="5BF8B7CE" w14:textId="77777777" w:rsidR="005861C4" w:rsidRPr="00EB3D0B" w:rsidRDefault="005861C4" w:rsidP="00DA0CF1">
      <w:pPr>
        <w:spacing w:line="240" w:lineRule="auto"/>
        <w:ind w:left="850" w:hanging="850"/>
        <w:jc w:val="both"/>
        <w:rPr>
          <w:noProof/>
          <w:szCs w:val="24"/>
        </w:rPr>
      </w:pPr>
      <w:r w:rsidRPr="00EB3D0B">
        <w:t>12.</w:t>
      </w:r>
      <w:r w:rsidRPr="00EB3D0B">
        <w:tab/>
        <w:t>să se asigure că toate informațiile disponibile în Sistemul de Informații Schengen sunt afișate corect în aplicațiile de verificare la frontiere, pentru a permite efectuarea eficientă a controalelor din prima linie;</w:t>
      </w:r>
    </w:p>
    <w:p w14:paraId="6FB04847" w14:textId="77777777" w:rsidR="005861C4" w:rsidRPr="00EB3D0B" w:rsidRDefault="005861C4" w:rsidP="00BC233B">
      <w:pPr>
        <w:keepNext/>
        <w:spacing w:line="240" w:lineRule="auto"/>
        <w:jc w:val="both"/>
        <w:rPr>
          <w:b/>
          <w:bCs/>
          <w:noProof/>
          <w:szCs w:val="24"/>
        </w:rPr>
      </w:pPr>
      <w:r w:rsidRPr="00EB3D0B">
        <w:rPr>
          <w:b/>
        </w:rPr>
        <w:t>Analiza riscurilor și schimbul de informații la aeroportul din Lisabona și la portul din Lisabona:</w:t>
      </w:r>
    </w:p>
    <w:p w14:paraId="58D1C1F4" w14:textId="77777777" w:rsidR="005861C4" w:rsidRPr="00EB3D0B" w:rsidRDefault="005861C4" w:rsidP="00DA0CF1">
      <w:pPr>
        <w:spacing w:line="240" w:lineRule="auto"/>
        <w:ind w:left="850" w:hanging="850"/>
        <w:jc w:val="both"/>
        <w:rPr>
          <w:noProof/>
          <w:szCs w:val="24"/>
        </w:rPr>
      </w:pPr>
      <w:r w:rsidRPr="00EB3D0B">
        <w:t>13.</w:t>
      </w:r>
      <w:r w:rsidRPr="00EB3D0B">
        <w:tab/>
        <w:t>să se asigure că se realizează regulat produse de analiză a riscurilor;</w:t>
      </w:r>
    </w:p>
    <w:p w14:paraId="020A98B8" w14:textId="77777777" w:rsidR="005861C4" w:rsidRPr="00EB3D0B" w:rsidRDefault="005861C4" w:rsidP="00DA0CF1">
      <w:pPr>
        <w:spacing w:line="240" w:lineRule="auto"/>
        <w:ind w:left="850" w:hanging="850"/>
        <w:jc w:val="both"/>
        <w:rPr>
          <w:noProof/>
          <w:szCs w:val="24"/>
        </w:rPr>
      </w:pPr>
      <w:r w:rsidRPr="00EB3D0B">
        <w:t>14.</w:t>
      </w:r>
      <w:r w:rsidRPr="00EB3D0B">
        <w:tab/>
        <w:t>să elaboreze și să pună în aplicare un program național de formare în domeniul analizei riscurilor, pe baza modelului comun de analiză integrată a riscului, și să asigure disponibilitatea acestuia pentru analiștii de la toate nivelurile.</w:t>
      </w:r>
    </w:p>
    <w:p w14:paraId="6B916D9C" w14:textId="77777777" w:rsidR="005861C4" w:rsidRPr="00EB3D0B" w:rsidRDefault="005861C4" w:rsidP="00DA0CF1">
      <w:pPr>
        <w:keepNext/>
        <w:spacing w:before="360" w:line="240" w:lineRule="auto"/>
        <w:jc w:val="center"/>
        <w:rPr>
          <w:i/>
          <w:noProof/>
        </w:rPr>
      </w:pPr>
      <w:r w:rsidRPr="00EB3D0B">
        <w:rPr>
          <w:i/>
        </w:rPr>
        <w:t>Articolul 2</w:t>
      </w:r>
    </w:p>
    <w:p w14:paraId="4526DE4E" w14:textId="77777777" w:rsidR="005861C4" w:rsidRPr="00EB3D0B" w:rsidRDefault="005861C4" w:rsidP="00DA0CF1">
      <w:pPr>
        <w:spacing w:line="240" w:lineRule="auto"/>
        <w:jc w:val="both"/>
        <w:rPr>
          <w:noProof/>
        </w:rPr>
      </w:pPr>
      <w:r w:rsidRPr="00EB3D0B">
        <w:t>Prezenta decizie se adresează Republicii Portugheze.</w:t>
      </w:r>
    </w:p>
    <w:p w14:paraId="7F2B1EA3" w14:textId="77777777" w:rsidR="005861C4" w:rsidRPr="00EB3D0B" w:rsidRDefault="005861C4" w:rsidP="00DA0CF1">
      <w:pPr>
        <w:keepNext/>
        <w:spacing w:after="0" w:line="240" w:lineRule="auto"/>
        <w:jc w:val="both"/>
        <w:rPr>
          <w:noProof/>
        </w:rPr>
      </w:pPr>
      <w:r w:rsidRPr="00EB3D0B">
        <w:t>Adoptată la Bruxelles,</w:t>
      </w:r>
    </w:p>
    <w:p w14:paraId="34435E48" w14:textId="77777777" w:rsidR="005861C4" w:rsidRPr="00EB3D0B" w:rsidRDefault="005861C4" w:rsidP="00DA0CF1">
      <w:pPr>
        <w:keepNext/>
        <w:tabs>
          <w:tab w:val="left" w:pos="4252"/>
        </w:tabs>
        <w:spacing w:before="720" w:after="0" w:line="240" w:lineRule="auto"/>
        <w:jc w:val="both"/>
        <w:rPr>
          <w:i/>
          <w:noProof/>
        </w:rPr>
      </w:pPr>
      <w:r w:rsidRPr="00EB3D0B">
        <w:rPr>
          <w:i/>
        </w:rPr>
        <w:tab/>
        <w:t>Pentru Consiliu</w:t>
      </w:r>
    </w:p>
    <w:p w14:paraId="1784CECB" w14:textId="77777777" w:rsidR="005861C4" w:rsidRPr="00EB3D0B" w:rsidRDefault="005861C4" w:rsidP="00DA0CF1">
      <w:pPr>
        <w:tabs>
          <w:tab w:val="left" w:pos="4252"/>
        </w:tabs>
        <w:spacing w:before="0" w:after="0" w:line="240" w:lineRule="auto"/>
        <w:rPr>
          <w:i/>
          <w:noProof/>
        </w:rPr>
      </w:pPr>
      <w:r w:rsidRPr="00EB3D0B">
        <w:rPr>
          <w:i/>
        </w:rPr>
        <w:tab/>
        <w:t>Președintele</w:t>
      </w:r>
    </w:p>
    <w:bookmarkEnd w:id="1"/>
    <w:p w14:paraId="5CFE0508" w14:textId="77777777" w:rsidR="005861C4" w:rsidRDefault="005861C4">
      <w:pPr>
        <w:pStyle w:val="FinalLine"/>
      </w:pPr>
    </w:p>
    <w:sectPr w:rsidR="005861C4" w:rsidSect="00EB3D0B">
      <w:headerReference w:type="even" r:id="rId17"/>
      <w:headerReference w:type="default" r:id="rId18"/>
      <w:footerReference w:type="even" r:id="rId19"/>
      <w:footerReference w:type="default" r:id="rId20"/>
      <w:headerReference w:type="first" r:id="rId21"/>
      <w:footerReference w:type="first" r:id="rId22"/>
      <w:pgSz w:w="11907" w:h="16840"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571F9" w14:textId="77777777" w:rsidR="00144FF1" w:rsidRDefault="00144FF1" w:rsidP="00A43C50">
      <w:r>
        <w:separator/>
      </w:r>
    </w:p>
  </w:endnote>
  <w:endnote w:type="continuationSeparator" w:id="0">
    <w:p w14:paraId="08DF6930" w14:textId="77777777" w:rsidR="00144FF1" w:rsidRDefault="00144FF1" w:rsidP="00A43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99B7A" w14:textId="77777777" w:rsidR="00EB3D0B" w:rsidRPr="00EB3D0B" w:rsidRDefault="00EB3D0B" w:rsidP="00EB3D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EB3D0B" w:rsidRPr="00D94637" w14:paraId="5F769FB0" w14:textId="77777777" w:rsidTr="00EB3D0B">
      <w:trPr>
        <w:jc w:val="center"/>
      </w:trPr>
      <w:tc>
        <w:tcPr>
          <w:tcW w:w="5000" w:type="pct"/>
          <w:gridSpan w:val="7"/>
          <w:shd w:val="clear" w:color="auto" w:fill="auto"/>
          <w:tcMar>
            <w:top w:w="57" w:type="dxa"/>
          </w:tcMar>
        </w:tcPr>
        <w:p w14:paraId="0BA1F668" w14:textId="77777777" w:rsidR="00EB3D0B" w:rsidRPr="00D94637" w:rsidRDefault="00EB3D0B" w:rsidP="00D94637">
          <w:pPr>
            <w:pStyle w:val="FooterText"/>
            <w:pBdr>
              <w:top w:val="single" w:sz="4" w:space="1" w:color="auto"/>
            </w:pBdr>
            <w:spacing w:before="200"/>
            <w:rPr>
              <w:sz w:val="2"/>
              <w:szCs w:val="2"/>
            </w:rPr>
          </w:pPr>
          <w:bookmarkStart w:id="2" w:name="FOOTER_STANDARD"/>
        </w:p>
      </w:tc>
    </w:tr>
    <w:tr w:rsidR="00EB3D0B" w:rsidRPr="00B310DC" w14:paraId="418FBF6D" w14:textId="77777777" w:rsidTr="00EB3D0B">
      <w:trPr>
        <w:jc w:val="center"/>
      </w:trPr>
      <w:tc>
        <w:tcPr>
          <w:tcW w:w="2500" w:type="pct"/>
          <w:gridSpan w:val="2"/>
          <w:shd w:val="clear" w:color="auto" w:fill="auto"/>
          <w:tcMar>
            <w:top w:w="0" w:type="dxa"/>
          </w:tcMar>
        </w:tcPr>
        <w:p w14:paraId="64D90DB5" w14:textId="568C9639" w:rsidR="00EB3D0B" w:rsidRPr="00AD7BF2" w:rsidRDefault="00EB3D0B" w:rsidP="004F54B2">
          <w:pPr>
            <w:pStyle w:val="FooterText"/>
          </w:pPr>
          <w:r>
            <w:t>7049/26</w:t>
          </w:r>
          <w:r w:rsidRPr="002511D8">
            <w:t xml:space="preserve"> </w:t>
          </w:r>
        </w:p>
      </w:tc>
      <w:tc>
        <w:tcPr>
          <w:tcW w:w="625" w:type="pct"/>
          <w:shd w:val="clear" w:color="auto" w:fill="auto"/>
          <w:tcMar>
            <w:top w:w="0" w:type="dxa"/>
          </w:tcMar>
        </w:tcPr>
        <w:p w14:paraId="75EFD2BC" w14:textId="77777777" w:rsidR="00EB3D0B" w:rsidRPr="00AD7BF2" w:rsidRDefault="00EB3D0B" w:rsidP="00D94637">
          <w:pPr>
            <w:pStyle w:val="FooterText"/>
            <w:jc w:val="center"/>
          </w:pPr>
        </w:p>
      </w:tc>
      <w:tc>
        <w:tcPr>
          <w:tcW w:w="1286" w:type="pct"/>
          <w:gridSpan w:val="3"/>
          <w:shd w:val="clear" w:color="auto" w:fill="auto"/>
          <w:tcMar>
            <w:top w:w="0" w:type="dxa"/>
          </w:tcMar>
        </w:tcPr>
        <w:p w14:paraId="0C746B6A" w14:textId="77777777" w:rsidR="00EB3D0B" w:rsidRPr="002511D8" w:rsidRDefault="00EB3D0B" w:rsidP="00D94637">
          <w:pPr>
            <w:pStyle w:val="FooterText"/>
            <w:jc w:val="center"/>
          </w:pPr>
        </w:p>
      </w:tc>
      <w:tc>
        <w:tcPr>
          <w:tcW w:w="589" w:type="pct"/>
          <w:shd w:val="clear" w:color="auto" w:fill="auto"/>
          <w:tcMar>
            <w:top w:w="0" w:type="dxa"/>
          </w:tcMar>
        </w:tcPr>
        <w:p w14:paraId="69497163" w14:textId="55A3FC12" w:rsidR="00EB3D0B" w:rsidRPr="00B310DC" w:rsidRDefault="00EB3D0B"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EB3D0B" w:rsidRPr="00D94637" w14:paraId="26142D71" w14:textId="77777777" w:rsidTr="00EB3D0B">
      <w:trPr>
        <w:jc w:val="center"/>
      </w:trPr>
      <w:tc>
        <w:tcPr>
          <w:tcW w:w="1774" w:type="pct"/>
          <w:shd w:val="clear" w:color="auto" w:fill="auto"/>
        </w:tcPr>
        <w:p w14:paraId="42AF97FB" w14:textId="43EA1724" w:rsidR="00EB3D0B" w:rsidRPr="00AD7BF2" w:rsidRDefault="00EB3D0B" w:rsidP="00D94637">
          <w:pPr>
            <w:pStyle w:val="FooterText"/>
            <w:spacing w:before="40"/>
          </w:pPr>
        </w:p>
      </w:tc>
      <w:tc>
        <w:tcPr>
          <w:tcW w:w="1455" w:type="pct"/>
          <w:gridSpan w:val="3"/>
          <w:shd w:val="clear" w:color="auto" w:fill="auto"/>
        </w:tcPr>
        <w:p w14:paraId="65665ACA" w14:textId="4A2ABC6D" w:rsidR="00EB3D0B" w:rsidRPr="00AD7BF2" w:rsidRDefault="00EB3D0B" w:rsidP="00D204D6">
          <w:pPr>
            <w:pStyle w:val="FooterText"/>
            <w:spacing w:before="40"/>
            <w:jc w:val="center"/>
          </w:pPr>
          <w:r>
            <w:t>JAI.B</w:t>
          </w:r>
        </w:p>
      </w:tc>
      <w:tc>
        <w:tcPr>
          <w:tcW w:w="742" w:type="pct"/>
          <w:shd w:val="clear" w:color="auto" w:fill="auto"/>
        </w:tcPr>
        <w:p w14:paraId="22B5D2B9" w14:textId="33D186A7" w:rsidR="00EB3D0B" w:rsidRPr="00D94637" w:rsidRDefault="00EB3D0B" w:rsidP="002F0099">
          <w:pPr>
            <w:pStyle w:val="FooterText"/>
            <w:jc w:val="center"/>
            <w:rPr>
              <w:b/>
              <w:position w:val="-4"/>
              <w:sz w:val="36"/>
            </w:rPr>
          </w:pPr>
        </w:p>
      </w:tc>
      <w:tc>
        <w:tcPr>
          <w:tcW w:w="1029" w:type="pct"/>
          <w:gridSpan w:val="2"/>
          <w:shd w:val="clear" w:color="auto" w:fill="auto"/>
        </w:tcPr>
        <w:p w14:paraId="3461C6CB" w14:textId="7C1B2D5B" w:rsidR="00EB3D0B" w:rsidRPr="00695BAF" w:rsidRDefault="00EB3D0B" w:rsidP="00D94637">
          <w:pPr>
            <w:pStyle w:val="FooterText"/>
            <w:jc w:val="right"/>
            <w:rPr>
              <w:caps/>
              <w:spacing w:val="-20"/>
              <w:sz w:val="16"/>
            </w:rPr>
          </w:pPr>
          <w:r>
            <w:rPr>
              <w:b/>
              <w:caps/>
              <w:spacing w:val="-20"/>
              <w:position w:val="-4"/>
              <w:sz w:val="36"/>
            </w:rPr>
            <w:t>RO</w:t>
          </w:r>
        </w:p>
      </w:tc>
    </w:tr>
    <w:bookmarkEnd w:id="2"/>
  </w:tbl>
  <w:p w14:paraId="0737E45D" w14:textId="77777777" w:rsidR="00EB3D0B" w:rsidRPr="00EB3D0B" w:rsidRDefault="00EB3D0B" w:rsidP="00EB3D0B">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EB3D0B" w:rsidRPr="00D94637" w14:paraId="7A025450" w14:textId="77777777" w:rsidTr="00EB3D0B">
      <w:trPr>
        <w:jc w:val="center"/>
      </w:trPr>
      <w:tc>
        <w:tcPr>
          <w:tcW w:w="5000" w:type="pct"/>
          <w:gridSpan w:val="7"/>
          <w:shd w:val="clear" w:color="auto" w:fill="auto"/>
          <w:tcMar>
            <w:top w:w="57" w:type="dxa"/>
          </w:tcMar>
        </w:tcPr>
        <w:p w14:paraId="2368794D" w14:textId="77777777" w:rsidR="00EB3D0B" w:rsidRPr="00D94637" w:rsidRDefault="00EB3D0B" w:rsidP="00D94637">
          <w:pPr>
            <w:pStyle w:val="FooterText"/>
            <w:pBdr>
              <w:top w:val="single" w:sz="4" w:space="1" w:color="auto"/>
            </w:pBdr>
            <w:spacing w:before="200"/>
            <w:rPr>
              <w:sz w:val="2"/>
              <w:szCs w:val="2"/>
            </w:rPr>
          </w:pPr>
        </w:p>
      </w:tc>
    </w:tr>
    <w:tr w:rsidR="00EB3D0B" w:rsidRPr="00B310DC" w14:paraId="46C1DF96" w14:textId="77777777" w:rsidTr="00EB3D0B">
      <w:trPr>
        <w:jc w:val="center"/>
      </w:trPr>
      <w:tc>
        <w:tcPr>
          <w:tcW w:w="2500" w:type="pct"/>
          <w:gridSpan w:val="2"/>
          <w:shd w:val="clear" w:color="auto" w:fill="auto"/>
          <w:tcMar>
            <w:top w:w="0" w:type="dxa"/>
          </w:tcMar>
        </w:tcPr>
        <w:p w14:paraId="46697CFE" w14:textId="054FA099" w:rsidR="00EB3D0B" w:rsidRPr="00AD7BF2" w:rsidRDefault="00EB3D0B" w:rsidP="004F54B2">
          <w:pPr>
            <w:pStyle w:val="FooterText"/>
          </w:pPr>
          <w:r>
            <w:t>7049/26</w:t>
          </w:r>
          <w:r w:rsidRPr="002511D8">
            <w:t xml:space="preserve"> </w:t>
          </w:r>
        </w:p>
      </w:tc>
      <w:tc>
        <w:tcPr>
          <w:tcW w:w="625" w:type="pct"/>
          <w:shd w:val="clear" w:color="auto" w:fill="auto"/>
          <w:tcMar>
            <w:top w:w="0" w:type="dxa"/>
          </w:tcMar>
        </w:tcPr>
        <w:p w14:paraId="57ED06E5" w14:textId="77777777" w:rsidR="00EB3D0B" w:rsidRPr="00AD7BF2" w:rsidRDefault="00EB3D0B" w:rsidP="00D94637">
          <w:pPr>
            <w:pStyle w:val="FooterText"/>
            <w:jc w:val="center"/>
          </w:pPr>
        </w:p>
      </w:tc>
      <w:tc>
        <w:tcPr>
          <w:tcW w:w="1286" w:type="pct"/>
          <w:gridSpan w:val="3"/>
          <w:shd w:val="clear" w:color="auto" w:fill="auto"/>
          <w:tcMar>
            <w:top w:w="0" w:type="dxa"/>
          </w:tcMar>
        </w:tcPr>
        <w:p w14:paraId="3B2E6B3D" w14:textId="77777777" w:rsidR="00EB3D0B" w:rsidRPr="002511D8" w:rsidRDefault="00EB3D0B" w:rsidP="00D94637">
          <w:pPr>
            <w:pStyle w:val="FooterText"/>
            <w:jc w:val="center"/>
          </w:pPr>
        </w:p>
      </w:tc>
      <w:tc>
        <w:tcPr>
          <w:tcW w:w="589" w:type="pct"/>
          <w:shd w:val="clear" w:color="auto" w:fill="auto"/>
          <w:tcMar>
            <w:top w:w="0" w:type="dxa"/>
          </w:tcMar>
        </w:tcPr>
        <w:p w14:paraId="7ED4DA26" w14:textId="30AF378B" w:rsidR="00EB3D0B" w:rsidRPr="00B310DC" w:rsidRDefault="00EB3D0B"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EB3D0B" w:rsidRPr="00D94637" w14:paraId="0E181761" w14:textId="77777777" w:rsidTr="00EB3D0B">
      <w:trPr>
        <w:jc w:val="center"/>
      </w:trPr>
      <w:tc>
        <w:tcPr>
          <w:tcW w:w="1774" w:type="pct"/>
          <w:shd w:val="clear" w:color="auto" w:fill="auto"/>
        </w:tcPr>
        <w:p w14:paraId="16AB5A08" w14:textId="3E690164" w:rsidR="00EB3D0B" w:rsidRPr="00AD7BF2" w:rsidRDefault="00EB3D0B" w:rsidP="00D94637">
          <w:pPr>
            <w:pStyle w:val="FooterText"/>
            <w:spacing w:before="40"/>
          </w:pPr>
        </w:p>
      </w:tc>
      <w:tc>
        <w:tcPr>
          <w:tcW w:w="1455" w:type="pct"/>
          <w:gridSpan w:val="3"/>
          <w:shd w:val="clear" w:color="auto" w:fill="auto"/>
        </w:tcPr>
        <w:p w14:paraId="46A9A4E5" w14:textId="171DB46B" w:rsidR="00EB3D0B" w:rsidRPr="00AD7BF2" w:rsidRDefault="00EB3D0B" w:rsidP="00D204D6">
          <w:pPr>
            <w:pStyle w:val="FooterText"/>
            <w:spacing w:before="40"/>
            <w:jc w:val="center"/>
          </w:pPr>
          <w:r>
            <w:t>JAI.B</w:t>
          </w:r>
        </w:p>
      </w:tc>
      <w:tc>
        <w:tcPr>
          <w:tcW w:w="742" w:type="pct"/>
          <w:shd w:val="clear" w:color="auto" w:fill="auto"/>
        </w:tcPr>
        <w:p w14:paraId="7527C3AC" w14:textId="01433621" w:rsidR="00EB3D0B" w:rsidRPr="00D94637" w:rsidRDefault="00EB3D0B" w:rsidP="002F0099">
          <w:pPr>
            <w:pStyle w:val="FooterText"/>
            <w:jc w:val="center"/>
            <w:rPr>
              <w:b/>
              <w:position w:val="-4"/>
              <w:sz w:val="36"/>
            </w:rPr>
          </w:pPr>
        </w:p>
      </w:tc>
      <w:tc>
        <w:tcPr>
          <w:tcW w:w="1029" w:type="pct"/>
          <w:gridSpan w:val="2"/>
          <w:shd w:val="clear" w:color="auto" w:fill="auto"/>
        </w:tcPr>
        <w:p w14:paraId="118A9F90" w14:textId="08F6F04B" w:rsidR="00EB3D0B" w:rsidRPr="00695BAF" w:rsidRDefault="00EB3D0B" w:rsidP="00D94637">
          <w:pPr>
            <w:pStyle w:val="FooterText"/>
            <w:jc w:val="right"/>
            <w:rPr>
              <w:caps/>
              <w:spacing w:val="-20"/>
              <w:sz w:val="16"/>
            </w:rPr>
          </w:pPr>
          <w:r>
            <w:rPr>
              <w:b/>
              <w:caps/>
              <w:spacing w:val="-20"/>
              <w:position w:val="-4"/>
              <w:sz w:val="36"/>
            </w:rPr>
            <w:t>RO</w:t>
          </w:r>
        </w:p>
      </w:tc>
    </w:tr>
  </w:tbl>
  <w:p w14:paraId="7F9E341C" w14:textId="77777777" w:rsidR="00EB3D0B" w:rsidRPr="00EB3D0B" w:rsidRDefault="00EB3D0B" w:rsidP="00EB3D0B">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D3DC3" w14:textId="77777777" w:rsidR="00054475" w:rsidRPr="00EB3D0B" w:rsidRDefault="00054475" w:rsidP="00EB3D0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EB3D0B" w:rsidRPr="00D94637" w14:paraId="5F730662" w14:textId="77777777" w:rsidTr="00EB3D0B">
      <w:trPr>
        <w:jc w:val="center"/>
      </w:trPr>
      <w:tc>
        <w:tcPr>
          <w:tcW w:w="5000" w:type="pct"/>
          <w:gridSpan w:val="7"/>
          <w:shd w:val="clear" w:color="auto" w:fill="auto"/>
          <w:tcMar>
            <w:top w:w="57" w:type="dxa"/>
          </w:tcMar>
        </w:tcPr>
        <w:p w14:paraId="231E60C4" w14:textId="77777777" w:rsidR="00EB3D0B" w:rsidRPr="00D94637" w:rsidRDefault="00EB3D0B" w:rsidP="00D94637">
          <w:pPr>
            <w:pStyle w:val="FooterText"/>
            <w:pBdr>
              <w:top w:val="single" w:sz="4" w:space="1" w:color="auto"/>
            </w:pBdr>
            <w:spacing w:before="200"/>
            <w:rPr>
              <w:sz w:val="2"/>
              <w:szCs w:val="2"/>
            </w:rPr>
          </w:pPr>
        </w:p>
      </w:tc>
    </w:tr>
    <w:tr w:rsidR="00EB3D0B" w:rsidRPr="00B310DC" w14:paraId="2651247D" w14:textId="77777777" w:rsidTr="00EB3D0B">
      <w:trPr>
        <w:jc w:val="center"/>
      </w:trPr>
      <w:tc>
        <w:tcPr>
          <w:tcW w:w="2500" w:type="pct"/>
          <w:gridSpan w:val="2"/>
          <w:shd w:val="clear" w:color="auto" w:fill="auto"/>
          <w:tcMar>
            <w:top w:w="0" w:type="dxa"/>
          </w:tcMar>
        </w:tcPr>
        <w:p w14:paraId="5AC8CCDE" w14:textId="0FABED29" w:rsidR="00EB3D0B" w:rsidRPr="00AD7BF2" w:rsidRDefault="00EB3D0B" w:rsidP="004F54B2">
          <w:pPr>
            <w:pStyle w:val="FooterText"/>
          </w:pPr>
          <w:r>
            <w:t>7049/26</w:t>
          </w:r>
          <w:r w:rsidRPr="002511D8">
            <w:t xml:space="preserve"> </w:t>
          </w:r>
        </w:p>
      </w:tc>
      <w:tc>
        <w:tcPr>
          <w:tcW w:w="625" w:type="pct"/>
          <w:shd w:val="clear" w:color="auto" w:fill="auto"/>
          <w:tcMar>
            <w:top w:w="0" w:type="dxa"/>
          </w:tcMar>
        </w:tcPr>
        <w:p w14:paraId="646856BC" w14:textId="77777777" w:rsidR="00EB3D0B" w:rsidRPr="00AD7BF2" w:rsidRDefault="00EB3D0B" w:rsidP="00D94637">
          <w:pPr>
            <w:pStyle w:val="FooterText"/>
            <w:jc w:val="center"/>
          </w:pPr>
        </w:p>
      </w:tc>
      <w:tc>
        <w:tcPr>
          <w:tcW w:w="1286" w:type="pct"/>
          <w:gridSpan w:val="3"/>
          <w:shd w:val="clear" w:color="auto" w:fill="auto"/>
          <w:tcMar>
            <w:top w:w="0" w:type="dxa"/>
          </w:tcMar>
        </w:tcPr>
        <w:p w14:paraId="11D44E54" w14:textId="77777777" w:rsidR="00EB3D0B" w:rsidRPr="002511D8" w:rsidRDefault="00EB3D0B" w:rsidP="00D94637">
          <w:pPr>
            <w:pStyle w:val="FooterText"/>
            <w:jc w:val="center"/>
          </w:pPr>
        </w:p>
      </w:tc>
      <w:tc>
        <w:tcPr>
          <w:tcW w:w="589" w:type="pct"/>
          <w:shd w:val="clear" w:color="auto" w:fill="auto"/>
          <w:tcMar>
            <w:top w:w="0" w:type="dxa"/>
          </w:tcMar>
        </w:tcPr>
        <w:p w14:paraId="18CDB2CD" w14:textId="240BB5F3" w:rsidR="00EB3D0B" w:rsidRPr="00B310DC" w:rsidRDefault="00EB3D0B"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EB3D0B" w:rsidRPr="00D94637" w14:paraId="5E3A2E8F" w14:textId="77777777" w:rsidTr="00EB3D0B">
      <w:trPr>
        <w:jc w:val="center"/>
      </w:trPr>
      <w:tc>
        <w:tcPr>
          <w:tcW w:w="1774" w:type="pct"/>
          <w:shd w:val="clear" w:color="auto" w:fill="auto"/>
        </w:tcPr>
        <w:p w14:paraId="11F183DD" w14:textId="634A9E72" w:rsidR="00EB3D0B" w:rsidRPr="00AD7BF2" w:rsidRDefault="00EB3D0B" w:rsidP="00D94637">
          <w:pPr>
            <w:pStyle w:val="FooterText"/>
            <w:spacing w:before="40"/>
          </w:pPr>
          <w:r>
            <w:t>ANEXĂ</w:t>
          </w:r>
        </w:p>
      </w:tc>
      <w:tc>
        <w:tcPr>
          <w:tcW w:w="1455" w:type="pct"/>
          <w:gridSpan w:val="3"/>
          <w:shd w:val="clear" w:color="auto" w:fill="auto"/>
        </w:tcPr>
        <w:p w14:paraId="795C6E74" w14:textId="20E5F51B" w:rsidR="00EB3D0B" w:rsidRPr="00AD7BF2" w:rsidRDefault="00EB3D0B" w:rsidP="00D204D6">
          <w:pPr>
            <w:pStyle w:val="FooterText"/>
            <w:spacing w:before="40"/>
            <w:jc w:val="center"/>
          </w:pPr>
          <w:r>
            <w:t>JAI.B</w:t>
          </w:r>
        </w:p>
      </w:tc>
      <w:tc>
        <w:tcPr>
          <w:tcW w:w="742" w:type="pct"/>
          <w:shd w:val="clear" w:color="auto" w:fill="auto"/>
        </w:tcPr>
        <w:p w14:paraId="6A0648AE" w14:textId="0CD04F25" w:rsidR="00EB3D0B" w:rsidRPr="00D94637" w:rsidRDefault="00EB3D0B" w:rsidP="002F0099">
          <w:pPr>
            <w:pStyle w:val="FooterText"/>
            <w:jc w:val="center"/>
            <w:rPr>
              <w:b/>
              <w:position w:val="-4"/>
              <w:sz w:val="36"/>
            </w:rPr>
          </w:pPr>
        </w:p>
      </w:tc>
      <w:tc>
        <w:tcPr>
          <w:tcW w:w="1029" w:type="pct"/>
          <w:gridSpan w:val="2"/>
          <w:shd w:val="clear" w:color="auto" w:fill="auto"/>
        </w:tcPr>
        <w:p w14:paraId="0E1F34D3" w14:textId="0E87B6E3" w:rsidR="00EB3D0B" w:rsidRPr="00695BAF" w:rsidRDefault="00EB3D0B" w:rsidP="00D94637">
          <w:pPr>
            <w:pStyle w:val="FooterText"/>
            <w:jc w:val="right"/>
            <w:rPr>
              <w:caps/>
              <w:spacing w:val="-20"/>
              <w:sz w:val="16"/>
            </w:rPr>
          </w:pPr>
          <w:r>
            <w:rPr>
              <w:b/>
              <w:caps/>
              <w:spacing w:val="-20"/>
              <w:position w:val="-4"/>
              <w:sz w:val="36"/>
            </w:rPr>
            <w:t>RO</w:t>
          </w:r>
        </w:p>
      </w:tc>
    </w:tr>
  </w:tbl>
  <w:p w14:paraId="4871E2F1" w14:textId="77777777" w:rsidR="00054475" w:rsidRPr="00EB3D0B" w:rsidRDefault="00054475" w:rsidP="00EB3D0B">
    <w:pPr>
      <w:pStyle w:val="FooterCouncil"/>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A39D5" w14:textId="77777777" w:rsidR="00054475" w:rsidRPr="00EB3D0B" w:rsidRDefault="00054475" w:rsidP="00EB3D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4FC08" w14:textId="77777777" w:rsidR="00144FF1" w:rsidRDefault="00144FF1" w:rsidP="00A43C50">
      <w:r>
        <w:separator/>
      </w:r>
    </w:p>
  </w:footnote>
  <w:footnote w:type="continuationSeparator" w:id="0">
    <w:p w14:paraId="74DD68DB" w14:textId="77777777" w:rsidR="00144FF1" w:rsidRDefault="00144FF1" w:rsidP="00A43C50">
      <w:r>
        <w:continuationSeparator/>
      </w:r>
    </w:p>
  </w:footnote>
  <w:footnote w:id="1">
    <w:p w14:paraId="3EE18095" w14:textId="77777777" w:rsidR="005861C4" w:rsidRPr="00EB3D0B" w:rsidRDefault="005861C4" w:rsidP="00DA0CF1">
      <w:pPr>
        <w:pStyle w:val="title-bold"/>
        <w:shd w:val="clear" w:color="auto" w:fill="FFFFFF"/>
        <w:spacing w:before="0" w:beforeAutospacing="0" w:after="75" w:afterAutospacing="0"/>
        <w:rPr>
          <w:rStyle w:val="FootnoteReference"/>
          <w:rFonts w:eastAsiaTheme="minorHAnsi"/>
          <w:sz w:val="20"/>
          <w:szCs w:val="20"/>
        </w:rPr>
      </w:pPr>
      <w:r w:rsidRPr="00EB3D0B">
        <w:rPr>
          <w:rStyle w:val="FootnoteReference"/>
        </w:rPr>
        <w:footnoteRef/>
      </w:r>
      <w:r w:rsidRPr="00EB3D0B">
        <w:rPr>
          <w:rStyle w:val="FootnoteReference"/>
        </w:rPr>
        <w:tab/>
      </w:r>
      <w:r w:rsidRPr="00EB3D0B">
        <w:rPr>
          <w:rStyle w:val="FootnoteReference"/>
          <w:b w:val="0"/>
          <w:sz w:val="20"/>
          <w:vertAlign w:val="baseline"/>
        </w:rPr>
        <w:t>JO L</w:t>
      </w:r>
      <w:r w:rsidRPr="00EB3D0B">
        <w:rPr>
          <w:rStyle w:val="FootnoteReference"/>
          <w:sz w:val="20"/>
          <w:vertAlign w:val="baseline"/>
        </w:rPr>
        <w:t xml:space="preserve"> 1</w:t>
      </w:r>
      <w:r w:rsidRPr="00EB3D0B">
        <w:rPr>
          <w:sz w:val="20"/>
        </w:rPr>
        <w:t>60</w:t>
      </w:r>
      <w:r w:rsidRPr="00EB3D0B">
        <w:rPr>
          <w:rStyle w:val="FootnoteReference"/>
          <w:sz w:val="20"/>
          <w:vertAlign w:val="baseline"/>
        </w:rPr>
        <w:t xml:space="preserve">, </w:t>
      </w:r>
      <w:r w:rsidRPr="00EB3D0B">
        <w:rPr>
          <w:sz w:val="20"/>
        </w:rPr>
        <w:t>15</w:t>
      </w:r>
      <w:r w:rsidRPr="00EB3D0B">
        <w:rPr>
          <w:rStyle w:val="FootnoteReference"/>
          <w:sz w:val="20"/>
          <w:vertAlign w:val="baseline"/>
        </w:rPr>
        <w:t>.</w:t>
      </w:r>
      <w:r w:rsidRPr="00EB3D0B">
        <w:rPr>
          <w:sz w:val="20"/>
        </w:rPr>
        <w:t>6</w:t>
      </w:r>
      <w:r w:rsidRPr="00EB3D0B">
        <w:rPr>
          <w:rStyle w:val="FootnoteReference"/>
          <w:sz w:val="20"/>
          <w:vertAlign w:val="baseline"/>
        </w:rPr>
        <w:t>.</w:t>
      </w:r>
      <w:r w:rsidRPr="00EB3D0B">
        <w:rPr>
          <w:rStyle w:val="FootnoteReference"/>
          <w:b w:val="0"/>
          <w:sz w:val="20"/>
          <w:vertAlign w:val="baseline"/>
        </w:rPr>
        <w:t>20</w:t>
      </w:r>
      <w:r w:rsidRPr="00EB3D0B">
        <w:rPr>
          <w:sz w:val="20"/>
        </w:rPr>
        <w:t>22</w:t>
      </w:r>
      <w:r w:rsidRPr="00EB3D0B">
        <w:rPr>
          <w:rStyle w:val="FootnoteReference"/>
          <w:b w:val="0"/>
          <w:sz w:val="20"/>
          <w:vertAlign w:val="baseline"/>
        </w:rPr>
        <w:t>, p.</w:t>
      </w:r>
      <w:r w:rsidRPr="00EB3D0B">
        <w:rPr>
          <w:rStyle w:val="FootnoteReference"/>
          <w:sz w:val="20"/>
          <w:vertAlign w:val="baseline"/>
        </w:rPr>
        <w:t xml:space="preserve"> </w:t>
      </w:r>
      <w:r w:rsidRPr="00EB3D0B">
        <w:rPr>
          <w:sz w:val="20"/>
        </w:rPr>
        <w:t>1, ELI: </w:t>
      </w:r>
      <w:hyperlink r:id="rId1" w:tooltip="Oferă acces la acest document prin identificatorul său uniform de resurse ELI." w:history="1">
        <w:r w:rsidRPr="00EB3D0B">
          <w:rPr>
            <w:rStyle w:val="Hyperlink"/>
            <w:sz w:val="20"/>
          </w:rPr>
          <w:t>http://data.europa.eu/eli/reg/2022/922/oj</w:t>
        </w:r>
      </w:hyperlink>
      <w:r w:rsidRPr="00EB3D0B">
        <w:rPr>
          <w:sz w:val="20"/>
        </w:rPr>
        <w:t>.</w:t>
      </w:r>
    </w:p>
  </w:footnote>
  <w:footnote w:id="2">
    <w:p w14:paraId="6C0EB42F" w14:textId="77777777" w:rsidR="005861C4" w:rsidRPr="00EB3D0B" w:rsidRDefault="005861C4" w:rsidP="00DA0CF1">
      <w:pPr>
        <w:pStyle w:val="FootnoteText"/>
      </w:pPr>
      <w:r w:rsidRPr="00EB3D0B">
        <w:rPr>
          <w:rStyle w:val="FootnoteReference"/>
        </w:rPr>
        <w:footnoteRef/>
      </w:r>
      <w:r w:rsidRPr="00EB3D0B">
        <w:tab/>
      </w:r>
      <w:r w:rsidRPr="00EB3D0B">
        <w:rPr>
          <w:sz w:val="20"/>
        </w:rPr>
        <w:t>Conform datelor Eurostat, aeroportul din Lisabona se situează pe locul 8 în topul celor mai aglomerate aeroporturi din Uniune, cu peste 35 de milioane de pasageri în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57C19" w14:textId="77777777" w:rsidR="00EB3D0B" w:rsidRPr="00EB3D0B" w:rsidRDefault="00EB3D0B" w:rsidP="00EB3D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6BC0C" w14:textId="32078AE5" w:rsidR="00EB3D0B" w:rsidRPr="00EB3D0B" w:rsidRDefault="00EB3D0B" w:rsidP="00EB3D0B">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263AF" w14:textId="15D4F854" w:rsidR="00EB3D0B" w:rsidRPr="00EB3D0B" w:rsidRDefault="00EB3D0B" w:rsidP="00EB3D0B">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9DE2C" w14:textId="77777777" w:rsidR="00054475" w:rsidRPr="00EB3D0B" w:rsidRDefault="00054475" w:rsidP="00EB3D0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2E963" w14:textId="77777777" w:rsidR="00054475" w:rsidRPr="00EB3D0B" w:rsidRDefault="00054475" w:rsidP="00EB3D0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8608F" w14:textId="77777777" w:rsidR="00054475" w:rsidRPr="00EB3D0B" w:rsidRDefault="00054475" w:rsidP="00EB3D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86F04DD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6"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7"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1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13"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14"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15"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16"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17"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18"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19"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20"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16cid:durableId="215243809">
    <w:abstractNumId w:val="1"/>
  </w:num>
  <w:num w:numId="2" w16cid:durableId="273371974">
    <w:abstractNumId w:val="7"/>
  </w:num>
  <w:num w:numId="3" w16cid:durableId="1983541154">
    <w:abstractNumId w:val="9"/>
  </w:num>
  <w:num w:numId="4" w16cid:durableId="920024264">
    <w:abstractNumId w:val="6"/>
  </w:num>
  <w:num w:numId="5" w16cid:durableId="1999845239">
    <w:abstractNumId w:val="5"/>
  </w:num>
  <w:num w:numId="6" w16cid:durableId="1043407404">
    <w:abstractNumId w:val="14"/>
  </w:num>
  <w:num w:numId="7" w16cid:durableId="711618538">
    <w:abstractNumId w:val="19"/>
  </w:num>
  <w:num w:numId="8" w16cid:durableId="306253239">
    <w:abstractNumId w:val="15"/>
  </w:num>
  <w:num w:numId="9" w16cid:durableId="1495074466">
    <w:abstractNumId w:val="2"/>
  </w:num>
  <w:num w:numId="10" w16cid:durableId="1956209235">
    <w:abstractNumId w:val="16"/>
  </w:num>
  <w:num w:numId="11" w16cid:durableId="647710390">
    <w:abstractNumId w:val="12"/>
  </w:num>
  <w:num w:numId="12" w16cid:durableId="978532053">
    <w:abstractNumId w:val="3"/>
  </w:num>
  <w:num w:numId="13" w16cid:durableId="156464367">
    <w:abstractNumId w:val="18"/>
  </w:num>
  <w:num w:numId="14" w16cid:durableId="1139612830">
    <w:abstractNumId w:val="20"/>
  </w:num>
  <w:num w:numId="15" w16cid:durableId="1100099545">
    <w:abstractNumId w:val="10"/>
  </w:num>
  <w:num w:numId="16" w16cid:durableId="2121292780">
    <w:abstractNumId w:val="17"/>
  </w:num>
  <w:num w:numId="17" w16cid:durableId="1818186181">
    <w:abstractNumId w:val="13"/>
  </w:num>
  <w:num w:numId="18" w16cid:durableId="1907645376">
    <w:abstractNumId w:val="11"/>
  </w:num>
  <w:num w:numId="19" w16cid:durableId="859004715">
    <w:abstractNumId w:val="8"/>
  </w:num>
  <w:num w:numId="20" w16cid:durableId="87893671">
    <w:abstractNumId w:val="4"/>
  </w:num>
  <w:num w:numId="21" w16cid:durableId="1529946239">
    <w:abstractNumId w:val="0"/>
  </w:num>
  <w:num w:numId="22" w16cid:durableId="5749754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20"/>
  <w:hyphenationZone w:val="425"/>
  <w:characterSpacingControl w:val="doNotCompress"/>
  <w:hdrShapeDefaults>
    <o:shapedefaults v:ext="edit" spidmax="8193"/>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618920397533565007&quot;&gt;_x000d__x000a_  &lt;metadata key=&quot;md_DocumentLanguages&quot; translate=&quot;false&quot;&gt;_x000d__x000a_    &lt;basicdatatypelist&gt;_x000d__x000a_      &lt;language key=&quot;RO&quot; text=&quot;RO&quot; /&gt;_x000d__x000a_    &lt;/basicdatatypelist&gt;_x000d__x000a_  &lt;/metadata&gt;_x000d__x000a_  &lt;metadata key=&quot;md_OriginalLanguages&quot; translate=&quot;false&quot;&gt;_x000d__x000a_    &lt;basicdatatypelist&gt;_x000d__x000a_      &lt;language key=&quot;EN&quot; text=&quot;EN&quot; /&gt;_x000d__x000a_    &lt;/basicdatatypelist&gt;_x000d__x000a_  &lt;/metadata&gt;_x000d__x000a_  &lt;metadata key=&quot;md_UniqueHeading&quot; translate=&quot;false&quot;&gt;_x000d__x000a_    &lt;basicdatatype&gt;_x000d__x000a_      &lt;heading key=&quot;uh_56&quot; text=&quot;REZULTATUL LUCR&amp;#258;RILOR&quot; /&gt;_x000d__x000a_    &lt;/basicdatatype&gt;_x000d__x000a_  &lt;/metadata&gt;_x000d__x000a_  &lt;metadata key=&quot;md_HeadingText&quot; translate=&quot;false&quot;&gt;_x000d__x000a_    &lt;headingtext text=&quot;REZULTATUL LUCR&amp;#258;RILOR&quot;&gt;_x000d__x000a_      &lt;formattedtext&gt;_x000d__x000a_        &lt;xaml text=&quot;REZULTATUL LUCR&amp;#258;RILOR&quot;&gt;&amp;lt;FlowDocument xmlns=&quot;http://schemas.microsoft.com/winfx/2006/xaml/presentation&quot;&amp;gt;&amp;lt;Paragraph&amp;gt;REZULTATUL LUCR&amp;#258;RILOR&amp;lt;/Paragraph&amp;gt;&amp;lt;/FlowDocument&amp;gt;&lt;/xaml&gt;_x000d__x000a_      &lt;/formattedtext&gt;_x000d__x000a_    &lt;/headingtext&gt;_x000d__x000a_  &lt;/metadata&gt;_x000d__x000a_  &lt;metadata key=&quot;md_CustomFootnote&quot; translate=&quot;false&quot;&gt;_x000d__x000a_    &lt;text&gt;&lt;/text&gt;_x000d__x000a_  &lt;/metadata&gt;_x000d__x000a_  &lt;metadata key=&quot;md_DocumentGroup&quot; translate=&quot;false&quot;&gt;_x000d__x000a_    &lt;basicdatatype&gt;_x000d__x000a_      &lt;document_group key=&quot;dg_07&quot; text=&quot;Note&quot; /&gt;_x000d__x000a_    &lt;/basicdatatype&gt;_x000d__x000a_  &lt;/metadata&gt;_x000d__x000a_  &lt;metadata key=&quot;md_DocumentType&quot; translate=&quot;false&quot;&gt;_x000d__x000a_    &lt;basicdatatype&gt;_x000d__x000a_      &lt;doc_type key=&quot;dt_ST&quot; text=&quot;ST&quot; /&gt;_x000d__x000a_    &lt;/basicdatatype&gt;_x000d__x000a_  &lt;/metadata&gt;_x000d__x000a_  &lt;metadata key=&quot;md_InstitutionalFramework&quot; translate=&quot;false&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 translate=&quot;false&quot;&gt;_x000d__x000a_    &lt;basicdatatype&gt;_x000d__x000a_      &lt;location key=&quot;loc_01&quot; text=&quot;Bruxelles&quot; /&gt;_x000d__x000a_    &lt;/basicdatatype&gt;_x000d__x000a_  &lt;/metadata&gt;_x000d__x000a_  &lt;metadata key=&quot;md_DocumentDate&quot; translate=&quot;false&quot;&gt;_x000d__x000a_    &lt;text&gt;2026-03-06&lt;/text&gt;_x000d__x000a_  &lt;/metadata&gt;_x000d__x000a_  &lt;metadata key=&quot;md_Prefix&quot; translate=&quot;false&quot;&gt;_x000d__x000a_    &lt;text&gt;&lt;/text&gt;_x000d__x000a_  &lt;/metadata&gt;_x000d__x000a_  &lt;metadata key=&quot;md_DocumentNumber&quot; translate=&quot;false&quot;&gt;_x000d__x000a_    &lt;text&gt;7049&lt;/text&gt;_x000d__x000a_  &lt;/metadata&gt;_x000d__x000a_  &lt;metadata key=&quot;md_YearDocumentNumber&quot; translate=&quot;false&quot;&gt;_x000d__x000a_    &lt;text&gt;2026&lt;/text&gt;_x000d__x000a_  &lt;/metadata&gt;_x000d__x000a_  &lt;metadata key=&quot;md_Suffixes&quot; translate=&quot;false&quot;&gt;_x000d__x000a_    &lt;text&gt;&lt;/text&gt;_x000d__x000a_  &lt;/metadata&gt;_x000d__x000a_  &lt;metadata key=&quot;md_SuffixLanguagesInvolved&quot; translate=&quot;false&quot;&gt;_x000d__x000a_    &lt;text&gt;&lt;/text&gt;_x000d__x000a_  &lt;/metadata&gt;_x000d__x000a_  &lt;metadata key=&quot;md_FirstRevNumber&quot; translate=&quot;false&quot;&gt;_x000d__x000a_    &lt;text&gt;&lt;/text&gt;_x000d__x000a_  &lt;/metadata&gt;_x000d__x000a_  &lt;metadata key=&quot;md_Distribution&quot; translate=&quot;false&quot;&gt;_x000d__x000a_    &lt;basicdatatype&gt;_x000d__x000a_      &lt;distribution key=&quot;dis_01&quot; text=&quot;PUBLIC&quot; /&gt;_x000d__x000a_    &lt;/basicdatatype&gt;_x000d__x000a_  &lt;/metadata&gt;_x000d__x000a_  &lt;metadata key=&quot;md_SubjectCodes&quot; translate=&quot;false&quot;&gt;_x000d__x000a_    &lt;textlist&gt;_x000d__x000a_      &lt;text&gt;SCH-EVAL 14&lt;/text&gt;_x000d__x000a_      &lt;text&gt;FRONT 58&lt;/text&gt;_x000d__x000a_      &lt;text&gt;IXIM 70&lt;/text&gt;_x000d__x000a_      &lt;text&gt;COMIX 66&lt;/text&gt;_x000d__x000a_    &lt;/textlist&gt;_x000d__x000a_  &lt;/metadata&gt;_x000d__x000a_  &lt;metadata key=&quot;md_ThirdPartyDistributionMarkers&quot; translate=&quot;false&quot;&gt;_x000d__x000a_    &lt;textlist&gt;_x000d__x000a_      &lt;text&gt;CH&lt;/text&gt;_x000d__x000a_      &lt;text&gt;IS&lt;/text&gt;_x000d__x000a_      &lt;text&gt;LI&lt;/text&gt;_x000d__x000a_      &lt;text&gt;NO&lt;/text&gt;_x000d__x000a_    &lt;/textlist&gt;_x000d__x000a_  &lt;/metadata&gt;_x000d__x000a_  &lt;metadata key=&quot;md_Contact&quot; translate=&quot;false&quot;&gt;_x000d__x000a_    &lt;text&gt;&lt;/text&gt;_x000d__x000a_  &lt;/metadata&gt;_x000d__x000a_  &lt;metadata key=&quot;md_ContactPhoneFax&quot; translate=&quot;false&quot;&gt;_x000d__x000a_    &lt;text&gt;&lt;/text&gt;_x000d__x000a_  &lt;/metadata&gt;_x000d__x000a_  &lt;metadata key=&quot;md_MeetingVenue&quot; /&gt;_x000d__x000a_  &lt;metadata key=&quot;md_ProvisionalVersion&quot; translate=&quot;false&quot;&gt;_x000d__x000a_    &lt;text&gt;&lt;/text&gt;_x000d__x000a_  &lt;/metadata&gt;_x000d__x000a_  &lt;metadata key=&quot;md_PresidentInformation&quot; /&gt;_x000d__x000a_  &lt;metadata key=&quot;md_MeetingNumber&quot; translate=&quot;false&quot;&gt;_x000d__x000a_    &lt;text&gt;&lt;/text&gt;_x000d__x000a_  &lt;/metadata&gt;_x000d__x000a_  &lt;metadata key=&quot;md_CouncilConfiguration&quot; /&gt;_x000d__x000a_  &lt;metadata key=&quot;md_CouncilIssue&quot; /&gt;_x000d__x000a_  &lt;metadata key=&quot;md_PhoneNumber&quot; translate=&quot;false&quot;&gt;_x000d__x000a_    &lt;text&gt;&lt;/text&gt;_x000d__x000a_  &lt;/metadata&gt;_x000d__x000a_  &lt;metadata key=&quot;md_TypeOfHeading&quot; translate=&quot;false&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 translate=&quot;false&quot;&gt;_x000d__x000a_    &lt;textlist&gt;_x000d__x000a_      &lt;text&gt;2026/0052 (NLE)&lt;/text&gt;_x000d__x000a_    &lt;/textlist&gt;_x000d__x000a_  &lt;/metadata&gt;_x000d__x000a_  &lt;metadata key=&quot;md_AdditionalReferences&quot; translate=&quot;false&quot;&gt;_x000d__x000a_    &lt;textlist&gt;_x000d__x000a_      &lt;text&gt;&lt;/text&gt;_x000d__x000a_    &lt;/textlist&gt;_x000d__x000a_  &lt;/metadata&gt;_x000d__x000a_  &lt;metadata key=&quot;md_LEXNumber&quot; translate=&quot;false&quot;&gt;_x000d__x000a_    &lt;text&gt;&lt;/text&gt;_x000d__x000a_  &lt;/metadata&gt;_x000d__x000a_  &lt;metadata key=&quot;md_SousEmbargo&quot; translate=&quot;false&quot;&gt;_x000d__x000a_    &lt;text&gt;&lt;/text&gt;_x000d__x000a_  &lt;/metadata&gt;_x000d__x000a_  &lt;metadata key=&quot;md_DraftVersion&quot; translate=&quot;false&quot;&gt;_x000d__x000a_    &lt;text&gt;&lt;/text&gt;_x000d__x000a_  &lt;/metadata&gt;_x000d__x000a_  &lt;metadata key=&quot;md_Originator&quot; translate=&quot;false&quot;&gt;_x000d__x000a_    &lt;basicdatatype&gt;_x000d__x000a_      &lt;originator key=&quot;or_09&quot; text=&quot;Secretariatul General al Consiliului&quot; /&gt;_x000d__x000a_    &lt;/basicdatatype&gt;_x000d__x000a_  &lt;/metadata&gt;_x000d__x000a_  &lt;metadata key=&quot;md_Recipient&quot; translate=&quot;false&quot;&gt;_x000d__x000a_    &lt;basicdatatype&gt;_x000d__x000a_      &lt;recipient key=&quot;re_07&quot; text=&quot;Delega&amp;#539;iile&quot; /&gt;_x000d__x000a_    &lt;/basicdatatype&gt;_x000d__x000a_  &lt;/metadata&gt;_x000d__x000a_  &lt;metadata key=&quot;md_DateOfReceipt&quot; translate=&quot;false&quot;&gt;_x000d__x000a_    &lt;text&gt;&lt;/text&gt;_x000d__x000a_  &lt;/metadata&gt;_x000d__x000a_  &lt;metadata key=&quot;md_FreeDate&quot; translate=&quot;false&quot;&gt;_x000d__x000a_    &lt;textlist&gt;_x000d__x000a_      &lt;text&gt;2026-03-05&lt;/text&gt;_x000d__x000a_    &lt;/textlist&gt;_x000d__x000a_  &lt;/metadata&gt;_x000d__x000a_  &lt;metadata key=&quot;md_PrecedingDocuments&quot; translate=&quot;false&quot;&gt;_x000d__x000a_    &lt;textlist&gt;_x000d__x000a_      &lt;text&gt;6474/26&lt;/text&gt;_x000d__x000a_    &lt;/textlist&gt;_x000d__x000a_  &lt;/metadata&gt;_x000d__x000a_  &lt;metadata key=&quot;md_CommissionDocuments&quot; translate=&quot;false&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translate=&quot;false&quot;&gt;_x000d__x000a_    &lt;basicdatatype&gt;_x000d__x000a_      &lt;location key=&quot;&quot; /&gt;_x000d__x000a_    &lt;/basicdatatype&gt;_x000d__x000a_  &lt;/metadata&gt;_x000d__x000a_  &lt;metadata key=&quot;md_MeetingDate&quot; translate=&quot;false&quot;&gt;_x000d__x000a_    &lt;textlist /&gt;_x000d__x000a_  &lt;/metadata&gt;_x000d__x000a_  &lt;metadata key=&quot;md_DateFormatOr&quot; translate=&quot;false&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Decizie de punere în aplicare a Consiliului de formulare a unor recomand&amp;#259;ri de m&amp;#259;suri de remediere menite s&amp;#259; abordeze deficien&amp;#539;ele grave identificate în raportul de evaluare Schengen din 2025 pentru Portugalia în ceea ce prive&amp;#537;te verific&amp;#259;rile la frontierele externe, în conformitate cu Regulamentul (UE) 2022/922 al Consiliului&quot;&gt;&amp;lt;FlowDocument xmlns=&quot;http://schemas.microsoft.com/winfx/2006/xaml/presentation&quot;&amp;gt;&amp;lt;Paragraph&amp;gt;Decizie de punere în aplicare a Consiliului de formulare a unor recomand&amp;#259;ri de m&amp;#259;suri de remediere menite s&amp;#259; abordeze deficien&amp;#539;ele grave identificate în raportul de evaluare Schengen din 2025 pentru Portugalia în ceea ce prive&amp;#537;te verific&amp;#259;rile la frontierele externe, în conformitate cu Regulamentul (UE) 2022/922 al Consiliului&amp;lt;/Paragraph&amp;gt;&amp;lt;/FlowDocument&amp;gt;&lt;/xaml&gt;_x000d__x000a_  &lt;/metadata&gt;_x000d__x000a_  &lt;metadata key=&quot;md_SubjectFootnote&quot;&gt;_x000d__x000a_    &lt;text&gt;&lt;/text&gt;_x000d__x000a_  &lt;/metadata&gt;_x000d__x000a_  &lt;metadata key=&quot;md_DG&quot; translate=&quot;false&quot;&gt;_x000d__x000a_    &lt;text&gt;JAI.B&lt;/text&gt;_x000d__x000a_  &lt;/metadata&gt;_x000d__x000a_  &lt;metadata key=&quot;md_Initials&quot; translate=&quot;false&quot;&gt;_x000d__x000a_    &lt;text&gt;&lt;/text&gt;_x000d__x000a_  &lt;/metadata&gt;_x000d__x000a_  &lt;metadata key=&quot;md_SensitivityLabel&quot; translate=&quot;false&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 translate=&quot;false&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 translate=&quot;false&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 translate=&quot;false&quot;&gt;_x000d__x000a_    &lt;meetings /&gt;_x000d__x000a_  &lt;/metadata&gt;_x000d__x000a_  &lt;metadata key=&quot;md_VisualRepresentation&quot; translate=&quot;false&quot;&gt;_x000d__x000a_    &lt;basicdatatype&gt;_x000d__x000a_      &lt;originator key=&quot;visrep_02&quot; /&gt;_x000d__x000a_    &lt;/basicdatatype&gt;_x000d__x000a_  &lt;/metadata&gt;_x000d__x000a_  &lt;metadata key=&quot;md_LetterData&quot; /&gt;_x000d__x000a_  &lt;metadata key=&quot;md_InstFrSubWordmark&quot; translate=&quot;false&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W_AutoOpen" w:val="True"/>
    <w:docVar w:name="DW_DocType" w:val="DW_COUNCIL"/>
    <w:docVar w:name="DW_DQC_HasErrors" w:val="true"/>
    <w:docVar w:name="DW_TechnicalBlockHash" w:val="b0a3ef1fe543f255629cf794256bbcea8c73d02cd1a793be28250baae26b3651"/>
  </w:docVars>
  <w:rsids>
    <w:rsidRoot w:val="00A86151"/>
    <w:rsid w:val="0002044D"/>
    <w:rsid w:val="00052D7C"/>
    <w:rsid w:val="00054475"/>
    <w:rsid w:val="00144FF1"/>
    <w:rsid w:val="001C16E9"/>
    <w:rsid w:val="003558E4"/>
    <w:rsid w:val="003803C5"/>
    <w:rsid w:val="003B3627"/>
    <w:rsid w:val="003C184A"/>
    <w:rsid w:val="00430642"/>
    <w:rsid w:val="00443A64"/>
    <w:rsid w:val="00522D28"/>
    <w:rsid w:val="0054146C"/>
    <w:rsid w:val="00546796"/>
    <w:rsid w:val="005861C4"/>
    <w:rsid w:val="005C1D6F"/>
    <w:rsid w:val="006F17E8"/>
    <w:rsid w:val="0071380C"/>
    <w:rsid w:val="007F499B"/>
    <w:rsid w:val="00854E58"/>
    <w:rsid w:val="00894139"/>
    <w:rsid w:val="008947D0"/>
    <w:rsid w:val="008A2327"/>
    <w:rsid w:val="009742D3"/>
    <w:rsid w:val="00A43C50"/>
    <w:rsid w:val="00A86151"/>
    <w:rsid w:val="00B0755D"/>
    <w:rsid w:val="00B52669"/>
    <w:rsid w:val="00BC233B"/>
    <w:rsid w:val="00C5525B"/>
    <w:rsid w:val="00C7798D"/>
    <w:rsid w:val="00D3039B"/>
    <w:rsid w:val="00D93DFA"/>
    <w:rsid w:val="00EB3D0B"/>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bidi="ne-NP"/>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FBB5BAF"/>
  <w15:chartTrackingRefBased/>
  <w15:docId w15:val="{06B075C0-6990-4042-BE74-F3D5390DE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360" w:lineRule="auto"/>
    </w:pPr>
    <w:rPr>
      <w:rFonts w:ascii="Times New Roman" w:hAnsi="Times New Roman" w:cs="Times New Roman"/>
      <w:sz w:val="24"/>
    </w:rPr>
  </w:style>
  <w:style w:type="paragraph" w:styleId="Heading1">
    <w:name w:val="heading 1"/>
    <w:basedOn w:val="Normal"/>
    <w:next w:val="Normal"/>
    <w:link w:val="Heading1Char"/>
    <w:uiPriority w:val="9"/>
    <w:qFormat/>
    <w:rsid w:val="00A86151"/>
    <w:pPr>
      <w:keepNext/>
      <w:keepLines/>
      <w:spacing w:before="360" w:after="80" w:line="259" w:lineRule="auto"/>
      <w:outlineLvl w:val="0"/>
    </w:pPr>
    <w:rPr>
      <w:rFonts w:asciiTheme="majorHAnsi" w:eastAsiaTheme="majorEastAsia" w:hAnsiTheme="majorHAnsi" w:cstheme="majorBidi"/>
      <w:color w:val="365F91" w:themeColor="accent1" w:themeShade="BF"/>
      <w:kern w:val="2"/>
      <w:sz w:val="40"/>
      <w:szCs w:val="40"/>
    </w:rPr>
  </w:style>
  <w:style w:type="paragraph" w:styleId="Heading2">
    <w:name w:val="heading 2"/>
    <w:basedOn w:val="Normal"/>
    <w:next w:val="Normal"/>
    <w:link w:val="Heading2Char"/>
    <w:uiPriority w:val="9"/>
    <w:semiHidden/>
    <w:unhideWhenUsed/>
    <w:qFormat/>
    <w:rsid w:val="00A86151"/>
    <w:pPr>
      <w:keepNext/>
      <w:keepLines/>
      <w:spacing w:before="160" w:after="80" w:line="259" w:lineRule="auto"/>
      <w:outlineLvl w:val="1"/>
    </w:pPr>
    <w:rPr>
      <w:rFonts w:asciiTheme="majorHAnsi" w:eastAsiaTheme="majorEastAsia" w:hAnsiTheme="majorHAnsi" w:cstheme="majorBidi"/>
      <w:color w:val="365F91" w:themeColor="accent1" w:themeShade="BF"/>
      <w:kern w:val="2"/>
      <w:sz w:val="32"/>
      <w:szCs w:val="32"/>
    </w:rPr>
  </w:style>
  <w:style w:type="paragraph" w:styleId="Heading3">
    <w:name w:val="heading 3"/>
    <w:basedOn w:val="Normal"/>
    <w:next w:val="Normal"/>
    <w:link w:val="Heading3Char"/>
    <w:uiPriority w:val="9"/>
    <w:semiHidden/>
    <w:unhideWhenUsed/>
    <w:qFormat/>
    <w:rsid w:val="00A86151"/>
    <w:pPr>
      <w:keepNext/>
      <w:keepLines/>
      <w:spacing w:before="160" w:after="80" w:line="259" w:lineRule="auto"/>
      <w:outlineLvl w:val="2"/>
    </w:pPr>
    <w:rPr>
      <w:rFonts w:asciiTheme="minorHAnsi" w:eastAsiaTheme="majorEastAsia" w:hAnsiTheme="minorHAnsi" w:cstheme="majorBidi"/>
      <w:color w:val="365F91" w:themeColor="accent1" w:themeShade="BF"/>
      <w:kern w:val="2"/>
      <w:sz w:val="28"/>
      <w:szCs w:val="28"/>
    </w:rPr>
  </w:style>
  <w:style w:type="paragraph" w:styleId="Heading4">
    <w:name w:val="heading 4"/>
    <w:basedOn w:val="Normal"/>
    <w:next w:val="Normal"/>
    <w:link w:val="Heading4Char"/>
    <w:uiPriority w:val="9"/>
    <w:semiHidden/>
    <w:unhideWhenUsed/>
    <w:qFormat/>
    <w:rsid w:val="00A86151"/>
    <w:pPr>
      <w:keepNext/>
      <w:keepLines/>
      <w:spacing w:before="80" w:after="40" w:line="259" w:lineRule="auto"/>
      <w:outlineLvl w:val="3"/>
    </w:pPr>
    <w:rPr>
      <w:rFonts w:asciiTheme="minorHAnsi" w:eastAsiaTheme="majorEastAsia" w:hAnsiTheme="minorHAnsi" w:cstheme="majorBidi"/>
      <w:i/>
      <w:iCs/>
      <w:color w:val="365F91" w:themeColor="accent1" w:themeShade="BF"/>
      <w:kern w:val="2"/>
      <w:sz w:val="22"/>
    </w:rPr>
  </w:style>
  <w:style w:type="paragraph" w:styleId="Heading5">
    <w:name w:val="heading 5"/>
    <w:basedOn w:val="Normal"/>
    <w:next w:val="Normal"/>
    <w:link w:val="Heading5Char"/>
    <w:uiPriority w:val="9"/>
    <w:semiHidden/>
    <w:unhideWhenUsed/>
    <w:qFormat/>
    <w:rsid w:val="00A86151"/>
    <w:pPr>
      <w:keepNext/>
      <w:keepLines/>
      <w:spacing w:before="80" w:after="40" w:line="259" w:lineRule="auto"/>
      <w:outlineLvl w:val="4"/>
    </w:pPr>
    <w:rPr>
      <w:rFonts w:asciiTheme="minorHAnsi" w:eastAsiaTheme="majorEastAsia" w:hAnsiTheme="minorHAnsi" w:cstheme="majorBidi"/>
      <w:color w:val="365F91" w:themeColor="accent1" w:themeShade="BF"/>
      <w:kern w:val="2"/>
      <w:sz w:val="22"/>
    </w:rPr>
  </w:style>
  <w:style w:type="paragraph" w:styleId="Heading6">
    <w:name w:val="heading 6"/>
    <w:basedOn w:val="Normal"/>
    <w:next w:val="Normal"/>
    <w:link w:val="Heading6Char"/>
    <w:uiPriority w:val="9"/>
    <w:semiHidden/>
    <w:unhideWhenUsed/>
    <w:qFormat/>
    <w:rsid w:val="00A86151"/>
    <w:pPr>
      <w:keepNext/>
      <w:keepLines/>
      <w:spacing w:before="40" w:line="259" w:lineRule="auto"/>
      <w:outlineLvl w:val="5"/>
    </w:pPr>
    <w:rPr>
      <w:rFonts w:asciiTheme="minorHAnsi" w:eastAsiaTheme="majorEastAsia" w:hAnsiTheme="minorHAnsi" w:cstheme="majorBidi"/>
      <w:i/>
      <w:iCs/>
      <w:color w:val="595959" w:themeColor="text1" w:themeTint="A6"/>
      <w:kern w:val="2"/>
      <w:sz w:val="22"/>
    </w:rPr>
  </w:style>
  <w:style w:type="paragraph" w:styleId="Heading7">
    <w:name w:val="heading 7"/>
    <w:basedOn w:val="Normal"/>
    <w:next w:val="Normal"/>
    <w:link w:val="Heading7Char"/>
    <w:uiPriority w:val="9"/>
    <w:semiHidden/>
    <w:unhideWhenUsed/>
    <w:qFormat/>
    <w:rsid w:val="00A86151"/>
    <w:pPr>
      <w:keepNext/>
      <w:keepLines/>
      <w:spacing w:before="40" w:line="259" w:lineRule="auto"/>
      <w:outlineLvl w:val="6"/>
    </w:pPr>
    <w:rPr>
      <w:rFonts w:asciiTheme="minorHAnsi" w:eastAsiaTheme="majorEastAsia" w:hAnsiTheme="minorHAnsi" w:cstheme="majorBidi"/>
      <w:color w:val="595959" w:themeColor="text1" w:themeTint="A6"/>
      <w:kern w:val="2"/>
      <w:sz w:val="22"/>
    </w:rPr>
  </w:style>
  <w:style w:type="paragraph" w:styleId="Heading8">
    <w:name w:val="heading 8"/>
    <w:basedOn w:val="Normal"/>
    <w:next w:val="Normal"/>
    <w:link w:val="Heading8Char"/>
    <w:uiPriority w:val="9"/>
    <w:semiHidden/>
    <w:unhideWhenUsed/>
    <w:qFormat/>
    <w:rsid w:val="00A86151"/>
    <w:pPr>
      <w:keepNext/>
      <w:keepLines/>
      <w:spacing w:line="259" w:lineRule="auto"/>
      <w:outlineLvl w:val="7"/>
    </w:pPr>
    <w:rPr>
      <w:rFonts w:asciiTheme="minorHAnsi" w:eastAsiaTheme="majorEastAsia" w:hAnsiTheme="minorHAnsi" w:cstheme="majorBidi"/>
      <w:i/>
      <w:iCs/>
      <w:color w:val="272727" w:themeColor="text1" w:themeTint="D8"/>
      <w:kern w:val="2"/>
      <w:sz w:val="22"/>
    </w:rPr>
  </w:style>
  <w:style w:type="paragraph" w:styleId="Heading9">
    <w:name w:val="heading 9"/>
    <w:basedOn w:val="Normal"/>
    <w:next w:val="Normal"/>
    <w:link w:val="Heading9Char"/>
    <w:uiPriority w:val="9"/>
    <w:semiHidden/>
    <w:unhideWhenUsed/>
    <w:qFormat/>
    <w:rsid w:val="00A86151"/>
    <w:pPr>
      <w:keepNext/>
      <w:keepLines/>
      <w:spacing w:line="259" w:lineRule="auto"/>
      <w:outlineLvl w:val="8"/>
    </w:pPr>
    <w:rPr>
      <w:rFonts w:asciiTheme="minorHAnsi" w:eastAsiaTheme="majorEastAsia" w:hAnsiTheme="minorHAnsi" w:cstheme="majorBidi"/>
      <w:color w:val="272727" w:themeColor="text1" w:themeTint="D8"/>
      <w:kern w:val="2"/>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6151"/>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A86151"/>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86151"/>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86151"/>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86151"/>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861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61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61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6151"/>
    <w:rPr>
      <w:rFonts w:eastAsiaTheme="majorEastAsia" w:cstheme="majorBidi"/>
      <w:color w:val="272727" w:themeColor="text1" w:themeTint="D8"/>
    </w:rPr>
  </w:style>
  <w:style w:type="paragraph" w:styleId="Title">
    <w:name w:val="Title"/>
    <w:basedOn w:val="Normal"/>
    <w:next w:val="Normal"/>
    <w:link w:val="TitleChar"/>
    <w:uiPriority w:val="10"/>
    <w:qFormat/>
    <w:rsid w:val="00A8615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61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6151"/>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A86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151"/>
    <w:pPr>
      <w:spacing w:before="160" w:after="160" w:line="259" w:lineRule="auto"/>
      <w:jc w:val="center"/>
    </w:pPr>
    <w:rPr>
      <w:rFonts w:asciiTheme="minorHAnsi" w:hAnsiTheme="minorHAnsi" w:cstheme="minorBidi"/>
      <w:i/>
      <w:iCs/>
      <w:color w:val="404040" w:themeColor="text1" w:themeTint="BF"/>
      <w:kern w:val="2"/>
      <w:sz w:val="22"/>
    </w:rPr>
  </w:style>
  <w:style w:type="character" w:customStyle="1" w:styleId="QuoteChar">
    <w:name w:val="Quote Char"/>
    <w:basedOn w:val="DefaultParagraphFont"/>
    <w:link w:val="Quote"/>
    <w:uiPriority w:val="29"/>
    <w:rsid w:val="00A86151"/>
    <w:rPr>
      <w:i/>
      <w:iCs/>
      <w:color w:val="404040" w:themeColor="text1" w:themeTint="BF"/>
    </w:rPr>
  </w:style>
  <w:style w:type="paragraph" w:styleId="ListParagraph">
    <w:name w:val="List Paragraph"/>
    <w:basedOn w:val="Normal"/>
    <w:uiPriority w:val="34"/>
    <w:qFormat/>
    <w:rsid w:val="00A86151"/>
    <w:pPr>
      <w:spacing w:after="160" w:line="259" w:lineRule="auto"/>
      <w:ind w:left="720"/>
      <w:contextualSpacing/>
    </w:pPr>
    <w:rPr>
      <w:rFonts w:asciiTheme="minorHAnsi" w:hAnsiTheme="minorHAnsi" w:cstheme="minorBidi"/>
      <w:kern w:val="2"/>
      <w:sz w:val="22"/>
    </w:rPr>
  </w:style>
  <w:style w:type="character" w:styleId="IntenseEmphasis">
    <w:name w:val="Intense Emphasis"/>
    <w:basedOn w:val="DefaultParagraphFont"/>
    <w:uiPriority w:val="21"/>
    <w:qFormat/>
    <w:rsid w:val="00A86151"/>
    <w:rPr>
      <w:i/>
      <w:iCs/>
      <w:color w:val="365F91" w:themeColor="accent1" w:themeShade="BF"/>
    </w:rPr>
  </w:style>
  <w:style w:type="paragraph" w:styleId="IntenseQuote">
    <w:name w:val="Intense Quote"/>
    <w:basedOn w:val="Normal"/>
    <w:next w:val="Normal"/>
    <w:link w:val="IntenseQuoteChar"/>
    <w:uiPriority w:val="30"/>
    <w:qFormat/>
    <w:rsid w:val="00A86151"/>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hAnsiTheme="minorHAnsi" w:cstheme="minorBidi"/>
      <w:i/>
      <w:iCs/>
      <w:color w:val="365F91" w:themeColor="accent1" w:themeShade="BF"/>
      <w:kern w:val="2"/>
      <w:sz w:val="22"/>
    </w:rPr>
  </w:style>
  <w:style w:type="character" w:customStyle="1" w:styleId="IntenseQuoteChar">
    <w:name w:val="Intense Quote Char"/>
    <w:basedOn w:val="DefaultParagraphFont"/>
    <w:link w:val="IntenseQuote"/>
    <w:uiPriority w:val="30"/>
    <w:rsid w:val="00A86151"/>
    <w:rPr>
      <w:i/>
      <w:iCs/>
      <w:color w:val="365F91" w:themeColor="accent1" w:themeShade="BF"/>
    </w:rPr>
  </w:style>
  <w:style w:type="character" w:styleId="IntenseReference">
    <w:name w:val="Intense Reference"/>
    <w:basedOn w:val="DefaultParagraphFont"/>
    <w:uiPriority w:val="32"/>
    <w:qFormat/>
    <w:rsid w:val="00A86151"/>
    <w:rPr>
      <w:b/>
      <w:bCs/>
      <w:smallCaps/>
      <w:color w:val="365F91" w:themeColor="accent1" w:themeShade="BF"/>
      <w:spacing w:val="5"/>
    </w:rPr>
  </w:style>
  <w:style w:type="paragraph" w:customStyle="1" w:styleId="TechnicalBlockBase">
    <w:name w:val="TechnicalBlockBase"/>
    <w:link w:val="TechnicalBlockBaseChar"/>
    <w:rsid w:val="00EB3D0B"/>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eastAsia="fr-BE" w:bidi="ar-SA"/>
    </w:rPr>
  </w:style>
  <w:style w:type="character" w:customStyle="1" w:styleId="TechnicalBlockBaseChar">
    <w:name w:val="TechnicalBlockBase Char"/>
    <w:basedOn w:val="EntInstitChar"/>
    <w:link w:val="TechnicalBlockBase"/>
    <w:rsid w:val="00EB3D0B"/>
    <w:rPr>
      <w:rFonts w:ascii="Arial New Roman" w:eastAsia="Times New Roman" w:hAnsi="Arial New Roman" w:cs="Arial"/>
      <w:b/>
      <w:i/>
      <w:dstrike/>
      <w:color w:val="606060"/>
      <w:w w:val="98"/>
      <w:sz w:val="10"/>
      <w:szCs w:val="20"/>
      <w:u w:val="words" w:color="606060"/>
      <w:lang w:eastAsia="fr-BE" w:bidi="ar-SA"/>
    </w:rPr>
  </w:style>
  <w:style w:type="paragraph" w:customStyle="1" w:styleId="TBEntRefer">
    <w:name w:val="TBEntRefer"/>
    <w:basedOn w:val="TechnicalBlockBase"/>
    <w:link w:val="EntReferChar"/>
    <w:rsid w:val="00EB3D0B"/>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A43C50"/>
    <w:rPr>
      <w:rFonts w:ascii="Arial" w:eastAsia="Times New Roman" w:hAnsi="Arial" w:cs="Arial"/>
      <w:b/>
      <w:sz w:val="23"/>
      <w:szCs w:val="20"/>
      <w:u w:color="606060"/>
      <w:lang w:eastAsia="fr-BE" w:bidi="ar-SA"/>
    </w:rPr>
  </w:style>
  <w:style w:type="paragraph" w:customStyle="1" w:styleId="TBDistrbMarkers">
    <w:name w:val="TBDistrbMarkers"/>
    <w:basedOn w:val="TBEntRefer"/>
    <w:qFormat/>
    <w:rsid w:val="00EB3D0B"/>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EB3D0B"/>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EB3D0B"/>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EB3D0B"/>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EB3D0B"/>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EB3D0B"/>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EB3D0B"/>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EB3D0B"/>
    <w:rPr>
      <w:rFonts w:ascii="Arial" w:eastAsia="Times New Roman" w:hAnsi="Arial" w:cs="Arial"/>
      <w:b/>
      <w:sz w:val="23"/>
      <w:szCs w:val="20"/>
      <w:u w:color="606060"/>
      <w:lang w:eastAsia="fr-BE" w:bidi="ar-SA"/>
    </w:rPr>
  </w:style>
  <w:style w:type="paragraph" w:customStyle="1" w:styleId="TBSubjectTable">
    <w:name w:val="TBSubjectTable"/>
    <w:basedOn w:val="TechnicalBlockBase"/>
    <w:rsid w:val="00EB3D0B"/>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EB3D0B"/>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EB3D0B"/>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EB3D0B"/>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EB3D0B"/>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Large">
    <w:name w:val="Header Council Large"/>
    <w:basedOn w:val="Normal"/>
    <w:uiPriority w:val="99"/>
    <w:unhideWhenUsed/>
    <w:pPr>
      <w:spacing w:before="0" w:after="440"/>
    </w:pPr>
    <w:rPr>
      <w:sz w:val="2"/>
    </w:rPr>
  </w:style>
  <w:style w:type="paragraph" w:customStyle="1" w:styleId="FooterText">
    <w:name w:val="Footer Text"/>
    <w:basedOn w:val="Normal"/>
    <w:unhideWhenUsed/>
    <w:pPr>
      <w:spacing w:before="0" w:after="0" w:line="240" w:lineRule="auto"/>
    </w:pPr>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shd w:val="clear" w:color="auto" w:fill="auto"/>
      <w:lang w:val="ro-RO" w:eastAsia="ro-RO" w:bidi="ro-RO"/>
    </w:rPr>
  </w:style>
  <w:style w:type="paragraph" w:styleId="Footer">
    <w:name w:val="footer"/>
    <w:basedOn w:val="Normal"/>
    <w:link w:val="FooterChar"/>
    <w:uiPriority w:val="99"/>
    <w:unhideWhenUsed/>
    <w:rsid w:val="00B5488B"/>
    <w:pPr>
      <w:tabs>
        <w:tab w:val="center" w:pos="4819"/>
        <w:tab w:val="center" w:pos="7370"/>
        <w:tab w:val="right" w:pos="9638"/>
      </w:tabs>
      <w:spacing w:before="0" w:after="0" w:line="240" w:lineRule="auto"/>
    </w:pPr>
  </w:style>
  <w:style w:type="character" w:customStyle="1" w:styleId="FooterChar">
    <w:name w:val="Footer Char"/>
    <w:basedOn w:val="DefaultParagraphFont"/>
    <w:link w:val="Footer"/>
    <w:uiPriority w:val="99"/>
    <w:rsid w:val="00B5488B"/>
    <w:rPr>
      <w:rFonts w:ascii="Times New Roman" w:hAnsi="Times New Roman" w:cs="Times New Roman"/>
      <w:sz w:val="24"/>
      <w:shd w:val="clear" w:color="auto" w:fill="auto"/>
      <w:lang w:val="ro-RO" w:eastAsia="ro-RO" w:bidi="ro-RO"/>
    </w:rPr>
  </w:style>
  <w:style w:type="paragraph" w:styleId="FootnoteText">
    <w:name w:val="footnote text"/>
    <w:basedOn w:val="Normal"/>
    <w:link w:val="FootnoteTextChar"/>
    <w:uiPriority w:val="99"/>
    <w:unhideWhenUsed/>
    <w:rsid w:val="009C6417"/>
    <w:pPr>
      <w:spacing w:before="0" w:after="0" w:line="240" w:lineRule="auto"/>
      <w:ind w:left="720" w:hanging="720"/>
    </w:pPr>
    <w:rPr>
      <w:szCs w:val="20"/>
    </w:rPr>
  </w:style>
  <w:style w:type="character" w:customStyle="1" w:styleId="FootnoteTextChar">
    <w:name w:val="Footnote Text Char"/>
    <w:basedOn w:val="DefaultParagraphFont"/>
    <w:link w:val="FootnoteText"/>
    <w:uiPriority w:val="99"/>
    <w:semiHidden/>
    <w:rsid w:val="009C6417"/>
    <w:rPr>
      <w:rFonts w:ascii="Times New Roman" w:hAnsi="Times New Roman" w:cs="Times New Roman"/>
      <w:sz w:val="24"/>
      <w:szCs w:val="20"/>
      <w:shd w:val="clear" w:color="auto" w:fill="auto"/>
      <w:lang w:val="ro-RO" w:eastAsia="ro-RO" w:bidi="ro-RO"/>
    </w:rPr>
  </w:style>
  <w:style w:type="paragraph" w:customStyle="1" w:styleId="NormalCentered">
    <w:name w:val="Normal Centered"/>
    <w:basedOn w:val="Normal"/>
    <w:rsid w:val="009C6417"/>
    <w:pPr>
      <w:spacing w:before="200"/>
      <w:jc w:val="center"/>
    </w:pPr>
  </w:style>
  <w:style w:type="paragraph" w:customStyle="1" w:styleId="NormalRight">
    <w:name w:val="Normal Right"/>
    <w:basedOn w:val="Normal"/>
    <w:rsid w:val="009C6417"/>
    <w:pPr>
      <w:spacing w:before="200"/>
      <w:jc w:val="right"/>
    </w:pPr>
  </w:style>
  <w:style w:type="paragraph" w:customStyle="1" w:styleId="NormalJustified">
    <w:name w:val="Normal Justified"/>
    <w:basedOn w:val="Normal"/>
    <w:rsid w:val="009C6417"/>
    <w:pPr>
      <w:spacing w:before="200"/>
      <w:jc w:val="both"/>
    </w:pPr>
  </w:style>
  <w:style w:type="paragraph" w:customStyle="1" w:styleId="HeaderLandscape">
    <w:name w:val="HeaderLandscape"/>
    <w:basedOn w:val="Normal"/>
    <w:rsid w:val="009C6417"/>
    <w:pPr>
      <w:tabs>
        <w:tab w:val="right" w:pos="14570"/>
      </w:tabs>
    </w:pPr>
  </w:style>
  <w:style w:type="paragraph" w:customStyle="1" w:styleId="FooterLandscape">
    <w:name w:val="FooterLandscape"/>
    <w:basedOn w:val="Normal"/>
    <w:rsid w:val="009C6417"/>
    <w:pPr>
      <w:tabs>
        <w:tab w:val="center" w:pos="7285"/>
        <w:tab w:val="center" w:pos="10930"/>
        <w:tab w:val="right" w:pos="14570"/>
      </w:tabs>
      <w:spacing w:before="0" w:after="0" w:line="240" w:lineRule="auto"/>
    </w:pPr>
  </w:style>
  <w:style w:type="character" w:styleId="FootnoteReference">
    <w:name w:val="footnote reference"/>
    <w:basedOn w:val="DefaultParagraphFont"/>
    <w:uiPriority w:val="99"/>
    <w:unhideWhenUsed/>
    <w:rsid w:val="009C6417"/>
    <w:rPr>
      <w:b/>
      <w:shd w:val="clear" w:color="auto" w:fill="auto"/>
      <w:vertAlign w:val="superscript"/>
    </w:rPr>
  </w:style>
  <w:style w:type="paragraph" w:customStyle="1" w:styleId="HeaderCouncil">
    <w:name w:val="Header Council"/>
    <w:basedOn w:val="Normal"/>
    <w:rsid w:val="009C6417"/>
    <w:pPr>
      <w:spacing w:before="0" w:after="0" w:line="240" w:lineRule="auto"/>
    </w:pPr>
    <w:rPr>
      <w:sz w:val="2"/>
    </w:rPr>
  </w:style>
  <w:style w:type="paragraph" w:customStyle="1" w:styleId="FooterCouncil">
    <w:name w:val="Footer Council"/>
    <w:basedOn w:val="Normal"/>
    <w:rsid w:val="009C6417"/>
    <w:pPr>
      <w:spacing w:before="0" w:after="0" w:line="240" w:lineRule="auto"/>
    </w:pPr>
    <w:rPr>
      <w:sz w:val="2"/>
    </w:rPr>
  </w:style>
  <w:style w:type="paragraph" w:customStyle="1" w:styleId="TechnicalBlock">
    <w:name w:val="Technical Block"/>
    <w:basedOn w:val="Normal"/>
    <w:next w:val="Normal"/>
    <w:rsid w:val="009C6417"/>
    <w:pPr>
      <w:spacing w:before="0" w:after="240" w:line="240" w:lineRule="auto"/>
      <w:jc w:val="center"/>
    </w:pPr>
  </w:style>
  <w:style w:type="paragraph" w:customStyle="1" w:styleId="FinalLine">
    <w:name w:val="Final Line"/>
    <w:basedOn w:val="Normal"/>
    <w:next w:val="Normal"/>
    <w:rsid w:val="009C6417"/>
    <w:pPr>
      <w:pBdr>
        <w:bottom w:val="single" w:sz="4" w:space="0" w:color="000000"/>
      </w:pBdr>
      <w:spacing w:before="360"/>
      <w:ind w:left="3400" w:right="3400"/>
      <w:jc w:val="center"/>
    </w:pPr>
    <w:rPr>
      <w:b/>
    </w:rPr>
  </w:style>
  <w:style w:type="paragraph" w:customStyle="1" w:styleId="FinalLineLandscape">
    <w:name w:val="Final Line (Landscape)"/>
    <w:basedOn w:val="Normal"/>
    <w:next w:val="Normal"/>
    <w:rsid w:val="009C6417"/>
    <w:pPr>
      <w:pBdr>
        <w:bottom w:val="single" w:sz="4" w:space="0" w:color="000000"/>
      </w:pBdr>
      <w:spacing w:before="360"/>
      <w:ind w:left="5868" w:right="5868"/>
      <w:jc w:val="center"/>
    </w:pPr>
    <w:rPr>
      <w:b/>
    </w:rPr>
  </w:style>
  <w:style w:type="paragraph" w:customStyle="1" w:styleId="Text1">
    <w:name w:val="Text 1"/>
    <w:basedOn w:val="Normal"/>
    <w:rsid w:val="009C6417"/>
    <w:pPr>
      <w:ind w:left="567"/>
    </w:pPr>
  </w:style>
  <w:style w:type="paragraph" w:customStyle="1" w:styleId="Text2">
    <w:name w:val="Text 2"/>
    <w:basedOn w:val="Normal"/>
    <w:rsid w:val="009C6417"/>
    <w:pPr>
      <w:ind w:left="1134"/>
    </w:pPr>
  </w:style>
  <w:style w:type="paragraph" w:customStyle="1" w:styleId="Text3">
    <w:name w:val="Text 3"/>
    <w:basedOn w:val="Normal"/>
    <w:rsid w:val="009C6417"/>
    <w:pPr>
      <w:ind w:left="1701"/>
    </w:pPr>
  </w:style>
  <w:style w:type="paragraph" w:customStyle="1" w:styleId="Text4">
    <w:name w:val="Text 4"/>
    <w:basedOn w:val="Normal"/>
    <w:rsid w:val="009C6417"/>
    <w:pPr>
      <w:ind w:left="2268"/>
    </w:pPr>
  </w:style>
  <w:style w:type="paragraph" w:customStyle="1" w:styleId="Text5">
    <w:name w:val="Text 5"/>
    <w:basedOn w:val="Normal"/>
    <w:rsid w:val="009C6417"/>
    <w:pPr>
      <w:ind w:left="2835"/>
    </w:pPr>
  </w:style>
  <w:style w:type="paragraph" w:customStyle="1" w:styleId="Text6">
    <w:name w:val="Text 6"/>
    <w:basedOn w:val="Normal"/>
    <w:rsid w:val="009C6417"/>
    <w:pPr>
      <w:ind w:left="3402"/>
    </w:pPr>
  </w:style>
  <w:style w:type="paragraph" w:customStyle="1" w:styleId="PointManual">
    <w:name w:val="Point Manual"/>
    <w:basedOn w:val="Normal"/>
    <w:rsid w:val="009C6417"/>
    <w:pPr>
      <w:ind w:left="567" w:hanging="567"/>
    </w:pPr>
  </w:style>
  <w:style w:type="paragraph" w:customStyle="1" w:styleId="PointManual1">
    <w:name w:val="Point Manual (1)"/>
    <w:basedOn w:val="Normal"/>
    <w:rsid w:val="009C6417"/>
    <w:pPr>
      <w:ind w:left="1134" w:hanging="567"/>
    </w:pPr>
  </w:style>
  <w:style w:type="paragraph" w:customStyle="1" w:styleId="PointManual2">
    <w:name w:val="Point Manual (2)"/>
    <w:basedOn w:val="Normal"/>
    <w:rsid w:val="009C6417"/>
    <w:pPr>
      <w:ind w:left="1701" w:hanging="567"/>
    </w:pPr>
  </w:style>
  <w:style w:type="paragraph" w:customStyle="1" w:styleId="PointManual3">
    <w:name w:val="Point Manual (3)"/>
    <w:basedOn w:val="Normal"/>
    <w:rsid w:val="009C6417"/>
    <w:pPr>
      <w:ind w:left="2268" w:hanging="567"/>
    </w:pPr>
  </w:style>
  <w:style w:type="paragraph" w:customStyle="1" w:styleId="PointManual4">
    <w:name w:val="Point Manual (4)"/>
    <w:basedOn w:val="Normal"/>
    <w:rsid w:val="009C6417"/>
    <w:pPr>
      <w:ind w:left="2835" w:hanging="567"/>
    </w:pPr>
  </w:style>
  <w:style w:type="paragraph" w:customStyle="1" w:styleId="PointDoubleManual">
    <w:name w:val="Point Double Manual"/>
    <w:basedOn w:val="Normal"/>
    <w:rsid w:val="009C6417"/>
    <w:pPr>
      <w:tabs>
        <w:tab w:val="left" w:pos="567"/>
      </w:tabs>
      <w:ind w:left="1134" w:hanging="1134"/>
    </w:pPr>
  </w:style>
  <w:style w:type="paragraph" w:customStyle="1" w:styleId="PointDoubleManual1">
    <w:name w:val="Point Double Manual (1)"/>
    <w:basedOn w:val="Normal"/>
    <w:rsid w:val="009C6417"/>
    <w:pPr>
      <w:tabs>
        <w:tab w:val="left" w:pos="1134"/>
      </w:tabs>
      <w:ind w:left="1701" w:hanging="1134"/>
    </w:pPr>
  </w:style>
  <w:style w:type="paragraph" w:customStyle="1" w:styleId="PointDoubleManual2">
    <w:name w:val="Point Double Manual (2)"/>
    <w:basedOn w:val="Normal"/>
    <w:rsid w:val="009C6417"/>
    <w:pPr>
      <w:tabs>
        <w:tab w:val="left" w:pos="1701"/>
      </w:tabs>
      <w:ind w:left="2268" w:hanging="1134"/>
    </w:pPr>
  </w:style>
  <w:style w:type="paragraph" w:customStyle="1" w:styleId="PointDoubleManual3">
    <w:name w:val="Point Double Manual (3)"/>
    <w:basedOn w:val="Normal"/>
    <w:rsid w:val="009C6417"/>
    <w:pPr>
      <w:tabs>
        <w:tab w:val="left" w:pos="2268"/>
      </w:tabs>
      <w:ind w:left="2835" w:hanging="1134"/>
    </w:pPr>
  </w:style>
  <w:style w:type="paragraph" w:customStyle="1" w:styleId="PointDoubleManual4">
    <w:name w:val="Point Double Manual (4)"/>
    <w:basedOn w:val="Normal"/>
    <w:rsid w:val="009C6417"/>
    <w:pPr>
      <w:tabs>
        <w:tab w:val="left" w:pos="2835"/>
      </w:tabs>
      <w:ind w:left="3402" w:hanging="1134"/>
    </w:pPr>
  </w:style>
  <w:style w:type="paragraph" w:customStyle="1" w:styleId="Pointabc">
    <w:name w:val="Point abc"/>
    <w:basedOn w:val="Normal"/>
    <w:rsid w:val="009C6417"/>
    <w:pPr>
      <w:numPr>
        <w:ilvl w:val="1"/>
        <w:numId w:val="1"/>
      </w:numPr>
    </w:pPr>
  </w:style>
  <w:style w:type="paragraph" w:customStyle="1" w:styleId="Pointabc1">
    <w:name w:val="Point abc (1)"/>
    <w:basedOn w:val="Normal"/>
    <w:rsid w:val="009C6417"/>
    <w:pPr>
      <w:numPr>
        <w:ilvl w:val="3"/>
        <w:numId w:val="1"/>
      </w:numPr>
    </w:pPr>
  </w:style>
  <w:style w:type="paragraph" w:customStyle="1" w:styleId="Pointabc2">
    <w:name w:val="Point abc (2)"/>
    <w:basedOn w:val="Normal"/>
    <w:rsid w:val="009C6417"/>
    <w:pPr>
      <w:numPr>
        <w:ilvl w:val="5"/>
        <w:numId w:val="1"/>
      </w:numPr>
    </w:pPr>
  </w:style>
  <w:style w:type="paragraph" w:customStyle="1" w:styleId="Pointabc3">
    <w:name w:val="Point abc (3)"/>
    <w:basedOn w:val="Normal"/>
    <w:rsid w:val="009C6417"/>
    <w:pPr>
      <w:numPr>
        <w:ilvl w:val="7"/>
        <w:numId w:val="1"/>
      </w:numPr>
    </w:pPr>
  </w:style>
  <w:style w:type="paragraph" w:customStyle="1" w:styleId="Pointabc4">
    <w:name w:val="Point abc (4)"/>
    <w:basedOn w:val="Normal"/>
    <w:rsid w:val="009C6417"/>
    <w:pPr>
      <w:numPr>
        <w:ilvl w:val="8"/>
        <w:numId w:val="1"/>
      </w:numPr>
    </w:pPr>
  </w:style>
  <w:style w:type="paragraph" w:customStyle="1" w:styleId="Point123">
    <w:name w:val="Point 123"/>
    <w:basedOn w:val="Normal"/>
    <w:rsid w:val="009C6417"/>
    <w:pPr>
      <w:numPr>
        <w:numId w:val="1"/>
      </w:numPr>
    </w:pPr>
  </w:style>
  <w:style w:type="paragraph" w:customStyle="1" w:styleId="Point1231">
    <w:name w:val="Point 123 (1)"/>
    <w:basedOn w:val="Normal"/>
    <w:rsid w:val="009C6417"/>
    <w:pPr>
      <w:numPr>
        <w:ilvl w:val="2"/>
        <w:numId w:val="1"/>
      </w:numPr>
    </w:pPr>
  </w:style>
  <w:style w:type="paragraph" w:customStyle="1" w:styleId="Point1232">
    <w:name w:val="Point 123 (2)"/>
    <w:basedOn w:val="Normal"/>
    <w:rsid w:val="009C6417"/>
    <w:pPr>
      <w:numPr>
        <w:ilvl w:val="4"/>
        <w:numId w:val="1"/>
      </w:numPr>
    </w:pPr>
  </w:style>
  <w:style w:type="paragraph" w:customStyle="1" w:styleId="Point1233">
    <w:name w:val="Point 123 (3)"/>
    <w:basedOn w:val="Normal"/>
    <w:rsid w:val="009C6417"/>
    <w:pPr>
      <w:numPr>
        <w:ilvl w:val="6"/>
        <w:numId w:val="1"/>
      </w:numPr>
    </w:pPr>
  </w:style>
  <w:style w:type="paragraph" w:customStyle="1" w:styleId="Pointivx">
    <w:name w:val="Point ivx"/>
    <w:basedOn w:val="Normal"/>
    <w:rsid w:val="009C6417"/>
    <w:pPr>
      <w:numPr>
        <w:numId w:val="2"/>
      </w:numPr>
    </w:pPr>
  </w:style>
  <w:style w:type="paragraph" w:customStyle="1" w:styleId="Pointivx1">
    <w:name w:val="Point ivx (1)"/>
    <w:basedOn w:val="Normal"/>
    <w:rsid w:val="009C6417"/>
    <w:pPr>
      <w:numPr>
        <w:ilvl w:val="1"/>
        <w:numId w:val="2"/>
      </w:numPr>
    </w:pPr>
  </w:style>
  <w:style w:type="paragraph" w:customStyle="1" w:styleId="Pointivx2">
    <w:name w:val="Point ivx (2)"/>
    <w:basedOn w:val="Normal"/>
    <w:rsid w:val="009C6417"/>
    <w:pPr>
      <w:numPr>
        <w:ilvl w:val="2"/>
        <w:numId w:val="2"/>
      </w:numPr>
    </w:pPr>
  </w:style>
  <w:style w:type="paragraph" w:customStyle="1" w:styleId="Pointivx3">
    <w:name w:val="Point ivx (3)"/>
    <w:basedOn w:val="Normal"/>
    <w:rsid w:val="009C6417"/>
    <w:pPr>
      <w:numPr>
        <w:ilvl w:val="3"/>
        <w:numId w:val="2"/>
      </w:numPr>
    </w:pPr>
  </w:style>
  <w:style w:type="paragraph" w:customStyle="1" w:styleId="Pointivx4">
    <w:name w:val="Point ivx (4)"/>
    <w:basedOn w:val="Normal"/>
    <w:rsid w:val="009C6417"/>
    <w:pPr>
      <w:numPr>
        <w:ilvl w:val="4"/>
        <w:numId w:val="2"/>
      </w:numPr>
    </w:pPr>
  </w:style>
  <w:style w:type="paragraph" w:customStyle="1" w:styleId="Bullet">
    <w:name w:val="Bullet"/>
    <w:basedOn w:val="Normal"/>
    <w:rsid w:val="009C6417"/>
    <w:pPr>
      <w:numPr>
        <w:numId w:val="3"/>
      </w:numPr>
    </w:pPr>
  </w:style>
  <w:style w:type="paragraph" w:customStyle="1" w:styleId="Bullet1">
    <w:name w:val="Bullet 1"/>
    <w:basedOn w:val="Normal"/>
    <w:rsid w:val="009C6417"/>
    <w:pPr>
      <w:numPr>
        <w:numId w:val="4"/>
      </w:numPr>
    </w:pPr>
  </w:style>
  <w:style w:type="paragraph" w:customStyle="1" w:styleId="Bullet2">
    <w:name w:val="Bullet 2"/>
    <w:basedOn w:val="Normal"/>
    <w:rsid w:val="009C6417"/>
    <w:pPr>
      <w:numPr>
        <w:numId w:val="5"/>
      </w:numPr>
    </w:pPr>
  </w:style>
  <w:style w:type="paragraph" w:customStyle="1" w:styleId="Bullet3">
    <w:name w:val="Bullet 3"/>
    <w:basedOn w:val="Normal"/>
    <w:rsid w:val="009C6417"/>
    <w:pPr>
      <w:numPr>
        <w:numId w:val="6"/>
      </w:numPr>
    </w:pPr>
  </w:style>
  <w:style w:type="paragraph" w:customStyle="1" w:styleId="Bullet4">
    <w:name w:val="Bullet 4"/>
    <w:basedOn w:val="Normal"/>
    <w:rsid w:val="009C6417"/>
    <w:pPr>
      <w:numPr>
        <w:numId w:val="7"/>
      </w:numPr>
    </w:pPr>
  </w:style>
  <w:style w:type="paragraph" w:customStyle="1" w:styleId="Dash">
    <w:name w:val="Dash"/>
    <w:basedOn w:val="Normal"/>
    <w:rsid w:val="009C6417"/>
    <w:pPr>
      <w:numPr>
        <w:numId w:val="8"/>
      </w:numPr>
    </w:pPr>
  </w:style>
  <w:style w:type="paragraph" w:customStyle="1" w:styleId="Dash1">
    <w:name w:val="Dash 1"/>
    <w:basedOn w:val="Normal"/>
    <w:rsid w:val="009C6417"/>
    <w:pPr>
      <w:numPr>
        <w:numId w:val="9"/>
      </w:numPr>
    </w:pPr>
  </w:style>
  <w:style w:type="paragraph" w:customStyle="1" w:styleId="Dash2">
    <w:name w:val="Dash 2"/>
    <w:basedOn w:val="Normal"/>
    <w:rsid w:val="009C6417"/>
    <w:pPr>
      <w:numPr>
        <w:numId w:val="10"/>
      </w:numPr>
    </w:pPr>
  </w:style>
  <w:style w:type="paragraph" w:customStyle="1" w:styleId="Dash3">
    <w:name w:val="Dash 3"/>
    <w:basedOn w:val="Normal"/>
    <w:rsid w:val="009C6417"/>
    <w:pPr>
      <w:numPr>
        <w:numId w:val="11"/>
      </w:numPr>
    </w:pPr>
  </w:style>
  <w:style w:type="paragraph" w:customStyle="1" w:styleId="Dash4">
    <w:name w:val="Dash 4"/>
    <w:basedOn w:val="Normal"/>
    <w:rsid w:val="009C6417"/>
    <w:pPr>
      <w:numPr>
        <w:numId w:val="12"/>
      </w:numPr>
    </w:pPr>
  </w:style>
  <w:style w:type="paragraph" w:customStyle="1" w:styleId="DashEqual">
    <w:name w:val="Dash Equal"/>
    <w:basedOn w:val="Dash"/>
    <w:rsid w:val="009C6417"/>
    <w:pPr>
      <w:numPr>
        <w:numId w:val="13"/>
      </w:numPr>
    </w:pPr>
  </w:style>
  <w:style w:type="paragraph" w:customStyle="1" w:styleId="DashEqual1">
    <w:name w:val="Dash Equal 1"/>
    <w:basedOn w:val="Dash1"/>
    <w:rsid w:val="009C6417"/>
    <w:pPr>
      <w:numPr>
        <w:numId w:val="14"/>
      </w:numPr>
    </w:pPr>
  </w:style>
  <w:style w:type="paragraph" w:customStyle="1" w:styleId="DashEqual2">
    <w:name w:val="Dash Equal 2"/>
    <w:basedOn w:val="Dash2"/>
    <w:rsid w:val="009C6417"/>
    <w:pPr>
      <w:numPr>
        <w:numId w:val="15"/>
      </w:numPr>
    </w:pPr>
  </w:style>
  <w:style w:type="paragraph" w:customStyle="1" w:styleId="DashEqual3">
    <w:name w:val="Dash Equal 3"/>
    <w:basedOn w:val="Dash3"/>
    <w:rsid w:val="009C6417"/>
    <w:pPr>
      <w:numPr>
        <w:numId w:val="16"/>
      </w:numPr>
    </w:pPr>
  </w:style>
  <w:style w:type="paragraph" w:customStyle="1" w:styleId="DashEqual4">
    <w:name w:val="Dash Equal 4"/>
    <w:basedOn w:val="Dash4"/>
    <w:rsid w:val="009C6417"/>
    <w:pPr>
      <w:numPr>
        <w:numId w:val="17"/>
      </w:numPr>
    </w:pPr>
  </w:style>
  <w:style w:type="character" w:customStyle="1" w:styleId="Marker">
    <w:name w:val="Marker"/>
    <w:basedOn w:val="DefaultParagraphFont"/>
    <w:rsid w:val="009C6417"/>
    <w:rPr>
      <w:color w:val="0000FF"/>
      <w:shd w:val="clear" w:color="auto" w:fill="auto"/>
    </w:rPr>
  </w:style>
  <w:style w:type="character" w:customStyle="1" w:styleId="Marker1">
    <w:name w:val="Marker1"/>
    <w:basedOn w:val="DefaultParagraphFont"/>
    <w:rsid w:val="009C6417"/>
    <w:rPr>
      <w:color w:val="008000"/>
      <w:shd w:val="clear" w:color="auto" w:fill="auto"/>
    </w:rPr>
  </w:style>
  <w:style w:type="paragraph" w:customStyle="1" w:styleId="HeadingLeft">
    <w:name w:val="Heading Left"/>
    <w:basedOn w:val="Normal"/>
    <w:next w:val="Normal"/>
    <w:rsid w:val="009C6417"/>
    <w:pPr>
      <w:spacing w:before="360"/>
      <w:outlineLvl w:val="0"/>
    </w:pPr>
    <w:rPr>
      <w:b/>
      <w:caps/>
      <w:u w:val="single"/>
    </w:rPr>
  </w:style>
  <w:style w:type="paragraph" w:customStyle="1" w:styleId="HeadingIVX">
    <w:name w:val="Heading IVX"/>
    <w:basedOn w:val="HeadingLeft"/>
    <w:next w:val="Normal"/>
    <w:rsid w:val="009C6417"/>
    <w:pPr>
      <w:numPr>
        <w:numId w:val="18"/>
      </w:numPr>
    </w:pPr>
  </w:style>
  <w:style w:type="paragraph" w:customStyle="1" w:styleId="Heading123">
    <w:name w:val="Heading 123"/>
    <w:basedOn w:val="HeadingLeft"/>
    <w:next w:val="Normal"/>
    <w:rsid w:val="009C6417"/>
    <w:pPr>
      <w:numPr>
        <w:numId w:val="19"/>
      </w:numPr>
    </w:pPr>
  </w:style>
  <w:style w:type="paragraph" w:customStyle="1" w:styleId="HeadingABC">
    <w:name w:val="Heading ABC"/>
    <w:basedOn w:val="HeadingLeft"/>
    <w:next w:val="Normal"/>
    <w:rsid w:val="009C6417"/>
    <w:pPr>
      <w:numPr>
        <w:numId w:val="20"/>
      </w:numPr>
    </w:pPr>
  </w:style>
  <w:style w:type="paragraph" w:customStyle="1" w:styleId="HeadingCentered">
    <w:name w:val="Heading Centered"/>
    <w:basedOn w:val="HeadingLeft"/>
    <w:next w:val="Normal"/>
    <w:rsid w:val="009C6417"/>
    <w:pPr>
      <w:jc w:val="center"/>
    </w:pPr>
  </w:style>
  <w:style w:type="paragraph" w:customStyle="1" w:styleId="Jardin">
    <w:name w:val="Jardin"/>
    <w:basedOn w:val="Normal"/>
    <w:rsid w:val="009C6417"/>
    <w:pPr>
      <w:spacing w:before="200" w:after="0" w:line="240" w:lineRule="auto"/>
      <w:jc w:val="center"/>
    </w:pPr>
  </w:style>
  <w:style w:type="paragraph" w:customStyle="1" w:styleId="Amendment">
    <w:name w:val="Amendment"/>
    <w:basedOn w:val="Normal"/>
    <w:next w:val="Normal"/>
    <w:rsid w:val="009C6417"/>
    <w:rPr>
      <w:i/>
      <w:u w:val="single"/>
    </w:rPr>
  </w:style>
  <w:style w:type="paragraph" w:customStyle="1" w:styleId="AmendmentList">
    <w:name w:val="Amendment List"/>
    <w:basedOn w:val="Normal"/>
    <w:rsid w:val="009C6417"/>
    <w:pPr>
      <w:ind w:left="2268" w:hanging="2268"/>
    </w:pPr>
  </w:style>
  <w:style w:type="paragraph" w:customStyle="1" w:styleId="ReplyRE">
    <w:name w:val="Reply RE"/>
    <w:basedOn w:val="Normal"/>
    <w:next w:val="Normal"/>
    <w:rsid w:val="009C6417"/>
    <w:pPr>
      <w:spacing w:after="480" w:line="240" w:lineRule="auto"/>
      <w:contextualSpacing/>
    </w:pPr>
  </w:style>
  <w:style w:type="paragraph" w:customStyle="1" w:styleId="ReplyBold">
    <w:name w:val="Reply Bold"/>
    <w:basedOn w:val="ReplyRE"/>
    <w:next w:val="Normal"/>
    <w:rsid w:val="009C6417"/>
    <w:rPr>
      <w:b/>
    </w:rPr>
  </w:style>
  <w:style w:type="paragraph" w:customStyle="1" w:styleId="Annex">
    <w:name w:val="Annex"/>
    <w:basedOn w:val="Normal"/>
    <w:next w:val="Normal"/>
    <w:rsid w:val="009C6417"/>
    <w:pPr>
      <w:jc w:val="right"/>
    </w:pPr>
    <w:rPr>
      <w:b/>
      <w:u w:val="single"/>
    </w:rPr>
  </w:style>
  <w:style w:type="paragraph" w:customStyle="1" w:styleId="Sign">
    <w:name w:val="Sign"/>
    <w:basedOn w:val="Normal"/>
    <w:rsid w:val="009C6417"/>
    <w:pPr>
      <w:tabs>
        <w:tab w:val="center" w:pos="7087"/>
      </w:tabs>
      <w:contextualSpacing/>
    </w:pPr>
  </w:style>
  <w:style w:type="paragraph" w:customStyle="1" w:styleId="NotDeclassified">
    <w:name w:val="Not Declassified"/>
    <w:basedOn w:val="Normal"/>
    <w:next w:val="Normal"/>
    <w:rsid w:val="009C6417"/>
    <w:rPr>
      <w:b/>
      <w:shd w:val="clear" w:color="auto" w:fill="CCCCCC"/>
    </w:rPr>
  </w:style>
  <w:style w:type="character" w:customStyle="1" w:styleId="NotDeclassifiedCharacter">
    <w:name w:val="Not Declassified Character"/>
    <w:basedOn w:val="DefaultParagraphFont"/>
    <w:rsid w:val="009C6417"/>
    <w:rPr>
      <w:rFonts w:ascii="Times New Roman" w:hAnsi="Times New Roman" w:cs="Times New Roman"/>
      <w:b/>
      <w:sz w:val="24"/>
      <w:shd w:val="clear" w:color="auto" w:fill="CCCCCC"/>
    </w:rPr>
  </w:style>
  <w:style w:type="paragraph" w:customStyle="1" w:styleId="NormalCompact">
    <w:name w:val="Normal Compact"/>
    <w:basedOn w:val="Normal"/>
    <w:next w:val="Normal"/>
    <w:rsid w:val="009C6417"/>
    <w:pPr>
      <w:spacing w:line="240" w:lineRule="auto"/>
    </w:pPr>
  </w:style>
  <w:style w:type="paragraph" w:styleId="EndnoteText">
    <w:name w:val="endnote text"/>
    <w:basedOn w:val="Normal"/>
    <w:link w:val="EndnoteTextChar"/>
    <w:uiPriority w:val="99"/>
    <w:semiHidden/>
    <w:unhideWhenUsed/>
    <w:rsid w:val="001B675E"/>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1B675E"/>
    <w:rPr>
      <w:rFonts w:ascii="Times New Roman" w:hAnsi="Times New Roman" w:cs="Times New Roman"/>
      <w:sz w:val="20"/>
      <w:szCs w:val="20"/>
      <w:lang w:val="ro-RO" w:eastAsia="ro-RO" w:bidi="ro-RO"/>
    </w:rPr>
  </w:style>
  <w:style w:type="character" w:styleId="EndnoteReference">
    <w:name w:val="endnote reference"/>
    <w:basedOn w:val="DefaultParagraphFont"/>
    <w:uiPriority w:val="99"/>
    <w:semiHidden/>
    <w:unhideWhenUsed/>
    <w:rsid w:val="001B675E"/>
    <w:rPr>
      <w:vertAlign w:val="superscript"/>
    </w:rPr>
  </w:style>
  <w:style w:type="character" w:styleId="PlaceholderText">
    <w:name w:val="Placeholder Text"/>
    <w:basedOn w:val="DefaultParagraphFont"/>
    <w:uiPriority w:val="99"/>
    <w:semiHidden/>
    <w:rsid w:val="00DA0CF1"/>
    <w:rPr>
      <w:color w:val="808080"/>
    </w:rPr>
  </w:style>
  <w:style w:type="paragraph" w:styleId="ListBullet4">
    <w:name w:val="List Bullet 4"/>
    <w:basedOn w:val="Normal"/>
    <w:uiPriority w:val="99"/>
    <w:semiHidden/>
    <w:unhideWhenUsed/>
    <w:rsid w:val="00DA0CF1"/>
    <w:pPr>
      <w:numPr>
        <w:numId w:val="21"/>
      </w:numPr>
      <w:tabs>
        <w:tab w:val="clear" w:pos="1209"/>
      </w:tabs>
      <w:spacing w:line="240" w:lineRule="auto"/>
      <w:ind w:left="0" w:firstLine="0"/>
      <w:contextualSpacing/>
      <w:jc w:val="both"/>
    </w:pPr>
  </w:style>
  <w:style w:type="character" w:styleId="Hyperlink">
    <w:name w:val="Hyperlink"/>
    <w:basedOn w:val="DefaultParagraphFont"/>
    <w:uiPriority w:val="99"/>
    <w:unhideWhenUsed/>
    <w:rsid w:val="00DA0CF1"/>
    <w:rPr>
      <w:color w:val="0000FF" w:themeColor="hyperlink"/>
      <w:u w:val="single"/>
    </w:rPr>
  </w:style>
  <w:style w:type="paragraph" w:customStyle="1" w:styleId="title-bold">
    <w:name w:val="title-bold"/>
    <w:basedOn w:val="Normal"/>
    <w:rsid w:val="00DA0CF1"/>
    <w:pPr>
      <w:spacing w:before="100" w:beforeAutospacing="1" w:after="100" w:afterAutospacing="1" w:line="240" w:lineRule="auto"/>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1.bin"/><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2/92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COUNCI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1C4999ACD6CE848981E0EB0D78F6234" ma:contentTypeVersion="0" ma:contentTypeDescription="Create a new document." ma:contentTypeScope="" ma:versionID="52c7b041010517866fdb739d07f48ad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269912-1F21-4E53-B8AD-EAEB6EC484E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C4EC887-67B2-401C-A1AA-283BBB671A30}">
  <ds:schemaRefs>
    <ds:schemaRef ds:uri="http://schemas.microsoft.com/sharepoint/v3/contenttype/forms"/>
  </ds:schemaRefs>
</ds:datastoreItem>
</file>

<file path=customXml/itemProps3.xml><?xml version="1.0" encoding="utf-8"?>
<ds:datastoreItem xmlns:ds="http://schemas.openxmlformats.org/officeDocument/2006/customXml" ds:itemID="{A7663A05-8FAA-44B5-80FE-3136DF5E7D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DW_COUNCIL.dotm</Template>
  <TotalTime>6</TotalTime>
  <Pages>5</Pages>
  <Words>1563</Words>
  <Characters>8634</Characters>
  <Application>Microsoft Office Word</Application>
  <DocSecurity>0</DocSecurity>
  <Lines>196</Lines>
  <Paragraphs>101</Paragraphs>
  <ScaleCrop>false</ScaleCrop>
  <Company/>
  <LinksUpToDate>false</LinksUpToDate>
  <CharactersWithSpaces>10096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Mirona%20MAGEARU-MATAGNE</dc:creator>
  <cp:keywords/>
  <dc:description/>
  <cp:lastModifiedBy>PANAIT Patricia</cp:lastModifiedBy>
  <cp:revision>7</cp:revision>
  <dcterms:created xsi:type="dcterms:W3CDTF">2026-03-06T14:50:00Z</dcterms:created>
  <dcterms:modified xsi:type="dcterms:W3CDTF">2026-03-09T10:53:00Z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2026-03-06T14:20:33Z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4.14.2, Build 20260121</vt:lpwstr>
  </property>
  <property fmtid="{D5CDD505-2E9C-101B-9397-08002B2CF9AE}" pid="10" name="ContentTypeId">
    <vt:lpwstr>0x010100B1C4999ACD6CE848981E0EB0D78F6234</vt:lpwstr>
  </property>
</Properties>
</file>