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bc34fb89b34ca6" /><Relationship Type="http://schemas.openxmlformats.org/package/2006/relationships/metadata/core-properties" Target="/docProps/core.xml" Id="R7330500875db46a6" /><Relationship Type="http://schemas.openxmlformats.org/officeDocument/2006/relationships/extended-properties" Target="/docProps/app.xml" Id="Rf5927c67a12f4c7a" /><Relationship Type="http://schemas.openxmlformats.org/officeDocument/2006/relationships/custom-properties" Target="/docProps/custom.xml" Id="R8a3d10eb915c4cfd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65279b22c500451c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19 March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it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7516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FISC 108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ECOFIN 354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EPPO 17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103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43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2025/0348 (CNS)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Italian Senate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5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Council Regulation amending Regulation (EU) No 904/2010 as regards the access of the European Public Prosecutor's Office (EPPO) and the European Anti-Fraud Office (OLAF) to value added tax information at Union level</w:t>
                </w:r>
              </w:p>
              <w:p>
                <w:pPr>
                  <w:pStyle w:val="TBSubjectText"/>
                </w:pPr>
                <w:r>
                  <w:t xml:space="preserve">[15453/25 - COM(2025) 685]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643CC4" w:rsidP="009A76E5" w:rsidRDefault="00643CC4" w14:paraId="38D07524" w14:textId="60199962">
      <w:pPr>
        <w:pStyle w:val="EntText"/>
        <w:spacing w:before="480"/>
      </w:pPr>
      <w:r w:rsidRPr="00AC4496">
        <w:t xml:space="preserve">Delegations will find </w:t>
      </w:r>
      <w:r>
        <w:t>enclosed</w:t>
      </w:r>
      <w:r w:rsidRPr="00AC4496">
        <w:t xml:space="preserve"> </w:t>
      </w:r>
      <w:r w:rsidRPr="009A76E5">
        <w:t>the opinion</w:t>
      </w:r>
      <w:r>
        <w:rPr>
          <w:rStyle w:val="FootnoteReference"/>
        </w:rPr>
        <w:footnoteReference w:id="2"/>
      </w:r>
      <w:r w:rsidRPr="009A76E5">
        <w:t xml:space="preserve"> of the </w:t>
      </w:r>
      <w:r>
        <w:t>Italian</w:t>
      </w:r>
      <w:r w:rsidRPr="009A76E5">
        <w:t xml:space="preserve"> </w:t>
      </w:r>
      <w:r w:rsidR="00944984">
        <w:t>Senate</w:t>
      </w:r>
      <w:r w:rsidRPr="009A76E5">
        <w:t xml:space="preserve"> on the above.</w:t>
      </w:r>
    </w:p>
    <w:p w:rsidR="00643CC4" w:rsidP="009A76E5" w:rsidRDefault="00643CC4" w14:paraId="302AB5CE" w14:textId="77777777">
      <w:pPr>
        <w:pStyle w:val="Lignefinal"/>
      </w:pPr>
    </w:p>
    <w:p w:rsidRPr="00AC4496" w:rsidR="00643CC4" w:rsidP="009A76E5" w:rsidRDefault="00643CC4" w14:paraId="718D5D80" w14:textId="77777777">
      <w:pPr>
        <w:pStyle w:val="pj"/>
        <w:spacing w:before="120"/>
      </w:pPr>
    </w:p>
    <w:p w:rsidR="00643CC4" w:rsidP="00AC4496" w:rsidRDefault="00643CC4" w14:paraId="5748E425" w14:textId="77777777">
      <w:pPr>
        <w:sectPr w:rsidR="00643CC4" w:rsidSect="005F6B63">
          <w:footerReference w:type="even" r:id="R3af192d66339434b"/>
          <w:headerReference w:type="even" r:id="R93f2058b401f416b"/>
          <w:headerReference w:type="default" r:id="R508ccc9c4d3247cf"/>
          <w:footerReference w:type="default" r:id="Rc22d938d10a8446e"/>
          <w:headerReference w:type="first" r:id="R1d01baf82e1345f8"/>
          <w:footerReference w:type="first" r:id="R686e71c0d67348b8"/>
          <w:pgSz w:w="11907" w:h="16839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643CC4" w:rsidRDefault="00944984" w14:paraId="226547F8" w14:textId="1A817257">
      <w:pPr>
        <w:spacing w:after="160" w:line="259" w:lineRule="auto"/>
      </w:pPr>
      <w:r w:rsidRPr="00944984">
        <w:rPr>
          <w:noProof/>
        </w:rPr>
        <w:lastRenderedPageBreak/>
        <w:drawing>
          <wp:inline distT="0" distB="0" distL="0" distR="0" wp14:anchorId="644646AC" wp14:editId="7B1C0ECB">
            <wp:extent cx="5633495" cy="8286750"/>
            <wp:effectExtent l="0" t="0" r="571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16977ada29fc4a3d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4607" cy="8288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CC4" w:rsidRDefault="00643CC4" w14:paraId="2286B77B" w14:textId="0DEB4565">
      <w:pPr>
        <w:spacing w:after="160" w:line="259" w:lineRule="auto"/>
      </w:pPr>
    </w:p>
    <w:p w:rsidR="00643CC4" w:rsidRDefault="00643CC4" w14:paraId="2539C0FA" w14:textId="77777777">
      <w:pPr>
        <w:spacing w:after="160" w:line="259" w:lineRule="auto"/>
      </w:pPr>
      <w:r>
        <w:br w:type="page"/>
      </w:r>
    </w:p>
    <w:p w:rsidR="00643CC4" w:rsidRDefault="00944984" w14:paraId="33AD01C0" w14:textId="78218547">
      <w:pPr>
        <w:spacing w:after="160" w:line="259" w:lineRule="auto"/>
      </w:pPr>
      <w:r w:rsidRPr="00944984">
        <w:rPr>
          <w:noProof/>
        </w:rPr>
        <w:lastRenderedPageBreak/>
        <w:drawing>
          <wp:inline distT="0" distB="0" distL="0" distR="0" wp14:anchorId="67E86A97" wp14:editId="4C6274A4">
            <wp:extent cx="5476875" cy="8324850"/>
            <wp:effectExtent l="0" t="0" r="9525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59ea7e7bef6144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CC4" w:rsidRDefault="00643CC4" w14:paraId="0F28EECE" w14:textId="77777777">
      <w:pPr>
        <w:spacing w:after="160" w:line="259" w:lineRule="auto"/>
      </w:pPr>
      <w:r>
        <w:br w:type="page"/>
      </w:r>
    </w:p>
    <w:p w:rsidR="00643CC4" w:rsidRDefault="00944984" w14:paraId="305E1653" w14:textId="08C67DEF">
      <w:pPr>
        <w:spacing w:after="160" w:line="259" w:lineRule="auto"/>
      </w:pPr>
      <w:r w:rsidRPr="00944984">
        <w:rPr>
          <w:noProof/>
        </w:rPr>
        <w:lastRenderedPageBreak/>
        <w:drawing>
          <wp:inline distT="0" distB="0" distL="0" distR="0" wp14:anchorId="6E55CA46" wp14:editId="24E1E2CC">
            <wp:extent cx="5438775" cy="8191500"/>
            <wp:effectExtent l="0" t="0" r="9525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804d8045201748a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CC4" w:rsidRDefault="00643CC4" w14:paraId="248B3E8D" w14:textId="77777777">
      <w:pPr>
        <w:spacing w:after="160" w:line="259" w:lineRule="auto"/>
      </w:pPr>
      <w:r>
        <w:br w:type="page"/>
      </w:r>
    </w:p>
    <w:p w:rsidRPr="00E80D97" w:rsidR="00643CC4" w:rsidP="007E0FF0" w:rsidRDefault="00944984" w14:paraId="0CEB7D3E" w14:textId="3C184B86">
      <w:pPr>
        <w:pStyle w:val="NoSpacing"/>
      </w:pPr>
      <w:r w:rsidRPr="00944984">
        <w:rPr>
          <w:noProof/>
        </w:rPr>
        <w:lastRenderedPageBreak/>
        <w:drawing>
          <wp:inline distT="0" distB="0" distL="0" distR="0" wp14:anchorId="42F073FB" wp14:editId="4207B0D9">
            <wp:extent cx="5667375" cy="8410575"/>
            <wp:effectExtent l="0" t="0" r="9525" b="9525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aca89c1970304a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Pr="00E80D97" w:rsidR="00643CC4" w:rsidSect="005F6B63">
      <w:headerReference w:type="even" r:id="R11accf97f4b4424d"/>
      <w:headerReference w:type="default" r:id="R5ac0b5cd28c04e79"/>
      <w:footerReference w:type="even" r:id="R9d88a4fa96ee4947"/>
      <w:headerReference w:type="first" r:id="R8b5e73f88deb404a"/>
      <w:footerReference w:type="first" r:id="R294f684c51174f37"/>
      <w:pgSz w:w="11907" w:h="16839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7516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 2B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7516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 2B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5F6B63" w:rsidTr="005F6B63" w14:paraId="7740E045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5F6B63" w:rsidP="00D94637" w:rsidRDefault="005F6B63" w14:paraId="1EF9FBE2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1"/>
        </w:p>
      </w:tc>
    </w:tr>
    <w:tr w:rsidRPr="00B310DC" w:rsidR="005F6B63" w:rsidTr="005F6B63" w14:paraId="6E97CBA5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5F6B63" w:rsidP="004F54B2" w:rsidRDefault="005F6B63" w14:paraId="0EE8A8BC" w14:textId="163E50AB">
          <w:pPr>
            <w:pStyle w:val="FooterText"/>
          </w:pPr>
          <w:r>
            <w:t>7516/26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5F6B63" w:rsidP="00D94637" w:rsidRDefault="005F6B63" w14:paraId="0E9DFCE8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5F6B63" w:rsidP="00D94637" w:rsidRDefault="005F6B63" w14:paraId="5DFC0421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5F6B63" w:rsidP="00D94637" w:rsidRDefault="005F6B63" w14:paraId="28375A81" w14:textId="29FAB9D2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0</w:t>
          </w:r>
          <w:r>
            <w:fldChar w:fldCharType="end"/>
          </w:r>
        </w:p>
      </w:tc>
    </w:tr>
    <w:tr w:rsidRPr="00D94637" w:rsidR="005F6B63" w:rsidTr="005F6B63" w14:paraId="42600B23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5F6B63" w:rsidP="00D94637" w:rsidRDefault="005F6B63" w14:paraId="506C6F67" w14:textId="6002ECB4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5F6B63" w:rsidP="00D204D6" w:rsidRDefault="005F6B63" w14:paraId="6AFAA300" w14:textId="45D0BE2A">
          <w:pPr>
            <w:pStyle w:val="FooterText"/>
            <w:spacing w:before="40"/>
            <w:jc w:val="center"/>
          </w:pPr>
          <w:r>
            <w:t>ECOFIN 2B</w:t>
          </w:r>
        </w:p>
      </w:tc>
      <w:tc>
        <w:tcPr>
          <w:tcW w:w="742" w:type="pct"/>
          <w:shd w:val="clear" w:color="auto" w:fill="auto"/>
        </w:tcPr>
        <w:p w:rsidRPr="00D94637" w:rsidR="005F6B63" w:rsidP="002F0099" w:rsidRDefault="005F6B63" w14:paraId="2C4C1603" w14:textId="708C1AB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5F6B63" w:rsidP="00D94637" w:rsidRDefault="005F6B63" w14:paraId="7DF530DA" w14:textId="7AF52624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EN‌/IT</w:t>
          </w:r>
        </w:p>
      </w:tc>
    </w:tr>
    <w:bookmarkEnd w:id="1"/>
  </w:tbl>
  <w:p w:rsidRPr="005F6B63" w:rsidR="00912FCA" w:rsidP="005F6B63" w:rsidRDefault="00912FCA" w14:paraId="0571E399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7516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 2B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7516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 2B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5F6B63" w:rsidR="00643CC4" w:rsidP="005F6B63" w:rsidRDefault="00643CC4" w14:paraId="2CE1445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5F6B63" w:rsidR="00643CC4" w:rsidP="005F6B63" w:rsidRDefault="00643CC4" w14:paraId="56A79EAA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CC4" w:rsidP="005037DB" w:rsidRDefault="00643CC4" w14:paraId="688F6DDB" w14:textId="77777777">
      <w:pPr>
        <w:spacing w:line="240" w:lineRule="auto"/>
      </w:pPr>
      <w:r>
        <w:separator/>
      </w:r>
    </w:p>
  </w:footnote>
  <w:footnote w:type="continuationSeparator" w:id="0">
    <w:p w:rsidR="00643CC4" w:rsidP="005037DB" w:rsidRDefault="00643CC4" w14:paraId="128DCECC" w14:textId="77777777">
      <w:pPr>
        <w:spacing w:line="240" w:lineRule="auto"/>
      </w:pPr>
      <w:r>
        <w:continuationSeparator/>
      </w:r>
    </w:p>
  </w:footnote>
  <w:footnote w:id="2">
    <w:p w:rsidRPr="00390EBB" w:rsidR="00643CC4" w:rsidP="00390EBB" w:rsidRDefault="00643CC4" w14:paraId="30D28EDB" w14:textId="77777777">
      <w:pPr>
        <w:pStyle w:val="FootnoteText"/>
      </w:pPr>
      <w:r>
        <w:rPr>
          <w:rStyle w:val="FootnoteReference"/>
        </w:rPr>
        <w:footnoteRef/>
      </w:r>
      <w:r>
        <w:t xml:space="preserve"> The translation(s) of the opinion may be available on the Interparliamentary EU Information Exchange website (IPEX) at the following address: </w:t>
      </w:r>
      <w:hyperlink w:history="1" r:id="rId1">
        <w:r w:rsidRPr="00390EBB">
          <w:rPr>
            <w:rStyle w:val="Hyperlink"/>
          </w:rPr>
          <w:t>https://secure.ipex.eu/IPEXL-WEB/document/COM-2025-0685</w:t>
        </w:r>
      </w:hyperlink>
    </w:p>
    <w:p w:rsidR="00643CC4" w:rsidP="00223650" w:rsidRDefault="00643CC4" w14:paraId="18BF26A7" w14:textId="77777777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5F6B63" w:rsidR="00912FCA" w:rsidP="005F6B63" w:rsidRDefault="005F6B63" w14:paraId="14598FDB" w14:textId="2D257141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5F6B63" w:rsidR="00643CC4" w:rsidP="005F6B63" w:rsidRDefault="00643CC4" w14:paraId="3BFBA16A" w14:textId="77777777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5F6B63" w:rsidR="00643CC4" w:rsidP="005F6B63" w:rsidRDefault="00643CC4" w14:paraId="19AC2EF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3-19&lt;/text&gt;&#13;&#10;  &lt;/metadata&gt;&#13;&#10;  &lt;metadata key=&quot;md_Prefix&quot;&gt;&#13;&#10;    &lt;text&gt;&lt;/text&gt;&#13;&#10;  &lt;/metadata&gt;&#13;&#10;  &lt;metadata key=&quot;md_DocumentNumber&quot;&gt;&#13;&#10;    &lt;text&gt;7516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FISC 108&lt;/text&gt;&#13;&#10;      &lt;text&gt;ECOFIN 354&lt;/text&gt;&#13;&#10;      &lt;text&gt;EPPO 17&lt;/text&gt;&#13;&#10;      &lt;text&gt;INST 103&lt;/text&gt;&#13;&#10;      &lt;text&gt;PARLNAT 43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348 (CNS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Italian Senate&quot;&gt;&amp;lt;FlowDocument xmlns=&quot;http://schemas.microsoft.com/winfx/2006/xaml/presentation&quot;&amp;gt;&amp;lt;Paragraph&amp;gt;The Italian Senate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05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Council Regulation amending Regulation (EU) No 904/2010 as regards the access of the European Public Prosecutor's Office (EPPO) and the European Anti-Fraud Office (OLAF) to value added tax information at Union level [15453/25 - COM(2025) 685] - Opinion on the application of the Principles of Subsidiarity and Proportionality&quot;&gt;&amp;lt;FlowDocument xmlns=&quot;http://schemas.microsoft.com/winfx/2006/xaml/presentation&quot;&amp;gt;&amp;lt;Paragraph&amp;gt;Proposal for a Council Regulation amending Regulation (EU) No 904/2010 as regards the access of the European Public Prosecutor's Office (EPPO) and the European Anti-Fraud Office (OLAF) to value added tax information at Union level&amp;lt;/Paragraph&amp;gt;&amp;lt;Paragraph&amp;gt;[15453/25 - COM(2025) 685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ECOFIN 2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KeepCompatibilityMode" w:val="true"/>
    <w:docVar w:name="DW_TechnicalBlockHash" w:val="280cc0aed9f444be5d4e5172fb3f7a131fffc1979a2bb3e823cb5fc13f1405bd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E0FF0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D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D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D97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D97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D97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D97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D97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D97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D97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5F6B63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5F6B63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5F6B63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Header">
    <w:name w:val="header"/>
    <w:basedOn w:val="Normal"/>
    <w:link w:val="Head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37D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37DB"/>
    <w:rPr>
      <w:rFonts w:ascii="Times New Roman" w:hAnsi="Times New Roman"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E80D97"/>
    <w:rPr>
      <w:rFonts w:asciiTheme="majorHAnsi" w:hAnsiTheme="majorHAnsi" w:eastAsiaTheme="majorEastAsia" w:cstheme="majorBidi"/>
      <w:color w:val="365F91" w:themeColor="accent1" w:themeShade="BF"/>
      <w:sz w:val="40"/>
      <w:szCs w:val="40"/>
      <w:lang w:val="fr-CA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80D97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fr-CA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80D97"/>
    <w:rPr>
      <w:rFonts w:eastAsiaTheme="majorEastAsia" w:cstheme="majorBidi"/>
      <w:color w:val="365F91" w:themeColor="accent1" w:themeShade="BF"/>
      <w:sz w:val="28"/>
      <w:szCs w:val="28"/>
      <w:lang w:val="fr-CA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80D97"/>
    <w:rPr>
      <w:rFonts w:eastAsiaTheme="majorEastAsia" w:cstheme="majorBidi"/>
      <w:i/>
      <w:iCs/>
      <w:color w:val="365F91" w:themeColor="accent1" w:themeShade="BF"/>
      <w:sz w:val="24"/>
      <w:lang w:val="fr-CA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80D97"/>
    <w:rPr>
      <w:rFonts w:eastAsiaTheme="majorEastAsia" w:cstheme="majorBidi"/>
      <w:color w:val="365F91" w:themeColor="accent1" w:themeShade="BF"/>
      <w:sz w:val="24"/>
      <w:lang w:val="fr-CA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80D97"/>
    <w:rPr>
      <w:rFonts w:eastAsiaTheme="majorEastAsia" w:cstheme="majorBidi"/>
      <w:i/>
      <w:iCs/>
      <w:color w:val="595959" w:themeColor="text1" w:themeTint="A6"/>
      <w:sz w:val="24"/>
      <w:lang w:val="fr-CA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80D97"/>
    <w:rPr>
      <w:rFonts w:eastAsiaTheme="majorEastAsia" w:cstheme="majorBidi"/>
      <w:color w:val="595959" w:themeColor="text1" w:themeTint="A6"/>
      <w:sz w:val="24"/>
      <w:lang w:val="fr-CA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80D97"/>
    <w:rPr>
      <w:rFonts w:eastAsiaTheme="majorEastAsia" w:cstheme="majorBidi"/>
      <w:i/>
      <w:iCs/>
      <w:color w:val="272727" w:themeColor="text1" w:themeTint="D8"/>
      <w:sz w:val="24"/>
      <w:lang w:val="fr-CA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80D97"/>
    <w:rPr>
      <w:rFonts w:eastAsiaTheme="majorEastAsia" w:cstheme="majorBidi"/>
      <w:color w:val="272727" w:themeColor="text1" w:themeTint="D8"/>
      <w:sz w:val="24"/>
      <w:lang w:val="fr-CA"/>
    </w:rPr>
  </w:style>
  <w:style w:type="paragraph" w:styleId="Title">
    <w:name w:val="Title"/>
    <w:basedOn w:val="Normal"/>
    <w:next w:val="Normal"/>
    <w:link w:val="TitleChar"/>
    <w:uiPriority w:val="10"/>
    <w:qFormat/>
    <w:rsid w:val="00E80D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80D97"/>
    <w:rPr>
      <w:rFonts w:asciiTheme="majorHAnsi" w:hAnsiTheme="majorHAnsi" w:eastAsiaTheme="majorEastAsia" w:cstheme="majorBidi"/>
      <w:spacing w:val="-10"/>
      <w:kern w:val="28"/>
      <w:sz w:val="56"/>
      <w:szCs w:val="56"/>
      <w:lang w:val="fr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D97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80D97"/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paragraph" w:styleId="Quote">
    <w:name w:val="Quote"/>
    <w:basedOn w:val="Normal"/>
    <w:next w:val="Normal"/>
    <w:link w:val="QuoteChar"/>
    <w:uiPriority w:val="29"/>
    <w:qFormat/>
    <w:rsid w:val="00E80D97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80D97"/>
    <w:rPr>
      <w:rFonts w:ascii="Times New Roman" w:hAnsi="Times New Roman"/>
      <w:i/>
      <w:iCs/>
      <w:color w:val="404040" w:themeColor="text1" w:themeTint="BF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E80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D9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D97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80D97"/>
    <w:rPr>
      <w:rFonts w:ascii="Times New Roman" w:hAnsi="Times New Roman"/>
      <w:i/>
      <w:iCs/>
      <w:color w:val="365F91" w:themeColor="accent1" w:themeShade="BF"/>
      <w:sz w:val="24"/>
      <w:lang w:val="fr-CA"/>
    </w:rPr>
  </w:style>
  <w:style w:type="character" w:styleId="IntenseReference">
    <w:name w:val="Intense Reference"/>
    <w:basedOn w:val="DefaultParagraphFont"/>
    <w:uiPriority w:val="32"/>
    <w:qFormat/>
    <w:rsid w:val="00E80D9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7E0FF0"/>
    <w:pPr>
      <w:spacing w:after="0" w:line="240" w:lineRule="auto"/>
    </w:pPr>
    <w:rPr>
      <w:rFonts w:ascii="Times New Roman" w:hAnsi="Times New Roman"/>
      <w:sz w:val="24"/>
    </w:rPr>
  </w:style>
  <w:style w:type="paragraph" w:styleId="TBEntInstit" w:customStyle="1">
    <w:name w:val="TBEntInstit"/>
    <w:basedOn w:val="TechnicalBlockBase"/>
    <w:link w:val="EntInstitChar"/>
    <w:rsid w:val="005F6B63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5F6B63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5F6B63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5F6B63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5F6B63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5F6B63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5F6B63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5F6B63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SubjectTable" w:customStyle="1">
    <w:name w:val="TBSubjectTable"/>
    <w:basedOn w:val="TechnicalBlockBase"/>
    <w:rsid w:val="005F6B63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5F6B63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5F6B63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5F6B63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5F6B63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styleId="EntText" w:customStyle="1">
    <w:name w:val="EntText"/>
    <w:basedOn w:val="Normal"/>
    <w:rsid w:val="00AC4496"/>
    <w:pPr>
      <w:spacing w:before="120" w:after="120"/>
    </w:pPr>
    <w:rPr>
      <w:rFonts w:cs="Times New Roman"/>
    </w:rPr>
  </w:style>
  <w:style w:type="paragraph" w:styleId="Lignefinal" w:customStyle="1">
    <w:name w:val="Ligne final"/>
    <w:basedOn w:val="Normal"/>
    <w:next w:val="Normal"/>
    <w:rsid w:val="00AC4496"/>
    <w:pPr>
      <w:pBdr>
        <w:bottom w:val="single" w:color="000000" w:sz="4" w:space="0"/>
      </w:pBdr>
      <w:spacing w:before="360" w:after="120"/>
      <w:ind w:left="3400" w:right="3400"/>
      <w:jc w:val="center"/>
    </w:pPr>
    <w:rPr>
      <w:rFonts w:cs="Times New Roman"/>
      <w:b/>
    </w:rPr>
  </w:style>
  <w:style w:type="character" w:styleId="Marker" w:customStyle="1">
    <w:name w:val="Marker"/>
    <w:basedOn w:val="DefaultParagraphFont"/>
    <w:rsid w:val="00AC4496"/>
    <w:rPr>
      <w:color w:val="0000FF"/>
      <w:bdr w:val="none" w:color="auto" w:sz="0" w:space="0"/>
      <w:shd w:val="clear" w:color="auto" w:fill="auto"/>
    </w:rPr>
  </w:style>
  <w:style w:type="paragraph" w:styleId="pj" w:customStyle="1">
    <w:name w:val="p.j."/>
    <w:basedOn w:val="Normal"/>
    <w:link w:val="pjChar"/>
    <w:rsid w:val="00AC4496"/>
    <w:pPr>
      <w:spacing w:before="1200" w:after="120" w:line="240" w:lineRule="auto"/>
      <w:ind w:left="1440" w:hanging="1440"/>
    </w:pPr>
    <w:rPr>
      <w:rFonts w:cs="Times New Roman"/>
    </w:rPr>
  </w:style>
  <w:style w:type="character" w:styleId="pjChar" w:customStyle="1">
    <w:name w:val="p.j. Char"/>
    <w:basedOn w:val="DefaultParagraphFont"/>
    <w:link w:val="pj"/>
    <w:rsid w:val="00AC4496"/>
    <w:rPr>
      <w:rFonts w:ascii="Times New Roman" w:hAnsi="Times New Roman" w:cs="Times New Roman"/>
      <w:sz w:val="24"/>
    </w:rPr>
  </w:style>
  <w:style w:type="paragraph" w:styleId="nbbordered" w:customStyle="1">
    <w:name w:val="nb bordered"/>
    <w:basedOn w:val="Normal"/>
    <w:link w:val="nbborderedChar"/>
    <w:rsid w:val="00AC4496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after="160" w:line="240" w:lineRule="auto"/>
      <w:ind w:left="480" w:hanging="480"/>
    </w:pPr>
    <w:rPr>
      <w:rFonts w:cs="Times New Roman"/>
      <w:b/>
    </w:rPr>
  </w:style>
  <w:style w:type="character" w:styleId="nbborderedChar" w:customStyle="1">
    <w:name w:val="nb bordered Char"/>
    <w:basedOn w:val="DefaultParagraphFont"/>
    <w:link w:val="nbbordered"/>
    <w:rsid w:val="00AC4496"/>
    <w:rPr>
      <w:rFonts w:ascii="Times New Roman" w:hAnsi="Times New Roman" w:cs="Times New Roman"/>
      <w:b/>
      <w:sz w:val="24"/>
    </w:rPr>
  </w:style>
  <w:style w:type="paragraph" w:styleId="HeaderCouncil" w:customStyle="1">
    <w:name w:val="Header Council"/>
    <w:basedOn w:val="Normal"/>
    <w:link w:val="HeaderCouncilChar"/>
    <w:rsid w:val="00AC4496"/>
    <w:rPr>
      <w:rFonts w:ascii="Times New Roman" w:hAnsi="Times New Roman" w:cs="Times New Roman"/>
      <w:sz w:val="2"/>
    </w:rPr>
    <w:pPr>
      <w:spacing w:before="0" w:after="0"/>
    </w:pPr>
  </w:style>
  <w:style w:type="character" w:styleId="HeaderCouncilChar" w:customStyle="1">
    <w:name w:val="Header Council Char"/>
    <w:basedOn w:val="pjChar"/>
    <w:link w:val="HeaderCouncil"/>
    <w:rsid w:val="00AC4496"/>
    <w:rPr>
      <w:rFonts w:ascii="Times New Roman" w:hAnsi="Times New Roman" w:cs="Times New Roman"/>
      <w:sz w:val="2"/>
    </w:rPr>
  </w:style>
  <w:style w:type="paragraph" w:styleId="HeaderCouncilLarge" w:customStyle="1">
    <w:name w:val="Header Council Large"/>
    <w:basedOn w:val="Normal"/>
    <w:link w:val="HeaderCouncilLargeChar"/>
    <w:rsid w:val="00AC4496"/>
    <w:pPr>
      <w:spacing w:before="0" w:after="440"/>
    </w:pPr>
    <w:rPr>
      <w:rFonts w:ascii="Times New Roman" w:hAnsi="Times New Roman" w:cs="Times New Roman"/>
      <w:sz w:val="2"/>
    </w:rPr>
  </w:style>
  <w:style w:type="character" w:styleId="HeaderCouncilLargeChar" w:customStyle="1">
    <w:name w:val="Header Council Large Char"/>
    <w:basedOn w:val="pjChar"/>
    <w:link w:val="HeaderCouncilLarge"/>
    <w:rsid w:val="00AC4496"/>
    <w:rPr>
      <w:rFonts w:ascii="Times New Roman" w:hAnsi="Times New Roman" w:cs="Times New Roman"/>
      <w:sz w:val="2"/>
    </w:rPr>
  </w:style>
  <w:style w:type="paragraph" w:styleId="FooterCouncil" w:customStyle="1">
    <w:name w:val="Footer Council"/>
    <w:basedOn w:val="Normal"/>
    <w:link w:val="FooterCouncilChar"/>
    <w:rsid w:val="00AC4496"/>
    <w:rPr>
      <w:rFonts w:ascii="Times New Roman" w:hAnsi="Times New Roman" w:cs="Times New Roman"/>
      <w:sz w:val="2"/>
    </w:rPr>
    <w:pPr>
      <w:spacing w:before="0" w:after="0"/>
    </w:pPr>
  </w:style>
  <w:style w:type="character" w:styleId="FooterCouncilChar" w:customStyle="1">
    <w:name w:val="Footer Council Char"/>
    <w:basedOn w:val="pjChar"/>
    <w:link w:val="FooterCouncil"/>
    <w:rsid w:val="00AC4496"/>
    <w:rPr>
      <w:rFonts w:ascii="Times New Roman" w:hAnsi="Times New Roman" w:cs="Times New Roman"/>
      <w:sz w:val="2"/>
    </w:rPr>
  </w:style>
  <w:style w:type="paragraph" w:styleId="FooterText" w:customStyle="1">
    <w:name w:val="Footer Text"/>
    <w:basedOn w:val="Normal"/>
    <w:rsid w:val="00AC4496"/>
    <w:pPr>
      <w:spacing w:before="0" w:after="0" w:line="240" w:lineRule="auto"/>
    </w:pPr>
    <w:rPr>
      <w:rFonts w:ascii="Times New Roman" w:hAnsi="Times New Roman" w:eastAsia="Times New Roman" w:cs="Times New Roman"/>
      <w:szCs w:val="24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AC4496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A76E5"/>
    <w:pPr>
      <w:spacing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9A76E5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A76E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A76E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515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051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8dd1ac5145524fef" Type="http://schemas.openxmlformats.org/officeDocument/2006/relationships/webSettings" Target="/word/webSettings.xml"/><Relationship Id="Rc22d938d10a8446e" Type="http://schemas.openxmlformats.org/officeDocument/2006/relationships/footer" Target="/word/footer5.xml"/><Relationship Id="R82d3372e14114e56" Type="http://schemas.openxmlformats.org/officeDocument/2006/relationships/styles" Target="/word/styles.xml"/><Relationship Id="R508ccc9c4d3247cf" Type="http://schemas.openxmlformats.org/officeDocument/2006/relationships/header" Target="/word/header5.xml"/><Relationship Id="R294f684c51174f37" Type="http://schemas.openxmlformats.org/officeDocument/2006/relationships/footer" Target="/word/footer9.xml"/><Relationship Id="rId3" Type="http://schemas.openxmlformats.org/officeDocument/2006/relationships/customXml" Target="../customXml/item3.xml"/><Relationship Id="R2b1c674e9664468c" Type="http://schemas.openxmlformats.org/officeDocument/2006/relationships/header" Target="/word/header3.xml"/><Relationship Id="R11accf97f4b4424d" Type="http://schemas.openxmlformats.org/officeDocument/2006/relationships/header" Target="/word/header7.xml"/><Relationship Id="R2cd2d94964624f99" Type="http://schemas.openxmlformats.org/officeDocument/2006/relationships/glossaryDocument" Target="/word/glossary/document.xml"/><Relationship Id="R33151b94106d4256" Type="http://schemas.openxmlformats.org/officeDocument/2006/relationships/fontTable" Target="/word/fontTable.xml"/><Relationship Id="rId2" Type="http://schemas.openxmlformats.org/officeDocument/2006/relationships/customXml" Target="../customXml/item2.xml"/><Relationship Id="R4694d46ff3954a04" Type="http://schemas.openxmlformats.org/officeDocument/2006/relationships/footnotes" Target="/word/footnotes.xml"/><Relationship Id="Rd08c66f73fc9402a" Type="http://schemas.openxmlformats.org/officeDocument/2006/relationships/footer" Target="/word/footer1.xml"/><Relationship Id="R16977ada29fc4a3d" Type="http://schemas.openxmlformats.org/officeDocument/2006/relationships/image" Target="/media/image2.bin"/><Relationship Id="R59ea7e7bef614404" Type="http://schemas.openxmlformats.org/officeDocument/2006/relationships/image" Target="/media/image3.bin"/><Relationship Id="Raca89c1970304a60" Type="http://schemas.openxmlformats.org/officeDocument/2006/relationships/image" Target="/media/image5.bin"/><Relationship Id="R1d01baf82e1345f8" Type="http://schemas.openxmlformats.org/officeDocument/2006/relationships/header" Target="/word/header6.xml"/><Relationship Id="R5ac0b5cd28c04e79" Type="http://schemas.openxmlformats.org/officeDocument/2006/relationships/header" Target="/word/header8.xml"/><Relationship Id="rId1" Type="http://schemas.openxmlformats.org/officeDocument/2006/relationships/customXml" Target="../customXml/item1.xml"/><Relationship Id="Rcb39429651564d09" Type="http://schemas.openxmlformats.org/officeDocument/2006/relationships/endnotes" Target="/word/endnotes.xml"/><Relationship Id="R65279b22c500451c" Type="http://schemas.openxmlformats.org/officeDocument/2006/relationships/image" Target="/media/image.bin"/><Relationship Id="R2dd4ddff9acb4c40" Type="http://schemas.openxmlformats.org/officeDocument/2006/relationships/header" Target="/word/header2.xml"/><Relationship Id="Rbcb3cc9559b64f2a" Type="http://schemas.openxmlformats.org/officeDocument/2006/relationships/footer" Target="/word/footer2.xml"/><Relationship Id="R3af192d66339434b" Type="http://schemas.openxmlformats.org/officeDocument/2006/relationships/footer" Target="/word/footer4.xml"/><Relationship Id="R9d88a4fa96ee4947" Type="http://schemas.openxmlformats.org/officeDocument/2006/relationships/footer" Target="/word/footer8.xml"/><Relationship Id="Rc51de9b05f9147ce" Type="http://schemas.openxmlformats.org/officeDocument/2006/relationships/header" Target="/word/header1.xml"/><Relationship Id="Re1840ca06f254120" Type="http://schemas.openxmlformats.org/officeDocument/2006/relationships/footer" Target="/word/footer3.xml"/><Relationship Id="R804d8045201748a7" Type="http://schemas.openxmlformats.org/officeDocument/2006/relationships/image" Target="/media/image4.bin"/><Relationship Id="R93f2058b401f416b" Type="http://schemas.openxmlformats.org/officeDocument/2006/relationships/header" Target="/word/header4.xml"/><Relationship Id="R61ba2c52ac004bd0" Type="http://schemas.openxmlformats.org/officeDocument/2006/relationships/theme" Target="/word/theme/theme1.xml"/><Relationship Id="R686e71c0d67348b8" Type="http://schemas.openxmlformats.org/officeDocument/2006/relationships/footer" Target="/word/footer6.xml"/><Relationship Id="R8b5e73f88deb404a" Type="http://schemas.openxmlformats.org/officeDocument/2006/relationships/header" Target="/word/header9.xml"/><Relationship Id="R5dfe5bc780a9412b" Type="http://schemas.openxmlformats.org/officeDocument/2006/relationships/settings" Target="/word/settings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685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e5fabf51536947fe" /><Relationship Type="http://schemas.openxmlformats.org/officeDocument/2006/relationships/fontTable" Target="/word/glossary/fontTable2.xml" Id="R0a1a0942e4084f68" /><Relationship Type="http://schemas.openxmlformats.org/officeDocument/2006/relationships/settings" Target="/word/glossary/settings2.xml" Id="Ra8968e6ba752406c" /><Relationship Type="http://schemas.openxmlformats.org/officeDocument/2006/relationships/webSettings" Target="/word/glossary/webSettings2.xml" Id="R17d1f803d04b4a9a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A156249-4ED6-4BE7-AE17-6A48ECF130D1}"/>
</file>

<file path=customXml/itemProps2.xml><?xml version="1.0" encoding="utf-8"?>
<ds:datastoreItem xmlns:ds="http://schemas.openxmlformats.org/officeDocument/2006/customXml" ds:itemID="{1ECAF4B5-6423-4A82-BD01-1670709D4C6A}"/>
</file>

<file path=customXml/itemProps3.xml><?xml version="1.0" encoding="utf-8"?>
<ds:datastoreItem xmlns:ds="http://schemas.openxmlformats.org/officeDocument/2006/customXml" ds:itemID="{179D44AF-8407-489E-A0EB-CE83F3EF663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SZILVA Eva</dc:creator>
  <cp:keywords/>
  <dc:description/>
  <cp:lastModifiedBy>Eva%20SZILVA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2026-03-19T10:45:49Z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0x010100B1C4999ACD6CE848981E0EB0D78F6234</vt:lpwstr>
  </property>
</Properties>
</file>