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media/image2.bin" ContentType="image/png"/>
  <Override PartName="/word/footer17.xml" ContentType="application/vnd.openxmlformats-officedocument.wordprocessingml.footer+xml"/>
  <Override PartName="/word/footer18.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bb3f987fc5d4894" /><Relationship Type="http://schemas.openxmlformats.org/package/2006/relationships/metadata/core-properties" Target="/docProps/core.xml" Id="R6c7f5918b52d49e2" /><Relationship Type="http://schemas.openxmlformats.org/officeDocument/2006/relationships/extended-properties" Target="/docProps/app.xml" Id="Rf0d46c5d6c77428a" /><Relationship Type="http://schemas.openxmlformats.org/officeDocument/2006/relationships/custom-properties" Target="/docProps/custom.xml" Id="R9cac8c5ded88418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aad5b9537c1c4e4f"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3 September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8190</w:t>
                </w:r>
                <w:r>
                  <w:rPr>
                    <w:bCs/>
                    <w:lang w:val="en-US"/>
                  </w:rPr>
                  <w:t xml:space="preserve">/2</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r>
                  <w:rPr>
                    <w:lang w:val="en-US"/>
                  </w:rPr>
                  <w:t xml:space="preserve">REV 2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UD 94</w:t>
                </w:r>
              </w:p>
              <w:p>
                <w:pPr>
                  <w:pStyle w:val="TBEntRefer"/>
                  <w:tabs>
                    <w:tab w:val="left" w:pos="2265"/>
                  </w:tabs>
                </w:pPr>
                <w:r>
                  <w:t xml:space="preserve">ENFOCUSTOM 51</w:t>
                </w:r>
              </w:p>
              <w:p>
                <w:pPr>
                  <w:pStyle w:val="TBEntRefer"/>
                  <w:tabs>
                    <w:tab w:val="left" w:pos="2265"/>
                  </w:tabs>
                </w:pPr>
                <w:r>
                  <w:t xml:space="preserve">ECOFIN 470</w:t>
                </w:r>
              </w:p>
              <w:p>
                <w:pPr>
                  <w:pStyle w:val="TBEntRefer"/>
                  <w:tabs>
                    <w:tab w:val="left" w:pos="2265"/>
                  </w:tabs>
                </w:pPr>
                <w:r>
                  <w:t xml:space="preserve">MI 336</w:t>
                </w:r>
              </w:p>
              <w:p>
                <w:pPr>
                  <w:pStyle w:val="TBEntRefer"/>
                  <w:tabs>
                    <w:tab w:val="left" w:pos="2265"/>
                  </w:tabs>
                </w:pPr>
                <w:r>
                  <w:t xml:space="preserve">COMER 61</w:t>
                </w:r>
              </w:p>
              <w:p>
                <w:pPr>
                  <w:pStyle w:val="TBEntRefer"/>
                  <w:tabs>
                    <w:tab w:val="left" w:pos="2265"/>
                  </w:tabs>
                </w:pPr>
                <w:r>
                  <w:t xml:space="preserve">TRANS 222</w:t>
                </w:r>
              </w:p>
              <w:p>
                <w:pPr>
                  <w:pStyle w:val="TBEntRefer"/>
                  <w:tabs>
                    <w:tab w:val="left" w:pos="2265"/>
                  </w:tabs>
                </w:pPr>
                <w:r>
                  <w:t xml:space="preserve">FISC 133</w:t>
                </w:r>
              </w:p>
              <w:p>
                <w:pPr>
                  <w:pStyle w:val="TBEntRefer"/>
                  <w:tabs>
                    <w:tab w:val="left" w:pos="2265"/>
                  </w:tabs>
                </w:pPr>
                <w:r>
                  <w:t xml:space="preserve">RESPR 22</w:t>
                </w:r>
              </w:p>
              <w:p>
                <w:pPr>
                  <w:pStyle w:val="TBEntRefer"/>
                  <w:tabs>
                    <w:tab w:val="left" w:pos="2265"/>
                  </w:tabs>
                </w:pPr>
                <w:r>
                  <w:t xml:space="preserve">CODEC 662</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2023/0156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establishing the Union Customs Code and the European Union Customs Authority, and repealing Regulation (EU) No 952/2013</w:t>
                </w:r>
              </w:p>
              <w:p>
                <w:pPr>
                  <w:pStyle w:val="TBSubjectText"/>
                </w:pPr>
                <w:r>
                  <w:t xml:space="preserve">– Statement of the Council's reasons</w:t>
                </w:r>
              </w:p>
              <w:p>
                <w:pPr>
                  <w:pStyle w:val="TBSubjectText"/>
                </w:pPr>
                <w:r>
                  <w:t xml:space="preserve">– Adopted by the Council on 3 September 2026</w:t>
                </w:r>
              </w:p>
            </w:tc>
          </w:tr>
        </w:tbl>
        <w:p w:rsidRPr="002D3C08" w:rsidR="002D3C08" w:rsidP="002D3C08" w:rsidRDefault="002D3C08" w14:paraId="2DF89B2C" w14:textId="77777777">
          <w:pPr>
            <w:spacing w:before="20" w:after="240" w:line="20" w:lineRule="exact"/>
            <w:rPr>
              <w:sz w:val="2"/>
              <w:szCs w:val="2"/>
              <w:lang w:val="fr-FR"/>
            </w:rPr>
          </w:pPr>
        </w:p>
      </w:sdtContent>
    </w:sdt>
    <w:p w:rsidRPr="00CA21DA" w:rsidR="00AE2C30" w:rsidP="00AE2C30" w:rsidRDefault="00AE2C30" w14:paraId="07A07AAC" w14:textId="77777777">
      <w:pPr>
        <w:sectPr w:rsidRPr="00CA21DA" w:rsidR="00AE2C30" w:rsidSect="00AE2C30">
          <w:headerReference w:type="even" r:id="R035276f85a4c4600"/>
          <w:headerReference w:type="default" r:id="Rd07523e1c5fa4fc8"/>
          <w:footerReference w:type="even" r:id="R0008b8160dd14824"/>
          <w:footerReference w:type="default" r:id="R21ab5482cafa4d9b"/>
          <w:headerReference w:type="first" r:id="Raa63b50b57de4197"/>
          <w:footerReference w:type="first" r:id="Re39dec1272624a4b"/>
          <w:pgSz w:w="11907" w:h="16840" w:code="9"/>
          <w:pgMar w:top="624" w:right="1134" w:bottom="1134" w:left="1134" w:header="567" w:footer="567" w:gutter="0"/>
          <w:pgNumType w:start="1"/>
          <w:cols w:space="720"/>
          <w:titlePg/>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sectPr>
      </w:pPr>
    </w:p>
    <w:p w:rsidR="00AE2C30" w:rsidP="00AE2C30" w:rsidRDefault="00AE2C30" w14:paraId="328EBB07" w14:textId="77777777">
      <w:pPr>
        <w:pStyle w:val="HeadingIVX"/>
      </w:pPr>
      <w:r>
        <w:lastRenderedPageBreak/>
        <w:t>INTRODUCTION</w:t>
      </w:r>
    </w:p>
    <w:p w:rsidR="00AE2C30" w:rsidP="00AE2C30" w:rsidRDefault="00AE2C30" w14:paraId="28A9CB45" w14:textId="77777777">
      <w:pPr>
        <w:pStyle w:val="Point123"/>
        <w:tabs>
          <w:tab w:val="clear" w:pos="567"/>
        </w:tabs>
      </w:pPr>
      <w:r w:rsidRPr="00F26A5B">
        <w:rPr>
          <w:rFonts w:eastAsia="Times New Roman"/>
          <w:szCs w:val="24"/>
          <w:lang w:val="en-US"/>
        </w:rPr>
        <w:t>On</w:t>
      </w:r>
      <w:r w:rsidRPr="00F26A5B">
        <w:rPr>
          <w:rFonts w:eastAsia="Times New Roman"/>
          <w:spacing w:val="-3"/>
          <w:szCs w:val="24"/>
          <w:lang w:val="en-US"/>
        </w:rPr>
        <w:t xml:space="preserve"> </w:t>
      </w:r>
      <w:r>
        <w:rPr>
          <w:rFonts w:eastAsia="Times New Roman"/>
          <w:spacing w:val="-3"/>
          <w:szCs w:val="24"/>
          <w:lang w:val="en-US"/>
        </w:rPr>
        <w:t xml:space="preserve">17 May </w:t>
      </w:r>
      <w:r w:rsidRPr="000F2BE7">
        <w:rPr>
          <w:rFonts w:eastAsia="Times New Roman"/>
          <w:spacing w:val="-5"/>
          <w:szCs w:val="24"/>
          <w:lang w:val="en-US"/>
        </w:rPr>
        <w:t>2023</w:t>
      </w:r>
      <w:r w:rsidRPr="00F26A5B">
        <w:rPr>
          <w:rFonts w:eastAsia="Times New Roman"/>
          <w:szCs w:val="24"/>
          <w:lang w:val="en-US"/>
        </w:rPr>
        <w:t>,</w:t>
      </w:r>
      <w:r w:rsidRPr="00DF4FA1">
        <w:rPr>
          <w:rFonts w:eastAsia="Times New Roman"/>
          <w:spacing w:val="-3"/>
          <w:szCs w:val="24"/>
          <w:lang w:val="en-US"/>
        </w:rPr>
        <w:t xml:space="preserve"> </w:t>
      </w:r>
      <w:r w:rsidRPr="00DF4FA1">
        <w:rPr>
          <w:rFonts w:eastAsia="Times New Roman"/>
          <w:szCs w:val="24"/>
          <w:lang w:val="en-US"/>
        </w:rPr>
        <w:t>the</w:t>
      </w:r>
      <w:r w:rsidRPr="00DF4FA1">
        <w:rPr>
          <w:rFonts w:eastAsia="Times New Roman"/>
          <w:spacing w:val="-5"/>
          <w:szCs w:val="24"/>
          <w:lang w:val="en-US"/>
        </w:rPr>
        <w:t xml:space="preserve"> </w:t>
      </w:r>
      <w:r w:rsidRPr="00F50505">
        <w:rPr>
          <w:rFonts w:eastAsia="Times New Roman"/>
          <w:szCs w:val="24"/>
          <w:lang w:val="en-US"/>
        </w:rPr>
        <w:t>Commission</w:t>
      </w:r>
      <w:r w:rsidRPr="00DF4FA1">
        <w:rPr>
          <w:rFonts w:eastAsia="Times New Roman"/>
          <w:spacing w:val="-2"/>
          <w:szCs w:val="24"/>
          <w:lang w:val="en-US"/>
        </w:rPr>
        <w:t xml:space="preserve"> </w:t>
      </w:r>
      <w:r w:rsidRPr="00DF4FA1">
        <w:rPr>
          <w:rFonts w:eastAsia="Times New Roman"/>
          <w:szCs w:val="24"/>
          <w:lang w:val="en-US"/>
        </w:rPr>
        <w:t>sub</w:t>
      </w:r>
      <w:r w:rsidRPr="00F26A5B">
        <w:rPr>
          <w:rFonts w:eastAsia="Times New Roman"/>
          <w:szCs w:val="24"/>
          <w:lang w:val="en-US"/>
        </w:rPr>
        <w:t>mitted</w:t>
      </w:r>
      <w:r w:rsidRPr="00F26A5B">
        <w:rPr>
          <w:rFonts w:eastAsia="Times New Roman"/>
          <w:spacing w:val="-3"/>
          <w:szCs w:val="24"/>
          <w:lang w:val="en-US"/>
        </w:rPr>
        <w:t xml:space="preserve"> </w:t>
      </w:r>
      <w:r w:rsidRPr="00F26A5B">
        <w:rPr>
          <w:rFonts w:eastAsia="Times New Roman"/>
          <w:szCs w:val="24"/>
          <w:lang w:val="en-US"/>
        </w:rPr>
        <w:t>to</w:t>
      </w:r>
      <w:r w:rsidRPr="00F26A5B">
        <w:rPr>
          <w:rFonts w:eastAsia="Times New Roman"/>
          <w:spacing w:val="-3"/>
          <w:szCs w:val="24"/>
          <w:lang w:val="en-US"/>
        </w:rPr>
        <w:t xml:space="preserve"> </w:t>
      </w:r>
      <w:r w:rsidRPr="00F26A5B">
        <w:rPr>
          <w:rFonts w:eastAsia="Times New Roman"/>
          <w:szCs w:val="24"/>
          <w:lang w:val="en-US"/>
        </w:rPr>
        <w:t>the</w:t>
      </w:r>
      <w:r w:rsidRPr="00F26A5B">
        <w:rPr>
          <w:rFonts w:eastAsia="Times New Roman"/>
          <w:spacing w:val="-4"/>
          <w:szCs w:val="24"/>
          <w:lang w:val="en-US"/>
        </w:rPr>
        <w:t xml:space="preserve"> </w:t>
      </w:r>
      <w:r w:rsidRPr="00F26A5B">
        <w:rPr>
          <w:rFonts w:eastAsia="Times New Roman"/>
          <w:szCs w:val="24"/>
          <w:lang w:val="en-US"/>
        </w:rPr>
        <w:t>Council</w:t>
      </w:r>
      <w:r w:rsidRPr="00F26A5B">
        <w:rPr>
          <w:rFonts w:eastAsia="Times New Roman"/>
          <w:spacing w:val="-3"/>
          <w:szCs w:val="24"/>
          <w:lang w:val="en-US"/>
        </w:rPr>
        <w:t xml:space="preserve"> </w:t>
      </w:r>
      <w:r w:rsidRPr="00F26A5B">
        <w:rPr>
          <w:rFonts w:eastAsia="Times New Roman"/>
          <w:szCs w:val="24"/>
          <w:lang w:val="en-US"/>
        </w:rPr>
        <w:t>and</w:t>
      </w:r>
      <w:r w:rsidRPr="00F26A5B">
        <w:rPr>
          <w:rFonts w:eastAsia="Times New Roman"/>
          <w:spacing w:val="-3"/>
          <w:szCs w:val="24"/>
          <w:lang w:val="en-US"/>
        </w:rPr>
        <w:t xml:space="preserve"> </w:t>
      </w:r>
      <w:r w:rsidRPr="00F26A5B">
        <w:rPr>
          <w:rFonts w:eastAsia="Times New Roman"/>
          <w:szCs w:val="24"/>
          <w:lang w:val="en-US"/>
        </w:rPr>
        <w:t>the</w:t>
      </w:r>
      <w:r w:rsidRPr="00F26A5B">
        <w:rPr>
          <w:rFonts w:eastAsia="Times New Roman"/>
          <w:spacing w:val="-3"/>
          <w:szCs w:val="24"/>
          <w:lang w:val="en-US"/>
        </w:rPr>
        <w:t xml:space="preserve"> </w:t>
      </w:r>
      <w:r w:rsidRPr="00F26A5B">
        <w:rPr>
          <w:rFonts w:eastAsia="Times New Roman"/>
          <w:szCs w:val="24"/>
          <w:lang w:val="en-US"/>
        </w:rPr>
        <w:t>European</w:t>
      </w:r>
      <w:r w:rsidRPr="00F26A5B">
        <w:rPr>
          <w:rFonts w:eastAsia="Times New Roman"/>
          <w:spacing w:val="-3"/>
          <w:szCs w:val="24"/>
          <w:lang w:val="en-US"/>
        </w:rPr>
        <w:t xml:space="preserve"> </w:t>
      </w:r>
      <w:r w:rsidRPr="00F26A5B">
        <w:rPr>
          <w:rFonts w:eastAsia="Times New Roman"/>
          <w:szCs w:val="24"/>
          <w:lang w:val="en-US"/>
        </w:rPr>
        <w:t>Parliament</w:t>
      </w:r>
      <w:r w:rsidRPr="00F26A5B">
        <w:rPr>
          <w:rFonts w:eastAsia="Times New Roman"/>
          <w:spacing w:val="-3"/>
          <w:szCs w:val="24"/>
          <w:lang w:val="en-US"/>
        </w:rPr>
        <w:t xml:space="preserve"> </w:t>
      </w:r>
      <w:r w:rsidRPr="00F26A5B">
        <w:rPr>
          <w:rFonts w:eastAsia="Times New Roman"/>
          <w:szCs w:val="24"/>
          <w:lang w:val="en-US"/>
        </w:rPr>
        <w:t>a</w:t>
      </w:r>
      <w:r w:rsidRPr="00F26A5B">
        <w:rPr>
          <w:rFonts w:eastAsia="Times New Roman"/>
          <w:spacing w:val="-4"/>
          <w:szCs w:val="24"/>
          <w:lang w:val="en-US"/>
        </w:rPr>
        <w:t xml:space="preserve"> </w:t>
      </w:r>
      <w:r w:rsidRPr="00F26A5B">
        <w:rPr>
          <w:rFonts w:eastAsia="Times New Roman"/>
          <w:szCs w:val="24"/>
          <w:lang w:val="en-US"/>
        </w:rPr>
        <w:t>proposal</w:t>
      </w:r>
      <w:r w:rsidRPr="00F26A5B">
        <w:rPr>
          <w:rFonts w:eastAsia="Times New Roman"/>
          <w:spacing w:val="-3"/>
          <w:szCs w:val="24"/>
          <w:lang w:val="en-US"/>
        </w:rPr>
        <w:t xml:space="preserve"> </w:t>
      </w:r>
      <w:r w:rsidRPr="00F26A5B">
        <w:rPr>
          <w:rFonts w:eastAsia="Times New Roman"/>
          <w:szCs w:val="24"/>
          <w:lang w:val="en-US"/>
        </w:rPr>
        <w:t>for a Regulation</w:t>
      </w:r>
      <w:r>
        <w:rPr>
          <w:rFonts w:eastAsia="Times New Roman"/>
          <w:szCs w:val="24"/>
          <w:lang w:val="en-US"/>
        </w:rPr>
        <w:t xml:space="preserve"> </w:t>
      </w:r>
      <w:r w:rsidRPr="00F26A5B">
        <w:rPr>
          <w:rFonts w:eastAsia="Times New Roman"/>
          <w:szCs w:val="24"/>
          <w:lang w:val="en-US"/>
        </w:rPr>
        <w:t xml:space="preserve">of the European Parliament and of the Council </w:t>
      </w:r>
      <w:r w:rsidRPr="005E3C60">
        <w:rPr>
          <w:rFonts w:eastAsia="Times New Roman"/>
          <w:szCs w:val="24"/>
          <w:lang w:val="en-US"/>
        </w:rPr>
        <w:t>establishing the Union Customs Code and the European Union Customs Authority, and repealing Regulation (EU) No 952/2013</w:t>
      </w:r>
      <w:r>
        <w:rPr>
          <w:rFonts w:eastAsia="Times New Roman"/>
          <w:szCs w:val="24"/>
          <w:lang w:val="en-US"/>
        </w:rPr>
        <w:t>.</w:t>
      </w:r>
      <w:r>
        <w:rPr>
          <w:rStyle w:val="FootnoteReference"/>
          <w:rFonts w:eastAsia="Times New Roman"/>
          <w:szCs w:val="24"/>
          <w:lang w:val="en-US"/>
        </w:rPr>
        <w:footnoteReference w:id="2"/>
      </w:r>
    </w:p>
    <w:p w:rsidRPr="00CA21DA" w:rsidR="00AE2C30" w:rsidP="00AE2C30" w:rsidRDefault="00AE2C30" w14:paraId="14E7D3BC" w14:textId="77777777">
      <w:pPr>
        <w:pStyle w:val="Point123"/>
        <w:tabs>
          <w:tab w:val="clear" w:pos="567"/>
        </w:tabs>
      </w:pPr>
      <w:r w:rsidRPr="00E96D9D">
        <w:t xml:space="preserve">The proposal is based </w:t>
      </w:r>
      <w:r w:rsidRPr="00F26A5B">
        <w:rPr>
          <w:rFonts w:eastAsia="Times New Roman"/>
          <w:szCs w:val="24"/>
          <w:lang w:val="en-US"/>
        </w:rPr>
        <w:t>on</w:t>
      </w:r>
      <w:r w:rsidRPr="00F26A5B">
        <w:rPr>
          <w:rFonts w:eastAsia="Times New Roman"/>
          <w:spacing w:val="-3"/>
          <w:szCs w:val="24"/>
          <w:lang w:val="en-US"/>
        </w:rPr>
        <w:t xml:space="preserve"> Articles 33, 114 and 207 </w:t>
      </w:r>
      <w:r w:rsidRPr="00F26A5B">
        <w:rPr>
          <w:rFonts w:eastAsia="Times New Roman"/>
          <w:szCs w:val="24"/>
          <w:lang w:val="en-US"/>
        </w:rPr>
        <w:t>of</w:t>
      </w:r>
      <w:r w:rsidRPr="00F26A5B">
        <w:rPr>
          <w:rFonts w:eastAsia="Times New Roman"/>
          <w:spacing w:val="-5"/>
          <w:szCs w:val="24"/>
          <w:lang w:val="en-US"/>
        </w:rPr>
        <w:t xml:space="preserve"> </w:t>
      </w:r>
      <w:r w:rsidRPr="00F26A5B">
        <w:rPr>
          <w:rFonts w:eastAsia="Times New Roman"/>
          <w:szCs w:val="24"/>
          <w:lang w:val="en-US"/>
        </w:rPr>
        <w:t>the</w:t>
      </w:r>
      <w:r w:rsidRPr="00F26A5B">
        <w:rPr>
          <w:rFonts w:eastAsia="Times New Roman"/>
          <w:spacing w:val="-3"/>
          <w:szCs w:val="24"/>
          <w:lang w:val="en-US"/>
        </w:rPr>
        <w:t xml:space="preserve"> </w:t>
      </w:r>
      <w:r w:rsidRPr="00F26A5B">
        <w:rPr>
          <w:rFonts w:eastAsia="Times New Roman"/>
          <w:szCs w:val="24"/>
          <w:lang w:val="en-US"/>
        </w:rPr>
        <w:t>Treaty</w:t>
      </w:r>
      <w:r w:rsidRPr="00F26A5B">
        <w:rPr>
          <w:rFonts w:eastAsia="Times New Roman"/>
          <w:spacing w:val="-3"/>
          <w:szCs w:val="24"/>
          <w:lang w:val="en-US"/>
        </w:rPr>
        <w:t xml:space="preserve"> </w:t>
      </w:r>
      <w:r w:rsidRPr="00F26A5B">
        <w:rPr>
          <w:rFonts w:eastAsia="Times New Roman"/>
          <w:szCs w:val="24"/>
          <w:lang w:val="en-US"/>
        </w:rPr>
        <w:t>on</w:t>
      </w:r>
      <w:r w:rsidRPr="00F26A5B">
        <w:rPr>
          <w:rFonts w:eastAsia="Times New Roman"/>
          <w:spacing w:val="-3"/>
          <w:szCs w:val="24"/>
          <w:lang w:val="en-US"/>
        </w:rPr>
        <w:t xml:space="preserve"> </w:t>
      </w:r>
      <w:r w:rsidRPr="00F26A5B">
        <w:rPr>
          <w:rFonts w:eastAsia="Times New Roman"/>
          <w:szCs w:val="24"/>
          <w:lang w:val="en-US"/>
        </w:rPr>
        <w:t>the</w:t>
      </w:r>
      <w:r>
        <w:rPr>
          <w:rFonts w:eastAsia="Times New Roman"/>
          <w:szCs w:val="24"/>
          <w:lang w:val="en-US"/>
        </w:rPr>
        <w:t xml:space="preserve"> </w:t>
      </w:r>
      <w:r w:rsidRPr="00F26A5B">
        <w:rPr>
          <w:rFonts w:eastAsia="Times New Roman"/>
          <w:szCs w:val="24"/>
          <w:lang w:val="en-US"/>
        </w:rPr>
        <w:t>Functioning of the European Union (TFEU) (ordinary legislative procedure)</w:t>
      </w:r>
      <w:r>
        <w:rPr>
          <w:rFonts w:eastAsia="Times New Roman"/>
          <w:szCs w:val="24"/>
          <w:lang w:val="en-US"/>
        </w:rPr>
        <w:t>.</w:t>
      </w:r>
    </w:p>
    <w:p w:rsidRPr="007C2A0C" w:rsidR="00AE2C30" w:rsidP="00AE2C30" w:rsidRDefault="00AE2C30" w14:paraId="1CB29995" w14:textId="77777777">
      <w:pPr>
        <w:pStyle w:val="Point123"/>
      </w:pPr>
      <w:r w:rsidRPr="00F50505">
        <w:rPr>
          <w:rFonts w:eastAsia="Times New Roman"/>
          <w:szCs w:val="24"/>
          <w:lang w:val="en-US"/>
        </w:rPr>
        <w:t>The European Economic and Social Committee</w:t>
      </w:r>
      <w:r w:rsidRPr="00F50505">
        <w:rPr>
          <w:rFonts w:eastAsia="Times New Roman"/>
          <w:spacing w:val="-3"/>
          <w:szCs w:val="24"/>
          <w:lang w:val="en-US"/>
        </w:rPr>
        <w:t xml:space="preserve"> </w:t>
      </w:r>
      <w:r w:rsidRPr="00F50505">
        <w:rPr>
          <w:rFonts w:eastAsia="Times New Roman"/>
          <w:szCs w:val="24"/>
          <w:lang w:val="en-US"/>
        </w:rPr>
        <w:t>delivered</w:t>
      </w:r>
      <w:r w:rsidRPr="00F50505">
        <w:rPr>
          <w:rFonts w:eastAsia="Times New Roman"/>
          <w:spacing w:val="-2"/>
          <w:szCs w:val="24"/>
          <w:lang w:val="en-US"/>
        </w:rPr>
        <w:t xml:space="preserve"> </w:t>
      </w:r>
      <w:r w:rsidRPr="00F50505">
        <w:rPr>
          <w:rFonts w:eastAsia="Times New Roman"/>
          <w:szCs w:val="24"/>
          <w:lang w:val="en-US"/>
        </w:rPr>
        <w:t>its</w:t>
      </w:r>
      <w:r w:rsidRPr="00F50505">
        <w:rPr>
          <w:rFonts w:eastAsia="Times New Roman"/>
          <w:spacing w:val="-3"/>
          <w:szCs w:val="24"/>
          <w:lang w:val="en-US"/>
        </w:rPr>
        <w:t xml:space="preserve"> </w:t>
      </w:r>
      <w:r w:rsidRPr="00F50505">
        <w:rPr>
          <w:rFonts w:eastAsia="Times New Roman"/>
          <w:szCs w:val="24"/>
          <w:lang w:val="en-US"/>
        </w:rPr>
        <w:t>opinion</w:t>
      </w:r>
      <w:r w:rsidRPr="00F50505">
        <w:rPr>
          <w:rFonts w:eastAsia="Times New Roman"/>
          <w:spacing w:val="-2"/>
          <w:szCs w:val="24"/>
          <w:lang w:val="en-US"/>
        </w:rPr>
        <w:t xml:space="preserve"> </w:t>
      </w:r>
      <w:r w:rsidRPr="00F50505">
        <w:rPr>
          <w:rFonts w:eastAsia="Times New Roman"/>
          <w:szCs w:val="24"/>
          <w:lang w:val="en-US"/>
        </w:rPr>
        <w:t>on</w:t>
      </w:r>
      <w:r w:rsidRPr="00F50505">
        <w:rPr>
          <w:rFonts w:eastAsia="Times New Roman"/>
          <w:spacing w:val="-2"/>
          <w:szCs w:val="24"/>
          <w:lang w:val="en-US"/>
        </w:rPr>
        <w:t xml:space="preserve"> </w:t>
      </w:r>
      <w:r w:rsidRPr="00F50505">
        <w:rPr>
          <w:rFonts w:eastAsia="Times New Roman"/>
          <w:szCs w:val="24"/>
          <w:lang w:val="en-US"/>
        </w:rPr>
        <w:t>20 September 2023.</w:t>
      </w:r>
      <w:r w:rsidRPr="00F50505">
        <w:rPr>
          <w:rStyle w:val="FootnoteReference"/>
          <w:rFonts w:eastAsia="Times New Roman"/>
          <w:szCs w:val="24"/>
          <w:lang w:val="en-US"/>
        </w:rPr>
        <w:footnoteReference w:id="3"/>
      </w:r>
      <w:r w:rsidRPr="00F50505">
        <w:rPr>
          <w:rFonts w:eastAsia="Times New Roman"/>
          <w:spacing w:val="-2"/>
          <w:szCs w:val="24"/>
          <w:lang w:val="en-US"/>
        </w:rPr>
        <w:t xml:space="preserve"> The European Data Protection Supervisor delivered</w:t>
      </w:r>
      <w:r w:rsidRPr="00CA21DA">
        <w:rPr>
          <w:rFonts w:eastAsia="Times New Roman"/>
          <w:spacing w:val="-2"/>
          <w:szCs w:val="24"/>
          <w:lang w:val="en-US"/>
        </w:rPr>
        <w:t xml:space="preserve"> its opinion on 11 July 2023.</w:t>
      </w:r>
      <w:r w:rsidRPr="00DF4FA1">
        <w:rPr>
          <w:rStyle w:val="FootnoteReference"/>
          <w:rFonts w:eastAsia="Times New Roman"/>
          <w:spacing w:val="-2"/>
          <w:szCs w:val="24"/>
          <w:lang w:val="en-US"/>
        </w:rPr>
        <w:footnoteReference w:id="4"/>
      </w:r>
    </w:p>
    <w:p w:rsidRPr="007C2A0C" w:rsidR="00AE2C30" w:rsidP="00AE2C30" w:rsidRDefault="00AE2C30" w14:paraId="0ABAAB25" w14:textId="77777777">
      <w:pPr>
        <w:pStyle w:val="Point123"/>
        <w:tabs>
          <w:tab w:val="clear" w:pos="567"/>
        </w:tabs>
      </w:pPr>
      <w:r w:rsidRPr="00DF4FA1">
        <w:rPr>
          <w:rFonts w:eastAsia="Times New Roman"/>
          <w:szCs w:val="24"/>
          <w:lang w:val="en-US"/>
        </w:rPr>
        <w:t xml:space="preserve">On the side of the </w:t>
      </w:r>
      <w:r w:rsidRPr="00F50505">
        <w:rPr>
          <w:rFonts w:eastAsia="Times New Roman"/>
          <w:szCs w:val="24"/>
          <w:lang w:val="en-US"/>
        </w:rPr>
        <w:t>European Parliament,</w:t>
      </w:r>
      <w:r w:rsidRPr="00DF4FA1">
        <w:rPr>
          <w:rFonts w:eastAsia="Times New Roman"/>
          <w:szCs w:val="24"/>
          <w:lang w:val="en-US"/>
        </w:rPr>
        <w:t xml:space="preserve"> the Internal Market and Consumer Protection (IMCO) Committee has the lead responsibility. Ms. Deirdre CLUNE (EPP, IE) was appointed the rapporteur for the proposal </w:t>
      </w:r>
      <w:r>
        <w:rPr>
          <w:rFonts w:eastAsia="Times New Roman"/>
          <w:szCs w:val="24"/>
          <w:lang w:val="en-US"/>
        </w:rPr>
        <w:t>during</w:t>
      </w:r>
      <w:r w:rsidRPr="00DF4FA1">
        <w:rPr>
          <w:rFonts w:eastAsia="Times New Roman"/>
          <w:szCs w:val="24"/>
          <w:lang w:val="en-US"/>
        </w:rPr>
        <w:t xml:space="preserve"> the previous legislative cycle. As of 27 September 2024, Mr. Dirk GOTINK (EPP, NL) </w:t>
      </w:r>
      <w:r>
        <w:rPr>
          <w:rFonts w:eastAsia="Times New Roman"/>
          <w:szCs w:val="24"/>
          <w:lang w:val="en-US"/>
        </w:rPr>
        <w:t>is</w:t>
      </w:r>
      <w:r w:rsidRPr="00DF4FA1">
        <w:rPr>
          <w:rFonts w:eastAsia="Times New Roman"/>
          <w:szCs w:val="24"/>
          <w:lang w:val="en-US"/>
        </w:rPr>
        <w:t xml:space="preserve"> the rapporteur for the proposal. On </w:t>
      </w:r>
      <w:r w:rsidRPr="00DF4FA1">
        <w:rPr>
          <w:rFonts w:eastAsia="Times New Roman"/>
          <w:szCs w:val="24"/>
        </w:rPr>
        <w:t>13 March 2024</w:t>
      </w:r>
      <w:r w:rsidRPr="00DF4FA1">
        <w:rPr>
          <w:rFonts w:eastAsia="Times New Roman"/>
          <w:szCs w:val="24"/>
          <w:lang w:val="en-US"/>
        </w:rPr>
        <w:t xml:space="preserve"> the European Parliament adopted its position at first reading.</w:t>
      </w:r>
      <w:r w:rsidRPr="00DF4FA1">
        <w:rPr>
          <w:rStyle w:val="FootnoteReference"/>
          <w:rFonts w:eastAsia="Times New Roman"/>
          <w:szCs w:val="24"/>
          <w:lang w:val="en-US"/>
        </w:rPr>
        <w:footnoteReference w:id="5"/>
      </w:r>
    </w:p>
    <w:p w:rsidRPr="000F2BE7" w:rsidR="00AE2C30" w:rsidP="00AE2C30" w:rsidRDefault="00AE2C30" w14:paraId="36445EE4" w14:textId="77777777">
      <w:pPr>
        <w:pStyle w:val="Point123"/>
        <w:tabs>
          <w:tab w:val="clear" w:pos="567"/>
        </w:tabs>
        <w:rPr>
          <w:lang w:val="en-US"/>
        </w:rPr>
      </w:pPr>
      <w:r w:rsidRPr="00DF4FA1">
        <w:rPr>
          <w:lang w:val="en-US"/>
        </w:rPr>
        <w:t xml:space="preserve">The </w:t>
      </w:r>
      <w:r w:rsidRPr="00F50505">
        <w:rPr>
          <w:lang w:val="en-US"/>
        </w:rPr>
        <w:t>Working Party on Customs Union</w:t>
      </w:r>
      <w:r w:rsidRPr="00DF4FA1">
        <w:rPr>
          <w:lang w:val="en-US"/>
        </w:rPr>
        <w:t xml:space="preserve"> examin</w:t>
      </w:r>
      <w:r w:rsidRPr="000F2BE7">
        <w:rPr>
          <w:lang w:val="en-US"/>
        </w:rPr>
        <w:t xml:space="preserve">ed </w:t>
      </w:r>
      <w:r w:rsidRPr="00F70F97">
        <w:t>the</w:t>
      </w:r>
      <w:r w:rsidRPr="000F2BE7">
        <w:rPr>
          <w:lang w:val="en-US"/>
        </w:rPr>
        <w:t xml:space="preserve"> proposal since June 2023 under the </w:t>
      </w:r>
      <w:r w:rsidRPr="000F2BE7">
        <w:t>Swedish</w:t>
      </w:r>
      <w:r w:rsidRPr="000F2BE7">
        <w:rPr>
          <w:lang w:val="en-US"/>
        </w:rPr>
        <w:t>, Spanish, Belgian, Hungarian and Polish Presidencies.</w:t>
      </w:r>
    </w:p>
    <w:p w:rsidR="00AE2C30" w:rsidP="00AE2C30" w:rsidRDefault="00AE2C30" w14:paraId="77F9305C" w14:textId="77777777">
      <w:pPr>
        <w:pStyle w:val="Point123"/>
        <w:tabs>
          <w:tab w:val="clear" w:pos="567"/>
        </w:tabs>
      </w:pPr>
      <w:r w:rsidRPr="00F26A5B">
        <w:rPr>
          <w:rFonts w:eastAsia="Times New Roman"/>
          <w:szCs w:val="24"/>
          <w:lang w:val="en-US"/>
        </w:rPr>
        <w:t xml:space="preserve">At its </w:t>
      </w:r>
      <w:r w:rsidRPr="00F70F97">
        <w:rPr>
          <w:rFonts w:eastAsia="Times New Roman"/>
          <w:szCs w:val="24"/>
          <w:lang w:val="en-US"/>
        </w:rPr>
        <w:t>meeting</w:t>
      </w:r>
      <w:r w:rsidRPr="00F26A5B">
        <w:rPr>
          <w:rFonts w:eastAsia="Times New Roman"/>
          <w:szCs w:val="24"/>
          <w:lang w:val="en-US"/>
        </w:rPr>
        <w:t xml:space="preserve"> on </w:t>
      </w:r>
      <w:r>
        <w:rPr>
          <w:rFonts w:eastAsia="Times New Roman"/>
          <w:szCs w:val="24"/>
          <w:lang w:val="en-US"/>
        </w:rPr>
        <w:t>27 June 2025</w:t>
      </w:r>
      <w:r w:rsidRPr="00F26A5B">
        <w:rPr>
          <w:rFonts w:eastAsia="Times New Roman"/>
          <w:szCs w:val="24"/>
          <w:lang w:val="en-US"/>
        </w:rPr>
        <w:t xml:space="preserve">, </w:t>
      </w:r>
      <w:proofErr w:type="spellStart"/>
      <w:r>
        <w:rPr>
          <w:rFonts w:eastAsia="Times New Roman"/>
          <w:szCs w:val="24"/>
          <w:lang w:val="en-US"/>
        </w:rPr>
        <w:t>Coreper</w:t>
      </w:r>
      <w:proofErr w:type="spellEnd"/>
      <w:r w:rsidRPr="00F26A5B">
        <w:rPr>
          <w:rFonts w:eastAsia="Times New Roman"/>
          <w:spacing w:val="-4"/>
          <w:szCs w:val="24"/>
          <w:lang w:val="en-US"/>
        </w:rPr>
        <w:t xml:space="preserve"> </w:t>
      </w:r>
      <w:r>
        <w:rPr>
          <w:rFonts w:eastAsia="Times New Roman"/>
          <w:szCs w:val="24"/>
          <w:lang w:val="en-US"/>
        </w:rPr>
        <w:t xml:space="preserve">agreed on </w:t>
      </w:r>
      <w:r w:rsidRPr="00F26A5B">
        <w:rPr>
          <w:rFonts w:eastAsia="Times New Roman"/>
          <w:szCs w:val="24"/>
          <w:lang w:val="en-US"/>
        </w:rPr>
        <w:t>a</w:t>
      </w:r>
      <w:r>
        <w:rPr>
          <w:rFonts w:eastAsia="Times New Roman"/>
          <w:szCs w:val="24"/>
          <w:lang w:val="en-US"/>
        </w:rPr>
        <w:t xml:space="preserve"> partial </w:t>
      </w:r>
      <w:r w:rsidRPr="00F26A5B">
        <w:rPr>
          <w:rFonts w:eastAsia="Times New Roman"/>
          <w:szCs w:val="24"/>
          <w:lang w:val="en-US"/>
        </w:rPr>
        <w:t>mandate</w:t>
      </w:r>
      <w:r w:rsidRPr="00F26A5B">
        <w:rPr>
          <w:rFonts w:eastAsia="Times New Roman"/>
          <w:spacing w:val="-2"/>
          <w:szCs w:val="24"/>
          <w:lang w:val="en-US"/>
        </w:rPr>
        <w:t xml:space="preserve"> </w:t>
      </w:r>
      <w:r w:rsidRPr="00F26A5B">
        <w:rPr>
          <w:rFonts w:eastAsia="Times New Roman"/>
          <w:szCs w:val="24"/>
          <w:lang w:val="en-US"/>
        </w:rPr>
        <w:t>to</w:t>
      </w:r>
      <w:r w:rsidRPr="00F26A5B">
        <w:rPr>
          <w:rFonts w:eastAsia="Times New Roman"/>
          <w:spacing w:val="-3"/>
          <w:szCs w:val="24"/>
          <w:lang w:val="en-US"/>
        </w:rPr>
        <w:t xml:space="preserve"> </w:t>
      </w:r>
      <w:r w:rsidRPr="00F26A5B">
        <w:rPr>
          <w:rFonts w:eastAsia="Times New Roman"/>
          <w:szCs w:val="24"/>
          <w:lang w:val="en-US"/>
        </w:rPr>
        <w:t>enter</w:t>
      </w:r>
      <w:r w:rsidRPr="00F26A5B">
        <w:rPr>
          <w:rFonts w:eastAsia="Times New Roman"/>
          <w:spacing w:val="-3"/>
          <w:szCs w:val="24"/>
          <w:lang w:val="en-US"/>
        </w:rPr>
        <w:t xml:space="preserve"> </w:t>
      </w:r>
      <w:r w:rsidRPr="00F26A5B">
        <w:rPr>
          <w:rFonts w:eastAsia="Times New Roman"/>
          <w:szCs w:val="24"/>
          <w:lang w:val="en-US"/>
        </w:rPr>
        <w:t>into</w:t>
      </w:r>
      <w:r w:rsidRPr="00F26A5B">
        <w:rPr>
          <w:rFonts w:eastAsia="Times New Roman"/>
          <w:spacing w:val="-3"/>
          <w:szCs w:val="24"/>
          <w:lang w:val="en-US"/>
        </w:rPr>
        <w:t xml:space="preserve"> </w:t>
      </w:r>
      <w:r w:rsidRPr="00F26A5B">
        <w:rPr>
          <w:rFonts w:eastAsia="Times New Roman"/>
          <w:szCs w:val="24"/>
          <w:lang w:val="en-US"/>
        </w:rPr>
        <w:t>negotiations</w:t>
      </w:r>
      <w:r w:rsidRPr="00F26A5B">
        <w:rPr>
          <w:rFonts w:eastAsia="Times New Roman"/>
          <w:spacing w:val="-4"/>
          <w:szCs w:val="24"/>
          <w:lang w:val="en-US"/>
        </w:rPr>
        <w:t xml:space="preserve"> </w:t>
      </w:r>
      <w:r w:rsidRPr="00F26A5B">
        <w:rPr>
          <w:rFonts w:eastAsia="Times New Roman"/>
          <w:szCs w:val="24"/>
          <w:lang w:val="en-US"/>
        </w:rPr>
        <w:t>with</w:t>
      </w:r>
      <w:r w:rsidRPr="00F26A5B">
        <w:rPr>
          <w:rFonts w:eastAsia="Times New Roman"/>
          <w:spacing w:val="-3"/>
          <w:szCs w:val="24"/>
          <w:lang w:val="en-US"/>
        </w:rPr>
        <w:t xml:space="preserve"> </w:t>
      </w:r>
      <w:r w:rsidRPr="00F26A5B">
        <w:rPr>
          <w:rFonts w:eastAsia="Times New Roman"/>
          <w:szCs w:val="24"/>
          <w:lang w:val="en-US"/>
        </w:rPr>
        <w:t>the</w:t>
      </w:r>
      <w:r w:rsidRPr="00F26A5B">
        <w:rPr>
          <w:rFonts w:eastAsia="Times New Roman"/>
          <w:spacing w:val="-3"/>
          <w:szCs w:val="24"/>
          <w:lang w:val="en-US"/>
        </w:rPr>
        <w:t xml:space="preserve"> </w:t>
      </w:r>
      <w:r w:rsidRPr="00F26A5B">
        <w:rPr>
          <w:rFonts w:eastAsia="Times New Roman"/>
          <w:szCs w:val="24"/>
          <w:lang w:val="en-US"/>
        </w:rPr>
        <w:t xml:space="preserve">European </w:t>
      </w:r>
      <w:r w:rsidRPr="00F26A5B">
        <w:rPr>
          <w:rFonts w:eastAsia="Times New Roman"/>
          <w:spacing w:val="-2"/>
          <w:szCs w:val="24"/>
          <w:lang w:val="en-US"/>
        </w:rPr>
        <w:t>Parliament</w:t>
      </w:r>
      <w:r>
        <w:rPr>
          <w:rFonts w:eastAsia="Times New Roman"/>
          <w:spacing w:val="-2"/>
          <w:szCs w:val="24"/>
          <w:lang w:val="en-US"/>
        </w:rPr>
        <w:t>.</w:t>
      </w:r>
      <w:r>
        <w:rPr>
          <w:rStyle w:val="FootnoteReference"/>
          <w:rFonts w:eastAsia="Times New Roman"/>
          <w:spacing w:val="-2"/>
          <w:szCs w:val="24"/>
          <w:lang w:val="en-US"/>
        </w:rPr>
        <w:footnoteReference w:id="6"/>
      </w:r>
      <w:r>
        <w:rPr>
          <w:rFonts w:eastAsia="Times New Roman"/>
          <w:szCs w:val="24"/>
          <w:lang w:val="en-US"/>
        </w:rPr>
        <w:t xml:space="preserve"> </w:t>
      </w:r>
    </w:p>
    <w:p w:rsidR="00AE2C30" w:rsidP="00AE2C30" w:rsidRDefault="00AE2C30" w14:paraId="2DC129F7" w14:textId="77777777">
      <w:pPr>
        <w:pStyle w:val="Point123"/>
        <w:tabs>
          <w:tab w:val="clear" w:pos="567"/>
        </w:tabs>
      </w:pPr>
      <w:r w:rsidRPr="00E96D9D">
        <w:t xml:space="preserve">Trilogues were held </w:t>
      </w:r>
      <w:r w:rsidRPr="007C2A0C">
        <w:t>on 8 July, 15 October, 20 November</w:t>
      </w:r>
      <w:r>
        <w:t>,</w:t>
      </w:r>
      <w:r w:rsidRPr="007C2A0C">
        <w:t xml:space="preserve"> 10 December 2025</w:t>
      </w:r>
      <w:r>
        <w:t xml:space="preserve"> and 26 March 2026 </w:t>
      </w:r>
      <w:r w:rsidRPr="00E96D9D">
        <w:t xml:space="preserve">under the Danish </w:t>
      </w:r>
      <w:r>
        <w:t xml:space="preserve">and Cyprus </w:t>
      </w:r>
      <w:r w:rsidRPr="00E96D9D">
        <w:t xml:space="preserve">Presidencies. The co-legislators reached a provisional </w:t>
      </w:r>
      <w:r>
        <w:t xml:space="preserve">political </w:t>
      </w:r>
      <w:r w:rsidRPr="00E96D9D">
        <w:t>agreement in the last trilogue. That agreement was subsequently consolidated into a final compromise text.</w:t>
      </w:r>
    </w:p>
    <w:p w:rsidR="00AE2C30" w:rsidP="00AE2C30" w:rsidRDefault="00AE2C30" w14:paraId="6673BBF9" w14:textId="77777777">
      <w:pPr>
        <w:pStyle w:val="Point123"/>
        <w:pageBreakBefore/>
        <w:tabs>
          <w:tab w:val="clear" w:pos="567"/>
        </w:tabs>
      </w:pPr>
      <w:r w:rsidRPr="00E96D9D">
        <w:lastRenderedPageBreak/>
        <w:t>On 1</w:t>
      </w:r>
      <w:r>
        <w:t>5</w:t>
      </w:r>
      <w:r w:rsidRPr="00E96D9D">
        <w:t> </w:t>
      </w:r>
      <w:r>
        <w:t xml:space="preserve">April </w:t>
      </w:r>
      <w:r w:rsidRPr="00E96D9D">
        <w:t>202</w:t>
      </w:r>
      <w:r>
        <w:t>6</w:t>
      </w:r>
      <w:r w:rsidRPr="00E96D9D">
        <w:t>, the Permanent Representatives Committee analysed the final compromise text and confirmed the agreement</w:t>
      </w:r>
      <w:r>
        <w:t>.</w:t>
      </w:r>
      <w:r w:rsidRPr="008B3D0A">
        <w:rPr>
          <w:rStyle w:val="FootnoteReference"/>
        </w:rPr>
        <w:footnoteReference w:id="7"/>
      </w:r>
    </w:p>
    <w:p w:rsidR="00AE2C30" w:rsidP="00AE2C30" w:rsidRDefault="00AE2C30" w14:paraId="00FF3819" w14:textId="77777777">
      <w:pPr>
        <w:pStyle w:val="Point123"/>
        <w:tabs>
          <w:tab w:val="clear" w:pos="567"/>
        </w:tabs>
      </w:pPr>
      <w:r w:rsidRPr="00E96D9D">
        <w:t>On </w:t>
      </w:r>
      <w:r>
        <w:t>16</w:t>
      </w:r>
      <w:r w:rsidRPr="00E96D9D">
        <w:t xml:space="preserve"> </w:t>
      </w:r>
      <w:r>
        <w:t>April</w:t>
      </w:r>
      <w:r w:rsidRPr="00E96D9D">
        <w:t xml:space="preserve"> 2026, the European Parliament’s </w:t>
      </w:r>
      <w:r>
        <w:t>IMCO</w:t>
      </w:r>
      <w:r w:rsidRPr="00E96D9D">
        <w:t xml:space="preserve"> Committee voted in favour of the final compromise text. On 28 </w:t>
      </w:r>
      <w:r>
        <w:t>April</w:t>
      </w:r>
      <w:r w:rsidRPr="00E96D9D">
        <w:t xml:space="preserve"> 2026, the Chair of the </w:t>
      </w:r>
      <w:r>
        <w:t>IMCO</w:t>
      </w:r>
      <w:r w:rsidRPr="00E96D9D">
        <w:t xml:space="preserve"> Committee addressed a letter to the Chair of the Permanent Representatives Committee</w:t>
      </w:r>
      <w:r>
        <w:t xml:space="preserve"> </w:t>
      </w:r>
      <w:r w:rsidRPr="00E96D9D">
        <w:t xml:space="preserve">stating that, should the Council transmit to the European Parliament its position as agreed, subject to legal-linguistic revision, </w:t>
      </w:r>
      <w:r>
        <w:t>s</w:t>
      </w:r>
      <w:r w:rsidRPr="00E96D9D">
        <w:t>he w</w:t>
      </w:r>
      <w:r>
        <w:t>ould</w:t>
      </w:r>
      <w:r w:rsidRPr="00E96D9D">
        <w:t xml:space="preserve"> recommend to the </w:t>
      </w:r>
      <w:r>
        <w:t>p</w:t>
      </w:r>
      <w:r w:rsidRPr="00E96D9D">
        <w:t xml:space="preserve">lenary that the Council’s position be accepted without amendments at second reading. </w:t>
      </w:r>
    </w:p>
    <w:p w:rsidR="00AE2C30" w:rsidP="00AE2C30" w:rsidRDefault="00AE2C30" w14:paraId="5A17B521" w14:textId="77777777">
      <w:pPr>
        <w:pStyle w:val="HeadingIVX"/>
      </w:pPr>
      <w:r>
        <w:t>OBJECTIVE</w:t>
      </w:r>
    </w:p>
    <w:p w:rsidR="00AE2C30" w:rsidP="00AE2C30" w:rsidRDefault="00AE2C30" w14:paraId="5A8C869C" w14:textId="77777777">
      <w:pPr>
        <w:pStyle w:val="Point123"/>
        <w:tabs>
          <w:tab w:val="clear" w:pos="567"/>
        </w:tabs>
      </w:pPr>
      <w:r>
        <w:t>The overall aim of the Regulation is to address the challenges to the proper functioning of the customs union and the internal market, arising from internal and external risks and threats, and in particular by adjusting customs legislation to the development of global trade patterns, technology and business models, as well as the needs of stakeholders, including businesses, consumers and citizens.</w:t>
      </w:r>
    </w:p>
    <w:p w:rsidR="00AE2C30" w:rsidP="00AE2C30" w:rsidRDefault="00AE2C30" w14:paraId="5C14E8E2" w14:textId="77777777">
      <w:pPr>
        <w:pStyle w:val="Point123"/>
        <w:tabs>
          <w:tab w:val="clear" w:pos="567"/>
        </w:tabs>
      </w:pPr>
      <w:r>
        <w:t xml:space="preserve">To address those challenges, the Regulation seeks </w:t>
      </w:r>
      <w:r w:rsidRPr="00E27576">
        <w:t>to ensure a uniform level of digitalisation and a level playing field for economic operators in all Member States</w:t>
      </w:r>
      <w:r>
        <w:t xml:space="preserve">. For those purposes it establishes </w:t>
      </w:r>
      <w:r w:rsidRPr="00E27576">
        <w:t>the European Union Customs Data Hub ('EU Customs Data Hub')</w:t>
      </w:r>
      <w:r>
        <w:t xml:space="preserve">, which provides a digital platform for an integrated set of </w:t>
      </w:r>
      <w:r w:rsidRPr="00E27576">
        <w:t>centralised, secure and cyber-resilient electronic services and systems for customs purposes</w:t>
      </w:r>
      <w:r>
        <w:t>. It also sets up a new decentralised agency, the European Union Customs Authority ('EU Customs Authority') as a central operational body for the coordinated governance of the Customs union.</w:t>
      </w:r>
    </w:p>
    <w:p w:rsidR="00AE2C30" w:rsidP="00AE2C30" w:rsidRDefault="00AE2C30" w14:paraId="29371A9E" w14:textId="77777777">
      <w:pPr>
        <w:pStyle w:val="Point123"/>
        <w:numPr>
          <w:ilvl w:val="0"/>
          <w:numId w:val="0"/>
        </w:numPr>
        <w:ind w:left="567"/>
        <w:sectPr w:rsidR="00AE2C30" w:rsidSect="00AE2C30">
          <w:headerReference w:type="even" r:id="R582c496b8fd54418"/>
          <w:headerReference w:type="default" r:id="R6b00f35769e24243"/>
          <w:footerReference w:type="even" r:id="Ra1f2840233654511"/>
          <w:headerReference w:type="first" r:id="R4fa06d5140764b1b"/>
          <w:footerReference w:type="first" r:id="Rb347bd6cf75d4372"/>
          <w:pgSz w:w="11907" w:h="16840" w:code="9"/>
          <w:pgMar w:top="1134" w:right="1134" w:bottom="1134" w:left="1134" w:header="567" w:footer="567" w:gutter="0"/>
          <w:cols w:space="720"/>
          <w:docGrid w:linePitch="360"/>
        </w:sectPr>
      </w:pPr>
    </w:p>
    <w:p w:rsidR="00AE2C30" w:rsidP="00AE2C30" w:rsidRDefault="00AE2C30" w14:paraId="4204E42F" w14:textId="77777777">
      <w:pPr>
        <w:pStyle w:val="HeadingIVX"/>
      </w:pPr>
      <w:r>
        <w:lastRenderedPageBreak/>
        <w:t>ANALYSIS OF THE COUNCIL'S POSITION AT FIRST READING</w:t>
      </w:r>
    </w:p>
    <w:p w:rsidRPr="00E96D9D" w:rsidR="00AE2C30" w:rsidP="00AE2C30" w:rsidRDefault="00AE2C30" w14:paraId="50B2AF2C" w14:textId="77777777">
      <w:pPr>
        <w:pStyle w:val="Point123"/>
        <w:tabs>
          <w:tab w:val="clear" w:pos="567"/>
        </w:tabs>
      </w:pPr>
      <w:r w:rsidRPr="00E96D9D">
        <w:t>The Council's position at first reading contains the following main elements on which an agreement has been found between the co-legislators:</w:t>
      </w:r>
    </w:p>
    <w:p w:rsidR="00AE2C30" w:rsidP="00AE2C30" w:rsidRDefault="00AE2C30" w14:paraId="71F70B7D" w14:textId="77777777">
      <w:pPr>
        <w:pStyle w:val="Point123"/>
        <w:tabs>
          <w:tab w:val="clear" w:pos="567"/>
        </w:tabs>
        <w:rPr>
          <w:lang w:eastAsia="fr-BE"/>
        </w:rPr>
      </w:pPr>
      <w:r>
        <w:rPr>
          <w:lang w:eastAsia="fr-BE"/>
        </w:rPr>
        <w:t xml:space="preserve">The Regulation defines the </w:t>
      </w:r>
      <w:r w:rsidRPr="00D13C47">
        <w:rPr>
          <w:b/>
          <w:bCs/>
          <w:lang w:eastAsia="fr-BE"/>
        </w:rPr>
        <w:t>mission of customs authorities</w:t>
      </w:r>
      <w:r>
        <w:rPr>
          <w:b/>
          <w:bCs/>
          <w:lang w:eastAsia="fr-BE"/>
        </w:rPr>
        <w:t xml:space="preserve"> </w:t>
      </w:r>
      <w:r w:rsidRPr="00A9680A">
        <w:rPr>
          <w:lang w:eastAsia="fr-BE"/>
        </w:rPr>
        <w:t>as</w:t>
      </w:r>
      <w:r w:rsidRPr="00D13C47">
        <w:rPr>
          <w:lang w:eastAsia="fr-BE"/>
        </w:rPr>
        <w:t xml:space="preserve"> collecting duties, combating fraud, facilitating legitimate </w:t>
      </w:r>
      <w:r>
        <w:rPr>
          <w:lang w:eastAsia="fr-BE"/>
        </w:rPr>
        <w:t>business activity, contributing to fair trade</w:t>
      </w:r>
      <w:r w:rsidRPr="00D13C47">
        <w:rPr>
          <w:lang w:eastAsia="fr-BE"/>
        </w:rPr>
        <w:t xml:space="preserve">, </w:t>
      </w:r>
      <w:r>
        <w:rPr>
          <w:lang w:eastAsia="fr-BE"/>
        </w:rPr>
        <w:t xml:space="preserve">as well as </w:t>
      </w:r>
      <w:r w:rsidRPr="00D13C47">
        <w:rPr>
          <w:lang w:eastAsia="fr-BE"/>
        </w:rPr>
        <w:t>protecting safety, health, the environment and other public interests in cooperation with other competent authorities.</w:t>
      </w:r>
    </w:p>
    <w:p w:rsidRPr="00D13C47" w:rsidR="00AE2C30" w:rsidP="00AE2C30" w:rsidRDefault="00AE2C30" w14:paraId="2D80B8D1" w14:textId="77777777">
      <w:pPr>
        <w:pStyle w:val="Point123"/>
        <w:tabs>
          <w:tab w:val="clear" w:pos="567"/>
        </w:tabs>
        <w:rPr>
          <w:lang w:eastAsia="fr-BE"/>
        </w:rPr>
      </w:pPr>
      <w:r w:rsidRPr="00D13C47">
        <w:rPr>
          <w:rFonts w:eastAsia="Times New Roman"/>
          <w:szCs w:val="24"/>
          <w:lang w:eastAsia="fr-BE"/>
        </w:rPr>
        <w:t>A comprehensive set of definitions is introduced or updated</w:t>
      </w:r>
      <w:r>
        <w:rPr>
          <w:rFonts w:eastAsia="Times New Roman"/>
          <w:szCs w:val="24"/>
          <w:lang w:eastAsia="fr-BE"/>
        </w:rPr>
        <w:t>,</w:t>
      </w:r>
      <w:r w:rsidRPr="00D13C47">
        <w:rPr>
          <w:rFonts w:eastAsia="Times New Roman"/>
          <w:szCs w:val="24"/>
          <w:lang w:eastAsia="fr-BE"/>
        </w:rPr>
        <w:t xml:space="preserve"> including key concepts</w:t>
      </w:r>
      <w:r>
        <w:rPr>
          <w:rFonts w:eastAsia="Times New Roman"/>
          <w:szCs w:val="24"/>
          <w:lang w:eastAsia="fr-BE"/>
        </w:rPr>
        <w:t>,</w:t>
      </w:r>
      <w:r w:rsidRPr="00D13C47">
        <w:rPr>
          <w:rFonts w:eastAsia="Times New Roman"/>
          <w:szCs w:val="24"/>
          <w:lang w:eastAsia="fr-BE"/>
        </w:rPr>
        <w:t xml:space="preserve"> such as "importer"</w:t>
      </w:r>
      <w:r>
        <w:rPr>
          <w:rFonts w:eastAsia="Times New Roman"/>
          <w:szCs w:val="24"/>
          <w:lang w:eastAsia="fr-BE"/>
        </w:rPr>
        <w:t>,</w:t>
      </w:r>
      <w:r w:rsidRPr="00D13C47">
        <w:rPr>
          <w:rFonts w:eastAsia="Times New Roman"/>
          <w:szCs w:val="24"/>
          <w:lang w:eastAsia="fr-BE"/>
        </w:rPr>
        <w:t xml:space="preserve"> "importer for distance sales"</w:t>
      </w:r>
      <w:r>
        <w:rPr>
          <w:rFonts w:eastAsia="Times New Roman"/>
          <w:szCs w:val="24"/>
          <w:lang w:eastAsia="fr-BE"/>
        </w:rPr>
        <w:t>,</w:t>
      </w:r>
      <w:r w:rsidRPr="00D13C47">
        <w:rPr>
          <w:rFonts w:eastAsia="Times New Roman"/>
          <w:szCs w:val="24"/>
          <w:lang w:eastAsia="fr-BE"/>
        </w:rPr>
        <w:t xml:space="preserve"> "exporter"</w:t>
      </w:r>
      <w:r>
        <w:rPr>
          <w:rFonts w:eastAsia="Times New Roman"/>
          <w:szCs w:val="24"/>
          <w:lang w:eastAsia="fr-BE"/>
        </w:rPr>
        <w:t>,</w:t>
      </w:r>
      <w:r w:rsidRPr="00D13C47">
        <w:rPr>
          <w:rFonts w:eastAsia="Times New Roman"/>
          <w:szCs w:val="24"/>
          <w:lang w:eastAsia="fr-BE"/>
        </w:rPr>
        <w:t xml:space="preserve"> "customs procedure"</w:t>
      </w:r>
      <w:r>
        <w:rPr>
          <w:rFonts w:eastAsia="Times New Roman"/>
          <w:szCs w:val="24"/>
          <w:lang w:eastAsia="fr-BE"/>
        </w:rPr>
        <w:t>,</w:t>
      </w:r>
      <w:r w:rsidRPr="00D13C47">
        <w:rPr>
          <w:rFonts w:eastAsia="Times New Roman"/>
          <w:szCs w:val="24"/>
          <w:lang w:eastAsia="fr-BE"/>
        </w:rPr>
        <w:t xml:space="preserve"> "risk"</w:t>
      </w:r>
      <w:r>
        <w:rPr>
          <w:rFonts w:eastAsia="Times New Roman"/>
          <w:szCs w:val="24"/>
          <w:lang w:eastAsia="fr-BE"/>
        </w:rPr>
        <w:t xml:space="preserve"> and</w:t>
      </w:r>
      <w:r w:rsidRPr="00D13C47">
        <w:rPr>
          <w:rFonts w:eastAsia="Times New Roman"/>
          <w:szCs w:val="24"/>
          <w:lang w:eastAsia="fr-BE"/>
        </w:rPr>
        <w:t xml:space="preserve"> "customs supervision"</w:t>
      </w:r>
      <w:r>
        <w:rPr>
          <w:rFonts w:eastAsia="Times New Roman"/>
          <w:szCs w:val="24"/>
          <w:lang w:eastAsia="fr-BE"/>
        </w:rPr>
        <w:t>.</w:t>
      </w:r>
      <w:r w:rsidRPr="00D13C47">
        <w:rPr>
          <w:rFonts w:eastAsia="Times New Roman"/>
          <w:szCs w:val="24"/>
          <w:lang w:eastAsia="fr-BE"/>
        </w:rPr>
        <w:t xml:space="preserve"> </w:t>
      </w:r>
      <w:r>
        <w:rPr>
          <w:rFonts w:eastAsia="Times New Roman"/>
          <w:szCs w:val="24"/>
          <w:lang w:eastAsia="fr-BE"/>
        </w:rPr>
        <w:t>I</w:t>
      </w:r>
      <w:r w:rsidRPr="00BC2B19">
        <w:rPr>
          <w:rFonts w:eastAsia="Times New Roman"/>
          <w:szCs w:val="24"/>
          <w:lang w:eastAsia="fr-BE"/>
        </w:rPr>
        <w:t>n order to strengthen customs supervision</w:t>
      </w:r>
      <w:r>
        <w:rPr>
          <w:rFonts w:eastAsia="Times New Roman"/>
          <w:szCs w:val="24"/>
          <w:lang w:eastAsia="fr-BE"/>
        </w:rPr>
        <w:t>,</w:t>
      </w:r>
      <w:r w:rsidRPr="00BC2B19" w:rsidDel="00BC2B19">
        <w:rPr>
          <w:rFonts w:eastAsia="Times New Roman"/>
          <w:szCs w:val="24"/>
          <w:lang w:eastAsia="fr-BE"/>
        </w:rPr>
        <w:t xml:space="preserve"> </w:t>
      </w:r>
      <w:r>
        <w:rPr>
          <w:rFonts w:eastAsia="Times New Roman"/>
          <w:szCs w:val="24"/>
          <w:lang w:eastAsia="fr-BE"/>
        </w:rPr>
        <w:t xml:space="preserve">pursuant to the new definitions, </w:t>
      </w:r>
      <w:r w:rsidRPr="00D13C47">
        <w:rPr>
          <w:rFonts w:eastAsia="Times New Roman"/>
          <w:szCs w:val="24"/>
          <w:lang w:eastAsia="fr-BE"/>
        </w:rPr>
        <w:t>importers and exporters</w:t>
      </w:r>
      <w:r>
        <w:rPr>
          <w:rFonts w:eastAsia="Times New Roman"/>
          <w:szCs w:val="24"/>
          <w:lang w:eastAsia="fr-BE"/>
        </w:rPr>
        <w:t xml:space="preserve"> are</w:t>
      </w:r>
      <w:r w:rsidRPr="00D13C47">
        <w:rPr>
          <w:rFonts w:eastAsia="Times New Roman"/>
          <w:szCs w:val="24"/>
          <w:lang w:eastAsia="fr-BE"/>
        </w:rPr>
        <w:t xml:space="preserve"> responsible</w:t>
      </w:r>
      <w:r>
        <w:rPr>
          <w:rFonts w:eastAsia="Times New Roman"/>
          <w:szCs w:val="24"/>
          <w:lang w:eastAsia="fr-BE"/>
        </w:rPr>
        <w:t xml:space="preserve"> vis-à-vis customs authorities to make sure that the goods comply </w:t>
      </w:r>
      <w:r w:rsidRPr="00BC2B19">
        <w:rPr>
          <w:rFonts w:eastAsia="Times New Roman"/>
          <w:szCs w:val="24"/>
          <w:lang w:eastAsia="fr-BE"/>
        </w:rPr>
        <w:t>with product specific legislation</w:t>
      </w:r>
      <w:r>
        <w:rPr>
          <w:rFonts w:eastAsia="Times New Roman"/>
          <w:szCs w:val="24"/>
          <w:lang w:eastAsia="fr-BE"/>
        </w:rPr>
        <w:t xml:space="preserve">. </w:t>
      </w:r>
      <w:r w:rsidRPr="00D13C47">
        <w:rPr>
          <w:rFonts w:eastAsia="Times New Roman"/>
          <w:szCs w:val="24"/>
          <w:lang w:eastAsia="fr-BE"/>
        </w:rPr>
        <w:t>The "importer for distance sales" concept creates a specific category for e-commerce operators selling goods from third countries into the Union.</w:t>
      </w:r>
    </w:p>
    <w:p w:rsidRPr="005F44B9" w:rsidR="00AE2C30" w:rsidP="00AE2C30" w:rsidRDefault="00AE2C30" w14:paraId="3E3EEDE3" w14:textId="77777777">
      <w:pPr>
        <w:pStyle w:val="Point123"/>
        <w:tabs>
          <w:tab w:val="clear" w:pos="567"/>
        </w:tabs>
        <w:rPr>
          <w:lang w:eastAsia="fr-BE"/>
        </w:rPr>
      </w:pPr>
      <w:r w:rsidRPr="00D13C47">
        <w:rPr>
          <w:rFonts w:eastAsia="Times New Roman"/>
          <w:szCs w:val="24"/>
          <w:lang w:eastAsia="fr-BE"/>
        </w:rPr>
        <w:t xml:space="preserve">Rules on </w:t>
      </w:r>
      <w:r w:rsidRPr="00D13C47">
        <w:rPr>
          <w:rFonts w:eastAsia="Times New Roman"/>
          <w:b/>
          <w:bCs/>
          <w:szCs w:val="24"/>
          <w:lang w:eastAsia="fr-BE"/>
        </w:rPr>
        <w:t>binding information decisions</w:t>
      </w:r>
      <w:r w:rsidRPr="00D13C47">
        <w:rPr>
          <w:rFonts w:eastAsia="Times New Roman"/>
          <w:szCs w:val="24"/>
          <w:lang w:eastAsia="fr-BE"/>
        </w:rPr>
        <w:t xml:space="preserve"> (covering tariff classification, origin, and valuation) are consolidated in one place. A new </w:t>
      </w:r>
      <w:r w:rsidRPr="00D13C47">
        <w:rPr>
          <w:rFonts w:eastAsia="Times New Roman"/>
          <w:b/>
          <w:bCs/>
          <w:szCs w:val="24"/>
          <w:lang w:eastAsia="fr-BE"/>
        </w:rPr>
        <w:t>Union handling fee</w:t>
      </w:r>
      <w:r>
        <w:rPr>
          <w:rFonts w:eastAsia="Times New Roman"/>
          <w:b/>
          <w:bCs/>
          <w:szCs w:val="24"/>
          <w:lang w:eastAsia="fr-BE"/>
        </w:rPr>
        <w:t>,</w:t>
      </w:r>
      <w:r w:rsidRPr="00D13C47">
        <w:rPr>
          <w:rFonts w:eastAsia="Times New Roman"/>
          <w:szCs w:val="24"/>
          <w:lang w:eastAsia="fr-BE"/>
        </w:rPr>
        <w:t xml:space="preserve"> </w:t>
      </w:r>
      <w:r w:rsidRPr="003D6601">
        <w:rPr>
          <w:rFonts w:eastAsia="Times New Roman"/>
          <w:szCs w:val="24"/>
          <w:lang w:eastAsia="fr-BE"/>
        </w:rPr>
        <w:t xml:space="preserve">a fixed amount per item for </w:t>
      </w:r>
      <w:r w:rsidRPr="00CC0154">
        <w:rPr>
          <w:rFonts w:eastAsia="Times New Roman"/>
          <w:szCs w:val="24"/>
          <w:lang w:eastAsia="fr-BE"/>
        </w:rPr>
        <w:t>goods sold in distance sales</w:t>
      </w:r>
      <w:r>
        <w:rPr>
          <w:rFonts w:eastAsia="Times New Roman"/>
          <w:szCs w:val="24"/>
          <w:lang w:eastAsia="fr-BE"/>
        </w:rPr>
        <w:t>,</w:t>
      </w:r>
      <w:r w:rsidRPr="00D13C47">
        <w:rPr>
          <w:rFonts w:eastAsia="Times New Roman"/>
          <w:szCs w:val="24"/>
          <w:lang w:eastAsia="fr-BE"/>
        </w:rPr>
        <w:t xml:space="preserve"> is introduced to cover </w:t>
      </w:r>
      <w:r>
        <w:rPr>
          <w:rFonts w:eastAsia="Times New Roman"/>
          <w:szCs w:val="24"/>
          <w:lang w:eastAsia="fr-BE"/>
        </w:rPr>
        <w:t xml:space="preserve">the costs for services </w:t>
      </w:r>
      <w:r w:rsidRPr="00CC0154">
        <w:rPr>
          <w:rFonts w:eastAsia="Times New Roman"/>
          <w:szCs w:val="24"/>
          <w:lang w:eastAsia="fr-BE"/>
        </w:rPr>
        <w:t xml:space="preserve">handling a request </w:t>
      </w:r>
      <w:r>
        <w:rPr>
          <w:rFonts w:eastAsia="Times New Roman"/>
          <w:szCs w:val="24"/>
          <w:lang w:eastAsia="fr-BE"/>
        </w:rPr>
        <w:t>to</w:t>
      </w:r>
      <w:r w:rsidRPr="00CC0154">
        <w:rPr>
          <w:rFonts w:eastAsia="Times New Roman"/>
          <w:szCs w:val="24"/>
          <w:lang w:eastAsia="fr-BE"/>
        </w:rPr>
        <w:t xml:space="preserve"> release </w:t>
      </w:r>
      <w:r>
        <w:rPr>
          <w:rFonts w:eastAsia="Times New Roman"/>
          <w:szCs w:val="24"/>
          <w:lang w:eastAsia="fr-BE"/>
        </w:rPr>
        <w:t xml:space="preserve">those goods </w:t>
      </w:r>
      <w:r w:rsidRPr="00CC0154">
        <w:rPr>
          <w:rFonts w:eastAsia="Times New Roman"/>
          <w:szCs w:val="24"/>
          <w:lang w:eastAsia="fr-BE"/>
        </w:rPr>
        <w:t>for free circulation</w:t>
      </w:r>
      <w:r w:rsidRPr="00D13C47">
        <w:rPr>
          <w:rFonts w:eastAsia="Times New Roman"/>
          <w:szCs w:val="24"/>
          <w:lang w:eastAsia="fr-BE"/>
        </w:rPr>
        <w:t>, with a lower fee applying to goods released from customs warehouses for distance sales.</w:t>
      </w:r>
    </w:p>
    <w:p w:rsidRPr="00FB3583" w:rsidR="00AE2C30" w:rsidP="00AE2C30" w:rsidRDefault="00AE2C30" w14:paraId="0F38EDA4" w14:textId="77777777">
      <w:pPr>
        <w:pStyle w:val="Point123"/>
        <w:rPr>
          <w:lang w:eastAsia="fr-BE"/>
        </w:rPr>
      </w:pPr>
      <w:r>
        <w:rPr>
          <w:lang w:eastAsia="fr-BE"/>
        </w:rPr>
        <w:t xml:space="preserve">The Regulation </w:t>
      </w:r>
      <w:r w:rsidRPr="00D13C47">
        <w:rPr>
          <w:lang w:eastAsia="fr-BE"/>
        </w:rPr>
        <w:t>sets out the rights and responsibilities of the main actors in customs processes.</w:t>
      </w:r>
      <w:r>
        <w:rPr>
          <w:lang w:eastAsia="fr-BE"/>
        </w:rPr>
        <w:t xml:space="preserve"> </w:t>
      </w:r>
      <w:r w:rsidRPr="00573BD9">
        <w:rPr>
          <w:lang w:eastAsia="fr-BE"/>
        </w:rPr>
        <w:t xml:space="preserve">As a general rule, </w:t>
      </w:r>
      <w:r w:rsidRPr="00573BD9">
        <w:rPr>
          <w:rFonts w:eastAsia="Times New Roman"/>
          <w:b/>
          <w:bCs/>
          <w:szCs w:val="24"/>
          <w:lang w:eastAsia="fr-BE"/>
        </w:rPr>
        <w:t>importers</w:t>
      </w:r>
      <w:r w:rsidRPr="00573BD9">
        <w:rPr>
          <w:rFonts w:eastAsia="Times New Roman"/>
          <w:szCs w:val="24"/>
          <w:lang w:eastAsia="fr-BE"/>
        </w:rPr>
        <w:t xml:space="preserve"> must be established in the customs territory of the Union, provide all necessary data to customs prior to release, ensure compliance of goods with all applicable legislation and pay customs duties. </w:t>
      </w:r>
      <w:r w:rsidRPr="00573BD9">
        <w:rPr>
          <w:rFonts w:eastAsia="Times New Roman"/>
          <w:b/>
          <w:bCs/>
          <w:szCs w:val="24"/>
          <w:lang w:eastAsia="fr-BE"/>
        </w:rPr>
        <w:t>Exporters</w:t>
      </w:r>
      <w:r w:rsidRPr="00573BD9">
        <w:rPr>
          <w:rFonts w:eastAsia="Times New Roman"/>
          <w:szCs w:val="24"/>
          <w:lang w:eastAsia="fr-BE"/>
        </w:rPr>
        <w:t xml:space="preserve"> have parallel obligations: providing required data before goods exit, ensuring compliance with applicable legislation, and, in general, being established in the Union. For both importers and exporters, the Regulation also provides certain exceptions to the requirement to be established in the Union.</w:t>
      </w:r>
    </w:p>
    <w:p w:rsidR="00AE2C30" w:rsidP="00AE2C30" w:rsidRDefault="00AE2C30" w14:paraId="16016DB2" w14:textId="77777777">
      <w:pPr>
        <w:pStyle w:val="Point123"/>
        <w:numPr>
          <w:ilvl w:val="0"/>
          <w:numId w:val="0"/>
        </w:numPr>
        <w:ind w:left="567"/>
        <w:rPr>
          <w:lang w:eastAsia="fr-BE"/>
        </w:rPr>
        <w:sectPr w:rsidR="00AE2C30" w:rsidSect="00AE2C30">
          <w:headerReference w:type="even" r:id="Refc776adae0f4e9b"/>
          <w:footerReference w:type="even" r:id="R8fe8a18d06674847"/>
          <w:headerReference w:type="first" r:id="Rece4c111a58349af"/>
          <w:footerReference w:type="first" r:id="R29279d903d51427d"/>
          <w:pgSz w:w="11907" w:h="16840" w:code="9"/>
          <w:pgMar w:top="1134" w:right="1134" w:bottom="1134" w:left="1134" w:header="567" w:footer="567" w:gutter="0"/>
          <w:cols w:space="720"/>
          <w:docGrid w:linePitch="360"/>
        </w:sectPr>
      </w:pPr>
    </w:p>
    <w:p w:rsidRPr="00573BD9" w:rsidR="00AE2C30" w:rsidP="00AE2C30" w:rsidRDefault="00AE2C30" w14:paraId="4FD9F338" w14:textId="77777777">
      <w:pPr>
        <w:pStyle w:val="Point123"/>
        <w:tabs>
          <w:tab w:val="clear" w:pos="567"/>
        </w:tabs>
        <w:rPr>
          <w:lang w:eastAsia="fr-BE"/>
        </w:rPr>
      </w:pPr>
      <w:r w:rsidRPr="00573BD9">
        <w:rPr>
          <w:lang w:eastAsia="fr-BE"/>
        </w:rPr>
        <w:lastRenderedPageBreak/>
        <w:t xml:space="preserve">The </w:t>
      </w:r>
      <w:r w:rsidRPr="00573BD9">
        <w:rPr>
          <w:b/>
          <w:bCs/>
          <w:lang w:eastAsia="fr-BE"/>
        </w:rPr>
        <w:t>Authorised Economic Operator (AEO)</w:t>
      </w:r>
      <w:r w:rsidRPr="00573BD9">
        <w:rPr>
          <w:lang w:eastAsia="fr-BE"/>
        </w:rPr>
        <w:t xml:space="preserve"> scheme is reformed. The criteria are tightened and monitoring requirements reinforced. The customs authorities are obliged to conduct in-depth monitoring at least once every three years.</w:t>
      </w:r>
      <w:r w:rsidRPr="00573BD9">
        <w:t xml:space="preserve"> The customs authorities may grant one or both of types of authorisations - AEO for customs simplifications, which enables the holder to benefit from such simplifications; and AEO for </w:t>
      </w:r>
      <w:r w:rsidRPr="00573BD9">
        <w:rPr>
          <w:rFonts w:eastAsia="Times New Roman"/>
          <w:szCs w:val="24"/>
          <w:lang w:eastAsia="fr-BE"/>
        </w:rPr>
        <w:t>safety and security, which entitles the holder to facilitation measures in respect of safety and security.</w:t>
      </w:r>
    </w:p>
    <w:p w:rsidRPr="005F44B9" w:rsidR="00AE2C30" w:rsidP="00AE2C30" w:rsidRDefault="00AE2C30" w14:paraId="775495F7" w14:textId="77777777">
      <w:pPr>
        <w:pStyle w:val="Point123"/>
        <w:tabs>
          <w:tab w:val="clear" w:pos="567"/>
        </w:tabs>
        <w:rPr>
          <w:lang w:eastAsia="fr-BE"/>
        </w:rPr>
      </w:pPr>
      <w:r w:rsidRPr="000D00CB">
        <w:rPr>
          <w:rFonts w:eastAsia="Times New Roman"/>
          <w:szCs w:val="24"/>
          <w:lang w:eastAsia="fr-BE"/>
        </w:rPr>
        <w:t xml:space="preserve">A </w:t>
      </w:r>
      <w:r w:rsidRPr="000D00CB">
        <w:rPr>
          <w:rFonts w:eastAsia="Times New Roman"/>
          <w:b/>
          <w:bCs/>
          <w:szCs w:val="24"/>
          <w:lang w:eastAsia="fr-BE"/>
        </w:rPr>
        <w:t>Trust and Check (T&amp;C)</w:t>
      </w:r>
      <w:r>
        <w:rPr>
          <w:rFonts w:eastAsia="Times New Roman"/>
          <w:b/>
          <w:bCs/>
          <w:szCs w:val="24"/>
          <w:lang w:eastAsia="fr-BE"/>
        </w:rPr>
        <w:t xml:space="preserve"> </w:t>
      </w:r>
      <w:r w:rsidRPr="000D00CB">
        <w:rPr>
          <w:rFonts w:eastAsia="Times New Roman"/>
          <w:b/>
          <w:bCs/>
          <w:szCs w:val="24"/>
          <w:lang w:eastAsia="fr-BE"/>
        </w:rPr>
        <w:t>trader</w:t>
      </w:r>
      <w:r w:rsidRPr="000D00CB">
        <w:rPr>
          <w:rFonts w:eastAsia="Times New Roman"/>
          <w:szCs w:val="24"/>
          <w:lang w:eastAsia="fr-BE"/>
        </w:rPr>
        <w:t xml:space="preserve"> status</w:t>
      </w:r>
      <w:r>
        <w:rPr>
          <w:rFonts w:eastAsia="Times New Roman"/>
          <w:szCs w:val="24"/>
          <w:lang w:eastAsia="fr-BE"/>
        </w:rPr>
        <w:t xml:space="preserve"> is introduced</w:t>
      </w:r>
      <w:r w:rsidRPr="000D00CB">
        <w:rPr>
          <w:rFonts w:eastAsia="Times New Roman"/>
          <w:szCs w:val="24"/>
          <w:lang w:eastAsia="fr-BE"/>
        </w:rPr>
        <w:t xml:space="preserve">. T&amp;C traders must meet stricter criteria, including providing customs authorities with </w:t>
      </w:r>
      <w:r>
        <w:rPr>
          <w:rFonts w:eastAsia="Times New Roman"/>
          <w:szCs w:val="24"/>
          <w:lang w:eastAsia="fr-BE"/>
        </w:rPr>
        <w:t xml:space="preserve">almost </w:t>
      </w:r>
      <w:r w:rsidRPr="000D00CB">
        <w:rPr>
          <w:rFonts w:eastAsia="Times New Roman"/>
          <w:szCs w:val="24"/>
          <w:lang w:eastAsia="fr-BE"/>
        </w:rPr>
        <w:t>real-time access to their electronic records and operational data. In return, they benefit from streamlined procedures</w:t>
      </w:r>
      <w:r>
        <w:rPr>
          <w:rFonts w:eastAsia="Times New Roman"/>
          <w:szCs w:val="24"/>
          <w:lang w:eastAsia="fr-BE"/>
        </w:rPr>
        <w:t xml:space="preserve"> such as releasing</w:t>
      </w:r>
      <w:r w:rsidRPr="008E14B3">
        <w:rPr>
          <w:rFonts w:eastAsia="Times New Roman"/>
          <w:szCs w:val="24"/>
          <w:lang w:eastAsia="fr-BE"/>
        </w:rPr>
        <w:t xml:space="preserve"> the goods </w:t>
      </w:r>
      <w:r>
        <w:rPr>
          <w:rFonts w:eastAsia="Times New Roman"/>
          <w:szCs w:val="24"/>
          <w:lang w:eastAsia="fr-BE"/>
        </w:rPr>
        <w:t xml:space="preserve">without waiting for customs intervention </w:t>
      </w:r>
      <w:r w:rsidRPr="00F40557">
        <w:rPr>
          <w:rFonts w:eastAsia="Times New Roman"/>
          <w:szCs w:val="24"/>
          <w:lang w:eastAsia="fr-BE"/>
        </w:rPr>
        <w:t>provided the necessary information is available in advance</w:t>
      </w:r>
      <w:r w:rsidRPr="000D00CB">
        <w:rPr>
          <w:rFonts w:eastAsia="Times New Roman"/>
          <w:szCs w:val="24"/>
          <w:lang w:eastAsia="fr-BE"/>
        </w:rPr>
        <w:t xml:space="preserve">, defer customs debt payment, and benefit from reduced controls. A safeguard mechanism </w:t>
      </w:r>
      <w:r>
        <w:rPr>
          <w:rFonts w:eastAsia="Times New Roman"/>
          <w:szCs w:val="24"/>
          <w:lang w:eastAsia="fr-BE"/>
        </w:rPr>
        <w:t xml:space="preserve">is introduced to </w:t>
      </w:r>
      <w:r w:rsidRPr="00F40557">
        <w:rPr>
          <w:rFonts w:eastAsia="Times New Roman"/>
          <w:szCs w:val="24"/>
          <w:lang w:eastAsia="fr-BE"/>
        </w:rPr>
        <w:t>verify the compliance with the T&amp;</w:t>
      </w:r>
      <w:r>
        <w:rPr>
          <w:rFonts w:eastAsia="Times New Roman"/>
          <w:szCs w:val="24"/>
          <w:lang w:eastAsia="fr-BE"/>
        </w:rPr>
        <w:t>C</w:t>
      </w:r>
      <w:r w:rsidRPr="00F40557">
        <w:rPr>
          <w:rFonts w:eastAsia="Times New Roman"/>
          <w:szCs w:val="24"/>
          <w:lang w:eastAsia="fr-BE"/>
        </w:rPr>
        <w:t xml:space="preserve"> status</w:t>
      </w:r>
      <w:r>
        <w:rPr>
          <w:rFonts w:eastAsia="Times New Roman"/>
          <w:szCs w:val="24"/>
          <w:lang w:eastAsia="fr-BE"/>
        </w:rPr>
        <w:t xml:space="preserve"> criteria</w:t>
      </w:r>
      <w:r w:rsidRPr="00F40557">
        <w:rPr>
          <w:rFonts w:eastAsia="Times New Roman"/>
          <w:szCs w:val="24"/>
          <w:lang w:eastAsia="fr-BE"/>
        </w:rPr>
        <w:t>.</w:t>
      </w:r>
      <w:r>
        <w:rPr>
          <w:rFonts w:eastAsia="Times New Roman"/>
          <w:szCs w:val="24"/>
          <w:lang w:eastAsia="fr-BE"/>
        </w:rPr>
        <w:t xml:space="preserve"> T</w:t>
      </w:r>
      <w:r w:rsidRPr="000D00CB">
        <w:rPr>
          <w:rFonts w:eastAsia="Times New Roman"/>
          <w:szCs w:val="24"/>
          <w:lang w:eastAsia="fr-BE"/>
        </w:rPr>
        <w:t>he EU Customs Authority</w:t>
      </w:r>
      <w:r>
        <w:rPr>
          <w:rFonts w:eastAsia="Times New Roman"/>
          <w:szCs w:val="24"/>
          <w:lang w:eastAsia="fr-BE"/>
        </w:rPr>
        <w:t xml:space="preserve"> may recommend, </w:t>
      </w:r>
      <w:r w:rsidRPr="000D00CB">
        <w:rPr>
          <w:rFonts w:eastAsia="Times New Roman"/>
          <w:szCs w:val="24"/>
          <w:lang w:eastAsia="fr-BE"/>
        </w:rPr>
        <w:t>and ultimately the Commission</w:t>
      </w:r>
      <w:r>
        <w:rPr>
          <w:rFonts w:eastAsia="Times New Roman"/>
          <w:szCs w:val="24"/>
          <w:lang w:eastAsia="fr-BE"/>
        </w:rPr>
        <w:t xml:space="preserve"> </w:t>
      </w:r>
      <w:r w:rsidRPr="00F40557">
        <w:rPr>
          <w:rFonts w:eastAsia="Times New Roman"/>
          <w:szCs w:val="24"/>
          <w:lang w:eastAsia="fr-BE"/>
        </w:rPr>
        <w:t>may</w:t>
      </w:r>
      <w:r>
        <w:rPr>
          <w:rFonts w:eastAsia="Times New Roman"/>
          <w:szCs w:val="24"/>
          <w:lang w:eastAsia="fr-BE"/>
        </w:rPr>
        <w:t xml:space="preserve"> request </w:t>
      </w:r>
      <w:r w:rsidRPr="00BD7D4C">
        <w:rPr>
          <w:rFonts w:eastAsia="Times New Roman"/>
          <w:szCs w:val="24"/>
          <w:lang w:eastAsia="fr-BE"/>
        </w:rPr>
        <w:t xml:space="preserve">the competent customs authority </w:t>
      </w:r>
      <w:r>
        <w:rPr>
          <w:rFonts w:eastAsia="Times New Roman"/>
          <w:szCs w:val="24"/>
          <w:lang w:eastAsia="fr-BE"/>
        </w:rPr>
        <w:t xml:space="preserve">to </w:t>
      </w:r>
      <w:r w:rsidRPr="00BD7D4C">
        <w:rPr>
          <w:rFonts w:eastAsia="Times New Roman"/>
          <w:szCs w:val="24"/>
          <w:lang w:eastAsia="fr-BE"/>
        </w:rPr>
        <w:t>suspen</w:t>
      </w:r>
      <w:r>
        <w:rPr>
          <w:rFonts w:eastAsia="Times New Roman"/>
          <w:szCs w:val="24"/>
          <w:lang w:eastAsia="fr-BE"/>
        </w:rPr>
        <w:t>d</w:t>
      </w:r>
      <w:r w:rsidRPr="00BD7D4C">
        <w:rPr>
          <w:rFonts w:eastAsia="Times New Roman"/>
          <w:szCs w:val="24"/>
          <w:lang w:eastAsia="fr-BE"/>
        </w:rPr>
        <w:t xml:space="preserve"> or revok</w:t>
      </w:r>
      <w:r>
        <w:rPr>
          <w:rFonts w:eastAsia="Times New Roman"/>
          <w:szCs w:val="24"/>
          <w:lang w:eastAsia="fr-BE"/>
        </w:rPr>
        <w:t xml:space="preserve">e a </w:t>
      </w:r>
      <w:r w:rsidRPr="00BD7D4C">
        <w:rPr>
          <w:rFonts w:eastAsia="Times New Roman"/>
          <w:szCs w:val="24"/>
          <w:lang w:eastAsia="fr-BE"/>
        </w:rPr>
        <w:t>T&amp;C status.</w:t>
      </w:r>
    </w:p>
    <w:p w:rsidRPr="000D00CB" w:rsidR="00AE2C30" w:rsidP="00AE2C30" w:rsidRDefault="00AE2C30" w14:paraId="030A10C8" w14:textId="77777777">
      <w:pPr>
        <w:pStyle w:val="Point123"/>
        <w:rPr>
          <w:lang w:eastAsia="fr-BE"/>
        </w:rPr>
      </w:pPr>
      <w:r w:rsidRPr="005F44B9">
        <w:rPr>
          <w:rFonts w:eastAsia="Times New Roman"/>
          <w:b/>
          <w:bCs/>
          <w:szCs w:val="24"/>
          <w:lang w:eastAsia="fr-BE"/>
        </w:rPr>
        <w:t>Customs representatives</w:t>
      </w:r>
      <w:r w:rsidRPr="005F44B9">
        <w:rPr>
          <w:rFonts w:eastAsia="Times New Roman"/>
          <w:szCs w:val="24"/>
          <w:lang w:eastAsia="fr-BE"/>
        </w:rPr>
        <w:t xml:space="preserve"> may act directly or indirectly. Indirect representatives acting on behalf of importers/exporters established outside of the Union assume all obligations of those importers/exporters. Only AEO or T&amp;C status representatives may act cross-border or handle distance sales importations.</w:t>
      </w:r>
    </w:p>
    <w:p w:rsidRPr="00FB3583" w:rsidR="00AE2C30" w:rsidP="00AE2C30" w:rsidRDefault="00AE2C30" w14:paraId="34327970" w14:textId="77777777">
      <w:pPr>
        <w:pStyle w:val="Point123"/>
        <w:tabs>
          <w:tab w:val="clear" w:pos="567"/>
        </w:tabs>
        <w:rPr>
          <w:lang w:eastAsia="fr-BE"/>
        </w:rPr>
      </w:pPr>
      <w:r w:rsidRPr="00573BD9">
        <w:rPr>
          <w:rFonts w:eastAsia="Times New Roman"/>
          <w:szCs w:val="24"/>
          <w:lang w:eastAsia="fr-BE"/>
        </w:rPr>
        <w:t>Special attention</w:t>
      </w:r>
      <w:r w:rsidRPr="000D00CB">
        <w:rPr>
          <w:rFonts w:eastAsia="Times New Roman"/>
          <w:szCs w:val="24"/>
          <w:lang w:eastAsia="fr-BE"/>
        </w:rPr>
        <w:t xml:space="preserve"> is given to </w:t>
      </w:r>
      <w:r w:rsidRPr="00E81FEB">
        <w:rPr>
          <w:rFonts w:eastAsia="Times New Roman"/>
          <w:szCs w:val="24"/>
          <w:lang w:eastAsia="fr-BE"/>
        </w:rPr>
        <w:t>micro, small and medium-sized enterprises</w:t>
      </w:r>
      <w:r>
        <w:rPr>
          <w:rFonts w:eastAsia="Times New Roman"/>
          <w:szCs w:val="24"/>
          <w:lang w:eastAsia="fr-BE"/>
        </w:rPr>
        <w:t xml:space="preserve"> t</w:t>
      </w:r>
      <w:r w:rsidRPr="000D00CB">
        <w:rPr>
          <w:rFonts w:eastAsia="Times New Roman"/>
          <w:szCs w:val="24"/>
          <w:lang w:eastAsia="fr-BE"/>
        </w:rPr>
        <w:t xml:space="preserve">o facilitate </w:t>
      </w:r>
      <w:r>
        <w:rPr>
          <w:rFonts w:eastAsia="Times New Roman"/>
          <w:szCs w:val="24"/>
          <w:lang w:eastAsia="fr-BE"/>
        </w:rPr>
        <w:t xml:space="preserve">their </w:t>
      </w:r>
      <w:r w:rsidRPr="000D00CB">
        <w:rPr>
          <w:rFonts w:eastAsia="Times New Roman"/>
          <w:szCs w:val="24"/>
          <w:lang w:eastAsia="fr-BE"/>
        </w:rPr>
        <w:t>access to AEO and T&amp;C status</w:t>
      </w:r>
      <w:r>
        <w:rPr>
          <w:rFonts w:eastAsia="Times New Roman"/>
          <w:szCs w:val="24"/>
          <w:lang w:eastAsia="fr-BE"/>
        </w:rPr>
        <w:t xml:space="preserve">. For that purpose, the </w:t>
      </w:r>
      <w:r w:rsidRPr="00E81FEB">
        <w:rPr>
          <w:rFonts w:eastAsia="Times New Roman"/>
          <w:szCs w:val="24"/>
          <w:lang w:eastAsia="fr-BE"/>
        </w:rPr>
        <w:t xml:space="preserve">customs authorities </w:t>
      </w:r>
      <w:r>
        <w:rPr>
          <w:rFonts w:eastAsia="Times New Roman"/>
          <w:szCs w:val="24"/>
          <w:lang w:eastAsia="fr-BE"/>
        </w:rPr>
        <w:t xml:space="preserve">will </w:t>
      </w:r>
      <w:r w:rsidRPr="00E81FEB">
        <w:rPr>
          <w:rFonts w:eastAsia="Times New Roman"/>
          <w:szCs w:val="24"/>
          <w:lang w:eastAsia="fr-BE"/>
        </w:rPr>
        <w:t>take into account the</w:t>
      </w:r>
      <w:r>
        <w:rPr>
          <w:rFonts w:eastAsia="Times New Roman"/>
          <w:szCs w:val="24"/>
          <w:lang w:eastAsia="fr-BE"/>
        </w:rPr>
        <w:t>ir</w:t>
      </w:r>
      <w:r w:rsidRPr="00E81FEB">
        <w:rPr>
          <w:rFonts w:eastAsia="Times New Roman"/>
          <w:szCs w:val="24"/>
          <w:lang w:eastAsia="fr-BE"/>
        </w:rPr>
        <w:t xml:space="preserve"> specific characteristics</w:t>
      </w:r>
      <w:r>
        <w:rPr>
          <w:rFonts w:eastAsia="Times New Roman"/>
          <w:szCs w:val="24"/>
          <w:lang w:eastAsia="fr-BE"/>
        </w:rPr>
        <w:t xml:space="preserve"> and the Commission will develop </w:t>
      </w:r>
      <w:r w:rsidRPr="00E81FEB">
        <w:rPr>
          <w:rFonts w:eastAsia="Times New Roman"/>
          <w:szCs w:val="24"/>
          <w:lang w:eastAsia="fr-BE"/>
        </w:rPr>
        <w:t>guidelines</w:t>
      </w:r>
      <w:r>
        <w:rPr>
          <w:rFonts w:eastAsia="Times New Roman"/>
          <w:szCs w:val="24"/>
          <w:lang w:eastAsia="fr-BE"/>
        </w:rPr>
        <w:t>.</w:t>
      </w:r>
    </w:p>
    <w:p w:rsidR="00AE2C30" w:rsidP="00AE2C30" w:rsidRDefault="00AE2C30" w14:paraId="0F697AAF" w14:textId="77777777">
      <w:pPr>
        <w:pStyle w:val="Point123"/>
        <w:numPr>
          <w:ilvl w:val="0"/>
          <w:numId w:val="0"/>
        </w:numPr>
        <w:ind w:left="567"/>
        <w:rPr>
          <w:lang w:eastAsia="fr-BE"/>
        </w:rPr>
        <w:sectPr w:rsidR="00AE2C30" w:rsidSect="00AE2C30">
          <w:headerReference w:type="even" r:id="R6e382e425bdc47be"/>
          <w:footerReference w:type="even" r:id="R52473ff205884845"/>
          <w:headerReference w:type="first" r:id="R577a23fe8b6a43ab"/>
          <w:footerReference w:type="first" r:id="R8c43b3a62d8d4003"/>
          <w:pgSz w:w="11907" w:h="16840" w:code="9"/>
          <w:pgMar w:top="1134" w:right="1134" w:bottom="1134" w:left="1134" w:header="567" w:footer="567" w:gutter="0"/>
          <w:cols w:space="720"/>
          <w:docGrid w:linePitch="360"/>
        </w:sectPr>
      </w:pPr>
    </w:p>
    <w:p w:rsidRPr="00FB3583" w:rsidR="00AE2C30" w:rsidP="00AE2C30" w:rsidRDefault="00AE2C30" w14:paraId="5C945082" w14:textId="77777777">
      <w:pPr>
        <w:pStyle w:val="Point123"/>
        <w:tabs>
          <w:tab w:val="clear" w:pos="567"/>
        </w:tabs>
        <w:rPr>
          <w:lang w:eastAsia="fr-BE"/>
        </w:rPr>
      </w:pPr>
      <w:r w:rsidRPr="00D13C47">
        <w:rPr>
          <w:lang w:eastAsia="fr-BE"/>
        </w:rPr>
        <w:lastRenderedPageBreak/>
        <w:t>Th</w:t>
      </w:r>
      <w:r>
        <w:rPr>
          <w:lang w:eastAsia="fr-BE"/>
        </w:rPr>
        <w:t xml:space="preserve">e Regulation </w:t>
      </w:r>
      <w:r w:rsidRPr="00D13C47">
        <w:rPr>
          <w:lang w:eastAsia="fr-BE"/>
        </w:rPr>
        <w:t>establishes the legal and technical framework</w:t>
      </w:r>
      <w:r>
        <w:rPr>
          <w:lang w:eastAsia="fr-BE"/>
        </w:rPr>
        <w:t xml:space="preserve">, </w:t>
      </w:r>
      <w:r w:rsidRPr="00E05402">
        <w:rPr>
          <w:lang w:eastAsia="fr-BE"/>
        </w:rPr>
        <w:t>as well as governance</w:t>
      </w:r>
      <w:r>
        <w:rPr>
          <w:lang w:eastAsia="fr-BE"/>
        </w:rPr>
        <w:t xml:space="preserve">, </w:t>
      </w:r>
      <w:r w:rsidRPr="00D13C47">
        <w:rPr>
          <w:lang w:eastAsia="fr-BE"/>
        </w:rPr>
        <w:t xml:space="preserve">for the </w:t>
      </w:r>
      <w:r w:rsidRPr="00A81755">
        <w:rPr>
          <w:b/>
          <w:bCs/>
          <w:lang w:eastAsia="fr-BE"/>
        </w:rPr>
        <w:t>EU Customs Data Hub</w:t>
      </w:r>
      <w:r>
        <w:rPr>
          <w:b/>
          <w:bCs/>
          <w:lang w:eastAsia="fr-BE"/>
        </w:rPr>
        <w:t xml:space="preserve">. </w:t>
      </w:r>
      <w:r>
        <w:rPr>
          <w:lang w:eastAsia="fr-BE"/>
        </w:rPr>
        <w:t xml:space="preserve">It provides </w:t>
      </w:r>
      <w:r w:rsidRPr="00D13C47">
        <w:rPr>
          <w:lang w:eastAsia="fr-BE"/>
        </w:rPr>
        <w:t xml:space="preserve">a centralised, secure, interoperable digital platform </w:t>
      </w:r>
      <w:r>
        <w:rPr>
          <w:lang w:eastAsia="fr-BE"/>
        </w:rPr>
        <w:t xml:space="preserve">aimed to </w:t>
      </w:r>
      <w:r w:rsidRPr="00D13C47">
        <w:rPr>
          <w:lang w:eastAsia="fr-BE"/>
        </w:rPr>
        <w:t>replac</w:t>
      </w:r>
      <w:r>
        <w:rPr>
          <w:lang w:eastAsia="fr-BE"/>
        </w:rPr>
        <w:t xml:space="preserve">e </w:t>
      </w:r>
      <w:r w:rsidRPr="00D13C47">
        <w:rPr>
          <w:lang w:eastAsia="fr-BE"/>
        </w:rPr>
        <w:t>the national customs IT systems</w:t>
      </w:r>
      <w:r>
        <w:rPr>
          <w:lang w:eastAsia="fr-BE"/>
        </w:rPr>
        <w:t xml:space="preserve"> </w:t>
      </w:r>
      <w:r>
        <w:t>for collecting, processing and exchanging information relevant for implementing customs legislation</w:t>
      </w:r>
      <w:r w:rsidRPr="00D13C47">
        <w:rPr>
          <w:lang w:eastAsia="fr-BE"/>
        </w:rPr>
        <w:t>.</w:t>
      </w:r>
      <w:r>
        <w:rPr>
          <w:lang w:eastAsia="fr-BE"/>
        </w:rPr>
        <w:t xml:space="preserve"> </w:t>
      </w:r>
      <w:r>
        <w:rPr>
          <w:rFonts w:eastAsia="Times New Roman"/>
          <w:szCs w:val="24"/>
          <w:lang w:eastAsia="fr-BE"/>
        </w:rPr>
        <w:t xml:space="preserve">The </w:t>
      </w:r>
      <w:r w:rsidRPr="00C5364B">
        <w:rPr>
          <w:rFonts w:eastAsia="Times New Roman"/>
          <w:b/>
          <w:bCs/>
          <w:szCs w:val="24"/>
          <w:lang w:eastAsia="fr-BE"/>
        </w:rPr>
        <w:t>digital sovereignty</w:t>
      </w:r>
      <w:r>
        <w:rPr>
          <w:rFonts w:eastAsia="Times New Roman"/>
          <w:szCs w:val="24"/>
          <w:lang w:eastAsia="fr-BE"/>
        </w:rPr>
        <w:t xml:space="preserve"> of the EU Data Customs Hub is ensured </w:t>
      </w:r>
      <w:r w:rsidRPr="00FD3625">
        <w:rPr>
          <w:rFonts w:eastAsia="Times New Roman"/>
          <w:szCs w:val="24"/>
          <w:lang w:eastAsia="fr-BE"/>
        </w:rPr>
        <w:t xml:space="preserve">by establishing a comprehensive framework </w:t>
      </w:r>
      <w:r>
        <w:rPr>
          <w:rFonts w:eastAsia="Times New Roman"/>
          <w:szCs w:val="24"/>
          <w:lang w:eastAsia="fr-BE"/>
        </w:rPr>
        <w:t xml:space="preserve">of </w:t>
      </w:r>
      <w:r w:rsidRPr="00FD3625">
        <w:rPr>
          <w:rFonts w:eastAsia="Times New Roman"/>
          <w:szCs w:val="24"/>
          <w:lang w:eastAsia="fr-BE"/>
        </w:rPr>
        <w:t>legal, technical, organisational, and contractual safeguard</w:t>
      </w:r>
      <w:r>
        <w:rPr>
          <w:rFonts w:eastAsia="Times New Roman"/>
          <w:szCs w:val="24"/>
          <w:lang w:eastAsia="fr-BE"/>
        </w:rPr>
        <w:t xml:space="preserve">s. It will be </w:t>
      </w:r>
      <w:r w:rsidRPr="004D5F6C">
        <w:rPr>
          <w:rFonts w:eastAsia="Times New Roman"/>
          <w:szCs w:val="24"/>
          <w:lang w:eastAsia="fr-BE"/>
        </w:rPr>
        <w:t xml:space="preserve">designed </w:t>
      </w:r>
      <w:r>
        <w:rPr>
          <w:rFonts w:eastAsia="Times New Roman"/>
          <w:szCs w:val="24"/>
          <w:lang w:eastAsia="fr-BE"/>
        </w:rPr>
        <w:t xml:space="preserve">in a way </w:t>
      </w:r>
      <w:r w:rsidRPr="004D5F6C">
        <w:rPr>
          <w:rFonts w:eastAsia="Times New Roman"/>
          <w:szCs w:val="24"/>
          <w:lang w:eastAsia="fr-BE"/>
        </w:rPr>
        <w:t>to ensure that the data is protected</w:t>
      </w:r>
      <w:r>
        <w:rPr>
          <w:rFonts w:eastAsia="Times New Roman"/>
          <w:szCs w:val="24"/>
          <w:lang w:eastAsia="fr-BE"/>
        </w:rPr>
        <w:t xml:space="preserve">. Its </w:t>
      </w:r>
      <w:r w:rsidRPr="00077718">
        <w:rPr>
          <w:rFonts w:eastAsia="Times New Roman"/>
          <w:szCs w:val="24"/>
          <w:lang w:eastAsia="fr-BE"/>
        </w:rPr>
        <w:t xml:space="preserve">infrastructure </w:t>
      </w:r>
      <w:r>
        <w:rPr>
          <w:rFonts w:eastAsia="Times New Roman"/>
          <w:szCs w:val="24"/>
          <w:lang w:eastAsia="fr-BE"/>
        </w:rPr>
        <w:t xml:space="preserve">will be located within the territory of the Union and will </w:t>
      </w:r>
      <w:r w:rsidRPr="00FD3625">
        <w:rPr>
          <w:rFonts w:eastAsia="Times New Roman"/>
          <w:szCs w:val="24"/>
          <w:lang w:eastAsia="fr-BE"/>
        </w:rPr>
        <w:t>be solely controlled and administered by the Commission or the EU Customs Authority</w:t>
      </w:r>
      <w:r>
        <w:rPr>
          <w:rFonts w:eastAsia="Times New Roman"/>
          <w:szCs w:val="24"/>
          <w:lang w:eastAsia="fr-BE"/>
        </w:rPr>
        <w:t xml:space="preserve">. </w:t>
      </w:r>
      <w:r w:rsidRPr="003955AA">
        <w:rPr>
          <w:rFonts w:eastAsia="Times New Roman"/>
          <w:szCs w:val="24"/>
          <w:lang w:eastAsia="fr-BE"/>
        </w:rPr>
        <w:t xml:space="preserve">Suppliers and service providers (including subcontractors) performing tasks related to the development, hosting, operation and maintenance of the EU Customs Data Hub </w:t>
      </w:r>
      <w:r>
        <w:rPr>
          <w:rFonts w:eastAsia="Times New Roman"/>
          <w:szCs w:val="24"/>
          <w:lang w:eastAsia="fr-BE"/>
        </w:rPr>
        <w:t>are obliged to</w:t>
      </w:r>
      <w:r w:rsidRPr="003955AA">
        <w:rPr>
          <w:rFonts w:eastAsia="Times New Roman"/>
          <w:szCs w:val="24"/>
          <w:lang w:eastAsia="fr-BE"/>
        </w:rPr>
        <w:t xml:space="preserve"> be legally established in the Union and must not be directly or indirectly controlled by a third-country undertaking.</w:t>
      </w:r>
    </w:p>
    <w:p w:rsidRPr="00FB3583" w:rsidR="00AE2C30" w:rsidP="00AE2C30" w:rsidRDefault="00AE2C30" w14:paraId="40E16943" w14:textId="77777777">
      <w:pPr>
        <w:pStyle w:val="Point123"/>
        <w:rPr>
          <w:rFonts w:eastAsia="Times New Roman"/>
          <w:szCs w:val="24"/>
          <w:lang w:eastAsia="fr-BE"/>
        </w:rPr>
      </w:pPr>
      <w:r w:rsidRPr="00FB3583">
        <w:rPr>
          <w:rFonts w:eastAsia="Times New Roman"/>
          <w:szCs w:val="24"/>
          <w:lang w:eastAsia="fr-BE"/>
        </w:rPr>
        <w:t xml:space="preserve">Strict rules will govern </w:t>
      </w:r>
      <w:r w:rsidRPr="00FB3583">
        <w:rPr>
          <w:rFonts w:eastAsia="Times New Roman"/>
          <w:b/>
          <w:bCs/>
          <w:szCs w:val="24"/>
          <w:lang w:eastAsia="fr-BE"/>
        </w:rPr>
        <w:t>data access</w:t>
      </w:r>
      <w:r w:rsidRPr="00FB3583">
        <w:rPr>
          <w:rFonts w:eastAsia="Times New Roman"/>
          <w:szCs w:val="24"/>
          <w:lang w:eastAsia="fr-BE"/>
        </w:rPr>
        <w:t xml:space="preserve">: only designated authorities may access the EU Customs Data Hub for defined purposes. These include customs authorities, the Commission, the EU Customs Authority, OLAF, the EPPO, Europol, Frontex, national tax and statistical authorities, food safety authorities and market surveillance bodies, each under precisely delineated conditions. </w:t>
      </w:r>
    </w:p>
    <w:p w:rsidRPr="00D13C47" w:rsidR="00AE2C30" w:rsidP="00AE2C30" w:rsidRDefault="00AE2C30" w14:paraId="2290079C" w14:textId="77777777">
      <w:pPr>
        <w:pStyle w:val="Point123"/>
        <w:tabs>
          <w:tab w:val="clear" w:pos="567"/>
        </w:tabs>
        <w:rPr>
          <w:lang w:eastAsia="fr-BE"/>
        </w:rPr>
      </w:pPr>
      <w:r>
        <w:rPr>
          <w:lang w:eastAsia="fr-BE"/>
        </w:rPr>
        <w:t>A</w:t>
      </w:r>
      <w:r w:rsidRPr="000D00CB">
        <w:rPr>
          <w:lang w:eastAsia="fr-BE"/>
        </w:rPr>
        <w:t xml:space="preserve"> three-level structure</w:t>
      </w:r>
      <w:r>
        <w:rPr>
          <w:lang w:eastAsia="fr-BE"/>
        </w:rPr>
        <w:t xml:space="preserve"> of </w:t>
      </w:r>
      <w:r w:rsidRPr="00D13C47">
        <w:rPr>
          <w:lang w:eastAsia="fr-BE"/>
        </w:rPr>
        <w:t>risk management</w:t>
      </w:r>
      <w:bookmarkStart w:name="_Hlk232506037" w:id="2"/>
      <w:r>
        <w:rPr>
          <w:lang w:eastAsia="fr-BE"/>
        </w:rPr>
        <w:t xml:space="preserve"> is introduced</w:t>
      </w:r>
      <w:r w:rsidRPr="00D13C47">
        <w:rPr>
          <w:lang w:eastAsia="fr-BE"/>
        </w:rPr>
        <w:t>:</w:t>
      </w:r>
      <w:bookmarkEnd w:id="2"/>
    </w:p>
    <w:p w:rsidRPr="00D13C47" w:rsidR="00AE2C30" w:rsidP="00AE2C30" w:rsidRDefault="00AE2C30" w14:paraId="0A809E1A" w14:textId="77777777">
      <w:pPr>
        <w:numPr>
          <w:ilvl w:val="0"/>
          <w:numId w:val="21"/>
        </w:numPr>
        <w:tabs>
          <w:tab w:val="clear" w:pos="720"/>
        </w:tabs>
        <w:spacing w:before="100" w:beforeAutospacing="1" w:after="100" w:afterAutospacing="1"/>
        <w:ind w:left="1134" w:hanging="567"/>
        <w:rPr>
          <w:rFonts w:eastAsia="Times New Roman"/>
          <w:szCs w:val="24"/>
          <w:lang w:eastAsia="fr-BE"/>
        </w:rPr>
      </w:pPr>
      <w:r w:rsidRPr="00D13C47">
        <w:rPr>
          <w:rFonts w:eastAsia="Times New Roman"/>
          <w:szCs w:val="24"/>
          <w:lang w:eastAsia="fr-BE"/>
        </w:rPr>
        <w:t xml:space="preserve">The </w:t>
      </w:r>
      <w:r w:rsidRPr="00D13C47">
        <w:rPr>
          <w:rFonts w:eastAsia="Times New Roman"/>
          <w:b/>
          <w:bCs/>
          <w:szCs w:val="24"/>
          <w:lang w:eastAsia="fr-BE"/>
        </w:rPr>
        <w:t>Commission</w:t>
      </w:r>
      <w:r w:rsidRPr="00D13C47">
        <w:rPr>
          <w:rFonts w:eastAsia="Times New Roman"/>
          <w:szCs w:val="24"/>
          <w:lang w:eastAsia="fr-BE"/>
        </w:rPr>
        <w:t xml:space="preserve"> </w:t>
      </w:r>
      <w:r>
        <w:rPr>
          <w:rFonts w:eastAsia="Times New Roman"/>
          <w:szCs w:val="24"/>
          <w:lang w:eastAsia="fr-BE"/>
        </w:rPr>
        <w:t xml:space="preserve">establishes </w:t>
      </w:r>
      <w:r w:rsidRPr="00D13C47">
        <w:rPr>
          <w:rFonts w:eastAsia="Times New Roman"/>
          <w:szCs w:val="24"/>
          <w:lang w:eastAsia="fr-BE"/>
        </w:rPr>
        <w:t>common priority control areas and risk criteria/standards, and provides policy orientations</w:t>
      </w:r>
      <w:r>
        <w:rPr>
          <w:rFonts w:eastAsia="Times New Roman"/>
          <w:szCs w:val="24"/>
          <w:lang w:eastAsia="fr-BE"/>
        </w:rPr>
        <w:t>;</w:t>
      </w:r>
    </w:p>
    <w:p w:rsidRPr="00D13C47" w:rsidR="00AE2C30" w:rsidP="00AE2C30" w:rsidRDefault="00AE2C30" w14:paraId="033E084B" w14:textId="77777777">
      <w:pPr>
        <w:numPr>
          <w:ilvl w:val="0"/>
          <w:numId w:val="21"/>
        </w:numPr>
        <w:tabs>
          <w:tab w:val="clear" w:pos="720"/>
        </w:tabs>
        <w:spacing w:before="100" w:beforeAutospacing="1" w:after="100" w:afterAutospacing="1"/>
        <w:ind w:left="1134" w:hanging="567"/>
        <w:rPr>
          <w:rFonts w:eastAsia="Times New Roman"/>
          <w:szCs w:val="24"/>
          <w:lang w:eastAsia="fr-BE"/>
        </w:rPr>
      </w:pPr>
      <w:r w:rsidRPr="00D13C47">
        <w:rPr>
          <w:rFonts w:eastAsia="Times New Roman"/>
          <w:szCs w:val="24"/>
          <w:lang w:eastAsia="fr-BE"/>
        </w:rPr>
        <w:t xml:space="preserve">The </w:t>
      </w:r>
      <w:r w:rsidRPr="00D13C47">
        <w:rPr>
          <w:rFonts w:eastAsia="Times New Roman"/>
          <w:b/>
          <w:bCs/>
          <w:szCs w:val="24"/>
          <w:lang w:eastAsia="fr-BE"/>
        </w:rPr>
        <w:t>EU Customs Authority</w:t>
      </w:r>
      <w:r w:rsidRPr="00D13C47">
        <w:rPr>
          <w:rFonts w:eastAsia="Times New Roman"/>
          <w:szCs w:val="24"/>
          <w:lang w:eastAsia="fr-BE"/>
        </w:rPr>
        <w:t xml:space="preserve"> </w:t>
      </w:r>
      <w:r>
        <w:rPr>
          <w:rFonts w:eastAsia="Times New Roman"/>
          <w:szCs w:val="24"/>
          <w:lang w:eastAsia="fr-BE"/>
        </w:rPr>
        <w:t xml:space="preserve">performs </w:t>
      </w:r>
      <w:r w:rsidRPr="00D13C47">
        <w:rPr>
          <w:rFonts w:eastAsia="Times New Roman"/>
          <w:szCs w:val="24"/>
          <w:lang w:eastAsia="fr-BE"/>
        </w:rPr>
        <w:t xml:space="preserve">Union-level risk analysis, issues control recommendations to </w:t>
      </w:r>
      <w:r>
        <w:rPr>
          <w:rFonts w:eastAsia="Times New Roman"/>
          <w:szCs w:val="24"/>
          <w:lang w:eastAsia="fr-BE"/>
        </w:rPr>
        <w:t xml:space="preserve">customs </w:t>
      </w:r>
      <w:r w:rsidRPr="00D13C47">
        <w:rPr>
          <w:rFonts w:eastAsia="Times New Roman"/>
          <w:szCs w:val="24"/>
          <w:lang w:eastAsia="fr-BE"/>
        </w:rPr>
        <w:t>authorities, conducts threat assessments, and coordinates joint controls</w:t>
      </w:r>
      <w:r>
        <w:rPr>
          <w:rFonts w:eastAsia="Times New Roman"/>
          <w:szCs w:val="24"/>
          <w:lang w:eastAsia="fr-BE"/>
        </w:rPr>
        <w:t>;</w:t>
      </w:r>
    </w:p>
    <w:p w:rsidRPr="00D13C47" w:rsidR="00AE2C30" w:rsidP="00AE2C30" w:rsidRDefault="00AE2C30" w14:paraId="7DD0C53D" w14:textId="77777777">
      <w:pPr>
        <w:numPr>
          <w:ilvl w:val="0"/>
          <w:numId w:val="21"/>
        </w:numPr>
        <w:tabs>
          <w:tab w:val="clear" w:pos="720"/>
        </w:tabs>
        <w:spacing w:before="100" w:beforeAutospacing="1" w:after="100" w:afterAutospacing="1"/>
        <w:ind w:left="1134" w:hanging="567"/>
        <w:rPr>
          <w:rFonts w:eastAsia="Times New Roman"/>
          <w:szCs w:val="24"/>
          <w:lang w:eastAsia="fr-BE"/>
        </w:rPr>
      </w:pPr>
      <w:r>
        <w:rPr>
          <w:rFonts w:eastAsia="Times New Roman"/>
          <w:b/>
          <w:bCs/>
          <w:szCs w:val="24"/>
          <w:lang w:eastAsia="fr-BE"/>
        </w:rPr>
        <w:t>C</w:t>
      </w:r>
      <w:r w:rsidRPr="00D13C47">
        <w:rPr>
          <w:rFonts w:eastAsia="Times New Roman"/>
          <w:b/>
          <w:bCs/>
          <w:szCs w:val="24"/>
          <w:lang w:eastAsia="fr-BE"/>
        </w:rPr>
        <w:t>ustoms authorities</w:t>
      </w:r>
      <w:r w:rsidRPr="00D13C47">
        <w:rPr>
          <w:rFonts w:eastAsia="Times New Roman"/>
          <w:szCs w:val="24"/>
          <w:lang w:eastAsia="fr-BE"/>
        </w:rPr>
        <w:t xml:space="preserve"> perform national risk analysis, implement control recommendations and take control decisions</w:t>
      </w:r>
      <w:r>
        <w:rPr>
          <w:rFonts w:eastAsia="Times New Roman"/>
          <w:szCs w:val="24"/>
          <w:lang w:eastAsia="fr-BE"/>
        </w:rPr>
        <w:t xml:space="preserve">, as well as </w:t>
      </w:r>
      <w:r w:rsidRPr="00520E60">
        <w:rPr>
          <w:rFonts w:eastAsia="Times New Roman"/>
          <w:szCs w:val="24"/>
          <w:lang w:eastAsia="fr-BE"/>
        </w:rPr>
        <w:t>participate in the development of risk management at Union level</w:t>
      </w:r>
      <w:r w:rsidRPr="00D13C47">
        <w:rPr>
          <w:rFonts w:eastAsia="Times New Roman"/>
          <w:szCs w:val="24"/>
          <w:lang w:eastAsia="fr-BE"/>
        </w:rPr>
        <w:t>.</w:t>
      </w:r>
    </w:p>
    <w:p w:rsidRPr="00D13C47" w:rsidR="00AE2C30" w:rsidP="00AE2C30" w:rsidRDefault="00AE2C30" w14:paraId="4D2BA481" w14:textId="77777777">
      <w:pPr>
        <w:pStyle w:val="Point123"/>
        <w:tabs>
          <w:tab w:val="clear" w:pos="567"/>
        </w:tabs>
        <w:rPr>
          <w:lang w:eastAsia="fr-BE"/>
        </w:rPr>
      </w:pPr>
      <w:bookmarkStart w:name="_Hlk234918704" w:id="3"/>
      <w:r w:rsidRPr="00D13C47">
        <w:rPr>
          <w:lang w:eastAsia="fr-BE"/>
        </w:rPr>
        <w:t xml:space="preserve">Risk management is </w:t>
      </w:r>
      <w:r>
        <w:rPr>
          <w:lang w:eastAsia="fr-BE"/>
        </w:rPr>
        <w:t xml:space="preserve">organised on </w:t>
      </w:r>
      <w:r w:rsidRPr="00D13C47">
        <w:rPr>
          <w:lang w:eastAsia="fr-BE"/>
        </w:rPr>
        <w:t xml:space="preserve">a </w:t>
      </w:r>
      <w:r>
        <w:rPr>
          <w:lang w:eastAsia="fr-BE"/>
        </w:rPr>
        <w:t xml:space="preserve">cyclical basis including </w:t>
      </w:r>
      <w:r w:rsidRPr="00385F41">
        <w:rPr>
          <w:lang w:eastAsia="fr-BE"/>
        </w:rPr>
        <w:t>collec</w:t>
      </w:r>
      <w:r>
        <w:rPr>
          <w:lang w:eastAsia="fr-BE"/>
        </w:rPr>
        <w:t>tion and</w:t>
      </w:r>
      <w:r w:rsidRPr="00385F41">
        <w:rPr>
          <w:lang w:eastAsia="fr-BE"/>
        </w:rPr>
        <w:t xml:space="preserve"> analysis</w:t>
      </w:r>
      <w:r>
        <w:rPr>
          <w:lang w:eastAsia="fr-BE"/>
        </w:rPr>
        <w:t xml:space="preserve"> of</w:t>
      </w:r>
      <w:r w:rsidRPr="00385F41">
        <w:rPr>
          <w:lang w:eastAsia="fr-BE"/>
        </w:rPr>
        <w:t xml:space="preserve"> relevant data</w:t>
      </w:r>
      <w:r>
        <w:rPr>
          <w:lang w:eastAsia="fr-BE"/>
        </w:rPr>
        <w:t>, risk i</w:t>
      </w:r>
      <w:r w:rsidRPr="00D13C47">
        <w:rPr>
          <w:lang w:eastAsia="fr-BE"/>
        </w:rPr>
        <w:t xml:space="preserve">dentification </w:t>
      </w:r>
      <w:r>
        <w:rPr>
          <w:lang w:eastAsia="fr-BE"/>
        </w:rPr>
        <w:t xml:space="preserve">and </w:t>
      </w:r>
      <w:r w:rsidRPr="00D13C47">
        <w:rPr>
          <w:lang w:eastAsia="fr-BE"/>
        </w:rPr>
        <w:t>analysis</w:t>
      </w:r>
      <w:r>
        <w:rPr>
          <w:lang w:eastAsia="fr-BE"/>
        </w:rPr>
        <w:t xml:space="preserve">, </w:t>
      </w:r>
      <w:r w:rsidRPr="00D13C47">
        <w:rPr>
          <w:lang w:eastAsia="fr-BE"/>
        </w:rPr>
        <w:t>development</w:t>
      </w:r>
      <w:r>
        <w:rPr>
          <w:lang w:eastAsia="fr-BE"/>
        </w:rPr>
        <w:t xml:space="preserve"> of measures</w:t>
      </w:r>
      <w:r w:rsidRPr="00D13C47">
        <w:rPr>
          <w:lang w:eastAsia="fr-BE"/>
        </w:rPr>
        <w:t xml:space="preserve"> </w:t>
      </w:r>
      <w:r>
        <w:rPr>
          <w:lang w:eastAsia="fr-BE"/>
        </w:rPr>
        <w:t xml:space="preserve">and </w:t>
      </w:r>
      <w:r w:rsidRPr="00D13C47">
        <w:rPr>
          <w:lang w:eastAsia="fr-BE"/>
        </w:rPr>
        <w:t>control action</w:t>
      </w:r>
      <w:r>
        <w:rPr>
          <w:lang w:eastAsia="fr-BE"/>
        </w:rPr>
        <w:t xml:space="preserve">s, </w:t>
      </w:r>
      <w:r w:rsidRPr="00385F41">
        <w:rPr>
          <w:lang w:eastAsia="fr-BE"/>
        </w:rPr>
        <w:t xml:space="preserve">gathering feedback </w:t>
      </w:r>
      <w:r>
        <w:rPr>
          <w:lang w:eastAsia="fr-BE"/>
        </w:rPr>
        <w:t xml:space="preserve">on and monitoring </w:t>
      </w:r>
      <w:r w:rsidRPr="00385F41">
        <w:rPr>
          <w:lang w:eastAsia="fr-BE"/>
        </w:rPr>
        <w:t>the implementation of risk management and control activities</w:t>
      </w:r>
      <w:r w:rsidRPr="00D13C47">
        <w:rPr>
          <w:lang w:eastAsia="fr-BE"/>
        </w:rPr>
        <w:t xml:space="preserve">. </w:t>
      </w:r>
      <w:r>
        <w:rPr>
          <w:lang w:eastAsia="fr-BE"/>
        </w:rPr>
        <w:t>It covers b</w:t>
      </w:r>
      <w:r w:rsidRPr="00D13C47">
        <w:rPr>
          <w:lang w:eastAsia="fr-BE"/>
        </w:rPr>
        <w:t>oth financial and non-financial risks</w:t>
      </w:r>
      <w:r>
        <w:rPr>
          <w:lang w:eastAsia="fr-BE"/>
        </w:rPr>
        <w:t>.</w:t>
      </w:r>
      <w:r w:rsidRPr="00D13C47">
        <w:rPr>
          <w:lang w:eastAsia="fr-BE"/>
        </w:rPr>
        <w:t xml:space="preserve"> </w:t>
      </w:r>
    </w:p>
    <w:bookmarkEnd w:id="3"/>
    <w:p w:rsidRPr="000D00CB" w:rsidR="00AE2C30" w:rsidP="00AE2C30" w:rsidRDefault="00AE2C30" w14:paraId="1E52D6A3" w14:textId="77777777">
      <w:pPr>
        <w:pStyle w:val="Point123"/>
        <w:pageBreakBefore/>
        <w:tabs>
          <w:tab w:val="clear" w:pos="567"/>
        </w:tabs>
        <w:rPr>
          <w:lang w:eastAsia="fr-BE"/>
        </w:rPr>
      </w:pPr>
      <w:r>
        <w:rPr>
          <w:lang w:eastAsia="fr-BE"/>
        </w:rPr>
        <w:lastRenderedPageBreak/>
        <w:t xml:space="preserve">The current </w:t>
      </w:r>
      <w:r w:rsidRPr="00D13C47">
        <w:rPr>
          <w:lang w:eastAsia="fr-BE"/>
        </w:rPr>
        <w:t xml:space="preserve">system based on customs declarations </w:t>
      </w:r>
      <w:r>
        <w:rPr>
          <w:lang w:eastAsia="fr-BE"/>
        </w:rPr>
        <w:t xml:space="preserve">is replaced with </w:t>
      </w:r>
      <w:r w:rsidRPr="003F4814">
        <w:rPr>
          <w:lang w:eastAsia="fr-BE"/>
        </w:rPr>
        <w:t xml:space="preserve">businesses </w:t>
      </w:r>
      <w:r w:rsidRPr="0074701A">
        <w:rPr>
          <w:lang w:eastAsia="fr-BE"/>
        </w:rPr>
        <w:t>submit</w:t>
      </w:r>
      <w:r>
        <w:rPr>
          <w:lang w:eastAsia="fr-BE"/>
        </w:rPr>
        <w:t>ting</w:t>
      </w:r>
      <w:r w:rsidRPr="00A9680A">
        <w:rPr>
          <w:b/>
          <w:bCs/>
          <w:lang w:eastAsia="fr-BE"/>
        </w:rPr>
        <w:t xml:space="preserve"> digital import and export data</w:t>
      </w:r>
      <w:r>
        <w:rPr>
          <w:lang w:eastAsia="fr-BE"/>
        </w:rPr>
        <w:t xml:space="preserve"> </w:t>
      </w:r>
      <w:r w:rsidRPr="003F4814">
        <w:rPr>
          <w:lang w:eastAsia="fr-BE"/>
        </w:rPr>
        <w:t xml:space="preserve">through the EU Customs Data </w:t>
      </w:r>
      <w:r>
        <w:rPr>
          <w:lang w:eastAsia="fr-BE"/>
        </w:rPr>
        <w:t xml:space="preserve">Hub. </w:t>
      </w:r>
      <w:r w:rsidRPr="000D00CB">
        <w:rPr>
          <w:rFonts w:eastAsia="Times New Roman"/>
          <w:szCs w:val="24"/>
          <w:lang w:eastAsia="fr-BE"/>
        </w:rPr>
        <w:t xml:space="preserve">Importers, exporters and holders of transit procedures </w:t>
      </w:r>
      <w:r>
        <w:rPr>
          <w:rFonts w:eastAsia="Times New Roman"/>
          <w:szCs w:val="24"/>
          <w:lang w:eastAsia="fr-BE"/>
        </w:rPr>
        <w:t>are obliged to</w:t>
      </w:r>
      <w:r w:rsidRPr="000D00CB">
        <w:rPr>
          <w:rFonts w:eastAsia="Times New Roman"/>
          <w:szCs w:val="24"/>
          <w:lang w:eastAsia="fr-BE"/>
        </w:rPr>
        <w:t xml:space="preserve"> provide all required data as early as possible and before notifying customs of the goods' availability. </w:t>
      </w:r>
      <w:r>
        <w:rPr>
          <w:rFonts w:eastAsia="Times New Roman"/>
          <w:szCs w:val="24"/>
          <w:lang w:eastAsia="fr-BE"/>
        </w:rPr>
        <w:t>T</w:t>
      </w:r>
      <w:r w:rsidRPr="00FB7756">
        <w:rPr>
          <w:rFonts w:eastAsia="Times New Roman"/>
          <w:szCs w:val="24"/>
          <w:lang w:eastAsia="fr-BE"/>
        </w:rPr>
        <w:t xml:space="preserve">he notification of availability of the goods </w:t>
      </w:r>
      <w:r w:rsidRPr="000D00CB">
        <w:rPr>
          <w:rFonts w:eastAsia="Times New Roman"/>
          <w:szCs w:val="24"/>
          <w:lang w:eastAsia="fr-BE"/>
        </w:rPr>
        <w:t xml:space="preserve">triggers the placement of goods under a customs procedure. </w:t>
      </w:r>
    </w:p>
    <w:p w:rsidRPr="00D13C47" w:rsidR="00AE2C30" w:rsidP="00AE2C30" w:rsidRDefault="00AE2C30" w14:paraId="6B00E2A9" w14:textId="77777777">
      <w:pPr>
        <w:pStyle w:val="Point123"/>
        <w:tabs>
          <w:tab w:val="clear" w:pos="567"/>
        </w:tabs>
        <w:rPr>
          <w:lang w:eastAsia="fr-BE"/>
        </w:rPr>
      </w:pPr>
      <w:r w:rsidRPr="00D13C47">
        <w:rPr>
          <w:b/>
          <w:bCs/>
          <w:lang w:eastAsia="fr-BE"/>
        </w:rPr>
        <w:t>Release</w:t>
      </w:r>
      <w:r w:rsidRPr="00D13C47">
        <w:rPr>
          <w:lang w:eastAsia="fr-BE"/>
        </w:rPr>
        <w:t xml:space="preserve"> </w:t>
      </w:r>
      <w:r>
        <w:rPr>
          <w:lang w:eastAsia="fr-BE"/>
        </w:rPr>
        <w:t xml:space="preserve">of the goods </w:t>
      </w:r>
      <w:r w:rsidRPr="00D13C47">
        <w:rPr>
          <w:lang w:eastAsia="fr-BE"/>
        </w:rPr>
        <w:t xml:space="preserve">occurs </w:t>
      </w:r>
      <w:r>
        <w:rPr>
          <w:lang w:eastAsia="fr-BE"/>
        </w:rPr>
        <w:t xml:space="preserve">after risk </w:t>
      </w:r>
      <w:r w:rsidRPr="007A4205">
        <w:rPr>
          <w:lang w:eastAsia="fr-BE"/>
        </w:rPr>
        <w:t xml:space="preserve">analysis </w:t>
      </w:r>
      <w:r>
        <w:rPr>
          <w:lang w:eastAsia="fr-BE"/>
        </w:rPr>
        <w:t xml:space="preserve">performed by the </w:t>
      </w:r>
      <w:r w:rsidRPr="00D13C47">
        <w:rPr>
          <w:lang w:eastAsia="fr-BE"/>
        </w:rPr>
        <w:t>customs authorities. If goods are not selected for control within a reasonable period, they are deemed released.</w:t>
      </w:r>
      <w:r w:rsidRPr="00A74E2B">
        <w:t xml:space="preserve"> </w:t>
      </w:r>
      <w:r>
        <w:t xml:space="preserve">The </w:t>
      </w:r>
      <w:r>
        <w:rPr>
          <w:lang w:eastAsia="fr-BE"/>
        </w:rPr>
        <w:t>c</w:t>
      </w:r>
      <w:r w:rsidRPr="00A74E2B">
        <w:rPr>
          <w:lang w:eastAsia="fr-BE"/>
        </w:rPr>
        <w:t xml:space="preserve">ustoms authorities may authorise </w:t>
      </w:r>
      <w:r>
        <w:rPr>
          <w:lang w:eastAsia="fr-BE"/>
        </w:rPr>
        <w:t xml:space="preserve">the </w:t>
      </w:r>
      <w:r w:rsidRPr="00A74E2B">
        <w:rPr>
          <w:lang w:eastAsia="fr-BE"/>
        </w:rPr>
        <w:t xml:space="preserve">T&amp;C traders to release the goods on their behalf upon </w:t>
      </w:r>
      <w:r>
        <w:rPr>
          <w:lang w:eastAsia="fr-BE"/>
        </w:rPr>
        <w:t>the fulfilment of certain conditions.</w:t>
      </w:r>
    </w:p>
    <w:p w:rsidRPr="00D13C47" w:rsidR="00AE2C30" w:rsidP="00AE2C30" w:rsidRDefault="00AE2C30" w14:paraId="1C04571F" w14:textId="77777777">
      <w:pPr>
        <w:pStyle w:val="Point123"/>
        <w:tabs>
          <w:tab w:val="clear" w:pos="567"/>
        </w:tabs>
        <w:rPr>
          <w:lang w:eastAsia="fr-BE"/>
        </w:rPr>
      </w:pPr>
      <w:r w:rsidRPr="00D13C47">
        <w:rPr>
          <w:lang w:eastAsia="fr-BE"/>
        </w:rPr>
        <w:t>Specific rules govern the transition from the current declaration-based system to the new model</w:t>
      </w:r>
      <w:r>
        <w:rPr>
          <w:lang w:eastAsia="fr-BE"/>
        </w:rPr>
        <w:t xml:space="preserve"> of digital transmission of import and export data</w:t>
      </w:r>
      <w:r w:rsidRPr="00D13C47">
        <w:rPr>
          <w:lang w:eastAsia="fr-BE"/>
        </w:rPr>
        <w:t xml:space="preserve"> during the transition period</w:t>
      </w:r>
      <w:r>
        <w:rPr>
          <w:lang w:eastAsia="fr-BE"/>
        </w:rPr>
        <w:t xml:space="preserve"> until 2034</w:t>
      </w:r>
      <w:r w:rsidRPr="00D13C47">
        <w:rPr>
          <w:lang w:eastAsia="fr-BE"/>
        </w:rPr>
        <w:t>.</w:t>
      </w:r>
    </w:p>
    <w:p w:rsidRPr="00726A5D" w:rsidR="00AE2C30" w:rsidP="00AE2C30" w:rsidRDefault="00AE2C30" w14:paraId="6D8EFF20" w14:textId="77777777">
      <w:pPr>
        <w:pStyle w:val="Point123"/>
        <w:tabs>
          <w:tab w:val="clear" w:pos="567"/>
        </w:tabs>
        <w:rPr>
          <w:lang w:eastAsia="fr-BE"/>
        </w:rPr>
      </w:pPr>
      <w:r w:rsidRPr="00D13C47">
        <w:rPr>
          <w:lang w:eastAsia="fr-BE"/>
        </w:rPr>
        <w:t>Th</w:t>
      </w:r>
      <w:r>
        <w:rPr>
          <w:lang w:eastAsia="fr-BE"/>
        </w:rPr>
        <w:t xml:space="preserve">e </w:t>
      </w:r>
      <w:r w:rsidRPr="00D13C47">
        <w:rPr>
          <w:b/>
          <w:bCs/>
          <w:lang w:eastAsia="fr-BE"/>
        </w:rPr>
        <w:t>EU Customs Authority</w:t>
      </w:r>
      <w:r w:rsidRPr="00D13C47">
        <w:rPr>
          <w:lang w:eastAsia="fr-BE"/>
        </w:rPr>
        <w:t xml:space="preserve"> </w:t>
      </w:r>
      <w:r>
        <w:rPr>
          <w:lang w:eastAsia="fr-BE"/>
        </w:rPr>
        <w:t xml:space="preserve">is established </w:t>
      </w:r>
      <w:r w:rsidRPr="00D13C47">
        <w:rPr>
          <w:lang w:eastAsia="fr-BE"/>
        </w:rPr>
        <w:t xml:space="preserve">as a new, </w:t>
      </w:r>
      <w:r>
        <w:rPr>
          <w:lang w:eastAsia="fr-BE"/>
        </w:rPr>
        <w:t xml:space="preserve">decentralised </w:t>
      </w:r>
      <w:r w:rsidRPr="00D13C47">
        <w:rPr>
          <w:lang w:eastAsia="fr-BE"/>
        </w:rPr>
        <w:t xml:space="preserve">EU agency, headquartered </w:t>
      </w:r>
      <w:r w:rsidRPr="00296E46">
        <w:rPr>
          <w:lang w:eastAsia="fr-BE"/>
        </w:rPr>
        <w:t>in Lille</w:t>
      </w:r>
      <w:r>
        <w:rPr>
          <w:lang w:eastAsia="fr-BE"/>
        </w:rPr>
        <w:t xml:space="preserve"> (</w:t>
      </w:r>
      <w:r w:rsidRPr="00296E46">
        <w:rPr>
          <w:lang w:eastAsia="fr-BE"/>
        </w:rPr>
        <w:t>France</w:t>
      </w:r>
      <w:r>
        <w:rPr>
          <w:lang w:eastAsia="fr-BE"/>
        </w:rPr>
        <w:t>)</w:t>
      </w:r>
      <w:r w:rsidRPr="00D13C47">
        <w:rPr>
          <w:lang w:eastAsia="fr-BE"/>
        </w:rPr>
        <w:t>.</w:t>
      </w:r>
      <w:r>
        <w:rPr>
          <w:lang w:eastAsia="fr-BE"/>
        </w:rPr>
        <w:t xml:space="preserve"> </w:t>
      </w:r>
      <w:r w:rsidRPr="00D13C47">
        <w:rPr>
          <w:lang w:eastAsia="fr-BE"/>
        </w:rPr>
        <w:t>Its governance structure includes</w:t>
      </w:r>
      <w:r>
        <w:rPr>
          <w:lang w:eastAsia="fr-BE"/>
        </w:rPr>
        <w:t xml:space="preserve"> </w:t>
      </w:r>
      <w:r>
        <w:rPr>
          <w:rFonts w:eastAsia="Times New Roman"/>
          <w:szCs w:val="24"/>
          <w:lang w:eastAsia="fr-BE"/>
        </w:rPr>
        <w:t>a</w:t>
      </w:r>
      <w:r w:rsidRPr="00726A5D">
        <w:rPr>
          <w:rFonts w:eastAsia="Times New Roman"/>
          <w:szCs w:val="24"/>
          <w:lang w:eastAsia="fr-BE"/>
        </w:rPr>
        <w:t xml:space="preserve"> </w:t>
      </w:r>
      <w:r w:rsidRPr="00726A5D">
        <w:rPr>
          <w:rFonts w:eastAsia="Times New Roman"/>
          <w:b/>
          <w:bCs/>
          <w:szCs w:val="24"/>
          <w:lang w:eastAsia="fr-BE"/>
        </w:rPr>
        <w:t>Management Board</w:t>
      </w:r>
      <w:r>
        <w:rPr>
          <w:rFonts w:eastAsia="Times New Roman"/>
          <w:szCs w:val="24"/>
          <w:lang w:eastAsia="fr-BE"/>
        </w:rPr>
        <w:t>, a</w:t>
      </w:r>
      <w:r w:rsidRPr="00726A5D">
        <w:rPr>
          <w:rFonts w:eastAsia="Times New Roman"/>
          <w:szCs w:val="24"/>
          <w:lang w:eastAsia="fr-BE"/>
        </w:rPr>
        <w:t xml:space="preserve">n </w:t>
      </w:r>
      <w:r w:rsidRPr="00726A5D">
        <w:rPr>
          <w:rFonts w:eastAsia="Times New Roman"/>
          <w:b/>
          <w:bCs/>
          <w:szCs w:val="24"/>
          <w:lang w:eastAsia="fr-BE"/>
        </w:rPr>
        <w:t>Executive Board</w:t>
      </w:r>
      <w:r>
        <w:rPr>
          <w:rFonts w:eastAsia="Times New Roman"/>
          <w:szCs w:val="24"/>
          <w:lang w:eastAsia="fr-BE"/>
        </w:rPr>
        <w:t>, a</w:t>
      </w:r>
      <w:r w:rsidRPr="00726A5D">
        <w:rPr>
          <w:rFonts w:eastAsia="Times New Roman"/>
          <w:szCs w:val="24"/>
          <w:lang w:eastAsia="fr-BE"/>
        </w:rPr>
        <w:t xml:space="preserve">n </w:t>
      </w:r>
      <w:r w:rsidRPr="00726A5D">
        <w:rPr>
          <w:rFonts w:eastAsia="Times New Roman"/>
          <w:b/>
          <w:bCs/>
          <w:szCs w:val="24"/>
          <w:lang w:eastAsia="fr-BE"/>
        </w:rPr>
        <w:t>Executive Director</w:t>
      </w:r>
      <w:r>
        <w:rPr>
          <w:rFonts w:eastAsia="Times New Roman"/>
          <w:szCs w:val="24"/>
          <w:lang w:eastAsia="fr-BE"/>
        </w:rPr>
        <w:t xml:space="preserve"> and a</w:t>
      </w:r>
      <w:r w:rsidRPr="00726A5D">
        <w:rPr>
          <w:rFonts w:eastAsia="Times New Roman"/>
          <w:szCs w:val="24"/>
          <w:lang w:eastAsia="fr-BE"/>
        </w:rPr>
        <w:t xml:space="preserve"> </w:t>
      </w:r>
      <w:r w:rsidRPr="00726A5D">
        <w:rPr>
          <w:rFonts w:eastAsia="Times New Roman"/>
          <w:b/>
          <w:bCs/>
          <w:szCs w:val="24"/>
          <w:lang w:eastAsia="fr-BE"/>
        </w:rPr>
        <w:t>Customs Advisory Board</w:t>
      </w:r>
      <w:r w:rsidRPr="00726A5D">
        <w:rPr>
          <w:rFonts w:eastAsia="Times New Roman"/>
          <w:szCs w:val="24"/>
          <w:lang w:eastAsia="fr-BE"/>
        </w:rPr>
        <w:t>.</w:t>
      </w:r>
    </w:p>
    <w:p w:rsidR="00AE2C30" w:rsidP="00AE2C30" w:rsidRDefault="00AE2C30" w14:paraId="21DE57AD" w14:textId="77777777">
      <w:pPr>
        <w:pStyle w:val="Point123"/>
        <w:tabs>
          <w:tab w:val="clear" w:pos="567"/>
        </w:tabs>
        <w:rPr>
          <w:lang w:eastAsia="fr-BE"/>
        </w:rPr>
      </w:pPr>
      <w:r w:rsidRPr="00D13C47">
        <w:rPr>
          <w:lang w:eastAsia="fr-BE"/>
        </w:rPr>
        <w:t>The</w:t>
      </w:r>
      <w:r>
        <w:rPr>
          <w:lang w:eastAsia="fr-BE"/>
        </w:rPr>
        <w:t xml:space="preserve"> key tasks of the</w:t>
      </w:r>
      <w:r w:rsidRPr="00D13C47">
        <w:rPr>
          <w:lang w:eastAsia="fr-BE"/>
        </w:rPr>
        <w:t xml:space="preserve"> </w:t>
      </w:r>
      <w:r w:rsidRPr="008A5E14">
        <w:rPr>
          <w:lang w:eastAsia="fr-BE"/>
        </w:rPr>
        <w:t>EU Customs Authority</w:t>
      </w:r>
      <w:r w:rsidRPr="00D13C47">
        <w:rPr>
          <w:lang w:eastAsia="fr-BE"/>
        </w:rPr>
        <w:t xml:space="preserve"> include Union-level risk analysis and control recommendations; threat assessments; coordinating joint customs operations; </w:t>
      </w:r>
      <w:r w:rsidRPr="00BF18A8">
        <w:rPr>
          <w:lang w:eastAsia="fr-BE"/>
        </w:rPr>
        <w:t xml:space="preserve">developing, operating and maintaining </w:t>
      </w:r>
      <w:r w:rsidRPr="00D13C47">
        <w:rPr>
          <w:lang w:eastAsia="fr-BE"/>
        </w:rPr>
        <w:t xml:space="preserve">the </w:t>
      </w:r>
      <w:r w:rsidRPr="00296E46">
        <w:rPr>
          <w:lang w:eastAsia="fr-BE"/>
        </w:rPr>
        <w:t>EU Customs Data Hub</w:t>
      </w:r>
      <w:r w:rsidRPr="00D13C47">
        <w:rPr>
          <w:lang w:eastAsia="fr-BE"/>
        </w:rPr>
        <w:t xml:space="preserve">; preparing training content for customs professionals; monitoring T&amp;C trader compliance; managing the crisis response cell; and evaluating </w:t>
      </w:r>
      <w:r>
        <w:rPr>
          <w:lang w:eastAsia="fr-BE"/>
        </w:rPr>
        <w:t>c</w:t>
      </w:r>
      <w:r w:rsidRPr="00D13C47">
        <w:rPr>
          <w:lang w:eastAsia="fr-BE"/>
        </w:rPr>
        <w:t>ustoms union performance.</w:t>
      </w:r>
    </w:p>
    <w:p w:rsidR="00AE2C30" w:rsidP="00AE2C30" w:rsidRDefault="00AE2C30" w14:paraId="69D654CC" w14:textId="77777777">
      <w:pPr>
        <w:pStyle w:val="Point123"/>
        <w:rPr>
          <w:lang w:eastAsia="fr-BE"/>
        </w:rPr>
      </w:pPr>
      <w:r w:rsidRPr="00D13C47">
        <w:rPr>
          <w:lang w:eastAsia="fr-BE"/>
        </w:rPr>
        <w:t>A minimum list of infringements is established</w:t>
      </w:r>
      <w:r>
        <w:rPr>
          <w:lang w:eastAsia="fr-BE"/>
        </w:rPr>
        <w:t xml:space="preserve"> for Member States to transpose into national legislation</w:t>
      </w:r>
      <w:r w:rsidRPr="00D13C47">
        <w:rPr>
          <w:lang w:eastAsia="fr-BE"/>
        </w:rPr>
        <w:t xml:space="preserve">, along with </w:t>
      </w:r>
      <w:r>
        <w:rPr>
          <w:lang w:eastAsia="fr-BE"/>
        </w:rPr>
        <w:t xml:space="preserve">rules on </w:t>
      </w:r>
      <w:r w:rsidRPr="00D13C47">
        <w:rPr>
          <w:lang w:eastAsia="fr-BE"/>
        </w:rPr>
        <w:t xml:space="preserve">circumstances to be taken into account in determining penalties. Penalties must be effective, proportionate, and dissuasive. Member States retain discretion on the </w:t>
      </w:r>
      <w:r w:rsidRPr="00573BD9">
        <w:rPr>
          <w:lang w:eastAsia="fr-BE"/>
        </w:rPr>
        <w:t>type of enforcement measures.</w:t>
      </w:r>
    </w:p>
    <w:p w:rsidRPr="004854D2" w:rsidR="00AE2C30" w:rsidP="00AE2C30" w:rsidRDefault="00AE2C30" w14:paraId="5E8004DA" w14:textId="77777777">
      <w:pPr>
        <w:pStyle w:val="Point123"/>
        <w:tabs>
          <w:tab w:val="clear" w:pos="567"/>
        </w:tabs>
        <w:rPr>
          <w:lang w:eastAsia="fr-BE"/>
        </w:rPr>
      </w:pPr>
      <w:r w:rsidRPr="004854D2">
        <w:rPr>
          <w:rFonts w:eastAsia="Times New Roman"/>
          <w:szCs w:val="24"/>
          <w:lang w:eastAsia="fr-BE"/>
        </w:rPr>
        <w:t xml:space="preserve">Special rules apply </w:t>
      </w:r>
      <w:r w:rsidRPr="00573BD9">
        <w:rPr>
          <w:rFonts w:eastAsia="Times New Roman"/>
          <w:szCs w:val="24"/>
          <w:lang w:eastAsia="fr-BE"/>
        </w:rPr>
        <w:t xml:space="preserve">to </w:t>
      </w:r>
      <w:r w:rsidRPr="00573BD9">
        <w:rPr>
          <w:rFonts w:eastAsia="Times New Roman"/>
          <w:b/>
          <w:bCs/>
          <w:szCs w:val="24"/>
          <w:lang w:eastAsia="fr-BE"/>
        </w:rPr>
        <w:t>distance sales</w:t>
      </w:r>
      <w:r w:rsidRPr="00573BD9">
        <w:rPr>
          <w:rFonts w:eastAsia="Times New Roman"/>
          <w:szCs w:val="24"/>
          <w:lang w:eastAsia="fr-BE"/>
        </w:rPr>
        <w:t>: proportionate</w:t>
      </w:r>
      <w:r w:rsidRPr="004854D2">
        <w:rPr>
          <w:rFonts w:eastAsia="Times New Roman"/>
          <w:szCs w:val="24"/>
          <w:lang w:eastAsia="fr-BE"/>
        </w:rPr>
        <w:t xml:space="preserve"> but dissuasive </w:t>
      </w:r>
      <w:r w:rsidRPr="00BF18A8">
        <w:rPr>
          <w:rFonts w:eastAsia="Times New Roman"/>
          <w:szCs w:val="24"/>
          <w:lang w:eastAsia="fr-BE"/>
        </w:rPr>
        <w:t xml:space="preserve">pecuniary charges </w:t>
      </w:r>
      <w:r w:rsidRPr="004854D2">
        <w:rPr>
          <w:rFonts w:eastAsia="Times New Roman"/>
          <w:szCs w:val="24"/>
          <w:lang w:eastAsia="fr-BE"/>
        </w:rPr>
        <w:t>are set (with minimum and maximum levels based on the total value of goods imported), aimed at preventing "border-shopping." Systematic non-compliance (defined by implementing acts)</w:t>
      </w:r>
      <w:r>
        <w:rPr>
          <w:rFonts w:eastAsia="Times New Roman"/>
          <w:szCs w:val="24"/>
          <w:lang w:eastAsia="fr-BE"/>
        </w:rPr>
        <w:t xml:space="preserve"> </w:t>
      </w:r>
      <w:r w:rsidRPr="004854D2">
        <w:rPr>
          <w:rFonts w:eastAsia="Times New Roman"/>
          <w:szCs w:val="24"/>
          <w:lang w:eastAsia="fr-BE"/>
        </w:rPr>
        <w:t xml:space="preserve">triggers suspension of release, and potentially temporary suspension of access to the non-compliant operator's online interface (involving relevant digital authorities). Records of all penalties </w:t>
      </w:r>
      <w:r>
        <w:rPr>
          <w:rFonts w:eastAsia="Times New Roman"/>
          <w:szCs w:val="24"/>
          <w:lang w:eastAsia="fr-BE"/>
        </w:rPr>
        <w:t>will be</w:t>
      </w:r>
      <w:r w:rsidRPr="004854D2">
        <w:rPr>
          <w:rFonts w:eastAsia="Times New Roman"/>
          <w:szCs w:val="24"/>
          <w:lang w:eastAsia="fr-BE"/>
        </w:rPr>
        <w:t xml:space="preserve"> maintained in the </w:t>
      </w:r>
      <w:r w:rsidRPr="008A5E14">
        <w:rPr>
          <w:rFonts w:eastAsia="Times New Roman"/>
          <w:szCs w:val="24"/>
          <w:lang w:eastAsia="fr-BE"/>
        </w:rPr>
        <w:t xml:space="preserve">EU Customs </w:t>
      </w:r>
      <w:r>
        <w:rPr>
          <w:rFonts w:eastAsia="Times New Roman"/>
          <w:szCs w:val="24"/>
          <w:lang w:eastAsia="fr-BE"/>
        </w:rPr>
        <w:t xml:space="preserve">Data Hub </w:t>
      </w:r>
      <w:r w:rsidRPr="004854D2">
        <w:rPr>
          <w:rFonts w:eastAsia="Times New Roman"/>
          <w:szCs w:val="24"/>
          <w:lang w:eastAsia="fr-BE"/>
        </w:rPr>
        <w:t>for monitoring and transparency.</w:t>
      </w:r>
    </w:p>
    <w:p w:rsidRPr="009437BD" w:rsidR="00AE2C30" w:rsidP="00AE2C30" w:rsidRDefault="00AE2C30" w14:paraId="70470ADD" w14:textId="77777777">
      <w:pPr>
        <w:pStyle w:val="Point123"/>
        <w:tabs>
          <w:tab w:val="clear" w:pos="567"/>
        </w:tabs>
        <w:rPr>
          <w:lang w:eastAsia="fr-BE"/>
        </w:rPr>
      </w:pPr>
      <w:r>
        <w:rPr>
          <w:lang w:eastAsia="fr-BE"/>
        </w:rPr>
        <w:lastRenderedPageBreak/>
        <w:t xml:space="preserve">The Regulation empowers the Commission to adopt delegated and implementing acts to manage a range of operational aspects by specific deadlines to make sure that </w:t>
      </w:r>
      <w:r w:rsidRPr="009437BD">
        <w:rPr>
          <w:lang w:eastAsia="fr-BE"/>
        </w:rPr>
        <w:t>the legal and technical architecture supporting the transition is in place</w:t>
      </w:r>
      <w:r>
        <w:rPr>
          <w:lang w:eastAsia="fr-BE"/>
        </w:rPr>
        <w:t xml:space="preserve"> in time</w:t>
      </w:r>
      <w:r w:rsidRPr="009437BD">
        <w:rPr>
          <w:lang w:eastAsia="fr-BE"/>
        </w:rPr>
        <w:t>.</w:t>
      </w:r>
    </w:p>
    <w:p w:rsidRPr="00573BD9" w:rsidR="00AE2C30" w:rsidP="00AE2C30" w:rsidRDefault="00AE2C30" w14:paraId="7078C129" w14:textId="77777777">
      <w:pPr>
        <w:pStyle w:val="Point123"/>
        <w:tabs>
          <w:tab w:val="clear" w:pos="567"/>
        </w:tabs>
        <w:rPr>
          <w:rFonts w:eastAsia="Times New Roman"/>
          <w:szCs w:val="24"/>
          <w:lang w:eastAsia="fr-BE"/>
        </w:rPr>
      </w:pPr>
      <w:r w:rsidRPr="009437BD">
        <w:rPr>
          <w:lang w:eastAsia="fr-BE"/>
        </w:rPr>
        <w:t>Th</w:t>
      </w:r>
      <w:r>
        <w:rPr>
          <w:lang w:eastAsia="fr-BE"/>
        </w:rPr>
        <w:t xml:space="preserve">e </w:t>
      </w:r>
      <w:r w:rsidRPr="009437BD">
        <w:rPr>
          <w:lang w:eastAsia="fr-BE"/>
        </w:rPr>
        <w:t>transition from the existing customs system</w:t>
      </w:r>
      <w:r>
        <w:rPr>
          <w:lang w:eastAsia="fr-BE"/>
        </w:rPr>
        <w:t>s</w:t>
      </w:r>
      <w:r w:rsidRPr="009437BD">
        <w:rPr>
          <w:lang w:eastAsia="fr-BE"/>
        </w:rPr>
        <w:t xml:space="preserve"> to the new EU Customs Data Hub</w:t>
      </w:r>
      <w:r>
        <w:rPr>
          <w:lang w:eastAsia="fr-BE"/>
        </w:rPr>
        <w:t xml:space="preserve"> will take place in stages</w:t>
      </w:r>
      <w:r w:rsidRPr="009437BD">
        <w:rPr>
          <w:lang w:eastAsia="fr-BE"/>
        </w:rPr>
        <w:t xml:space="preserve">. </w:t>
      </w:r>
      <w:r>
        <w:rPr>
          <w:lang w:eastAsia="fr-BE"/>
        </w:rPr>
        <w:t>The mandatory use of the EU Customs Data Hub by importers for distance sales will start from 1 July 2028. The voluntary use of the EU Customs Data Hub by all other economic operators will start on 1 March 2031 while</w:t>
      </w:r>
      <w:r>
        <w:t xml:space="preserve"> </w:t>
      </w:r>
      <w:r>
        <w:rPr>
          <w:lang w:eastAsia="fr-BE"/>
        </w:rPr>
        <w:t>t</w:t>
      </w:r>
      <w:r w:rsidRPr="00BF18A8">
        <w:rPr>
          <w:lang w:eastAsia="fr-BE"/>
        </w:rPr>
        <w:t>he mandatory use of the EU Customs Data Hub for all economic operators is set for 1 March 2034</w:t>
      </w:r>
      <w:r>
        <w:rPr>
          <w:lang w:eastAsia="fr-BE"/>
        </w:rPr>
        <w:t>.</w:t>
      </w:r>
    </w:p>
    <w:p w:rsidR="00AE2C30" w:rsidP="00AE2C30" w:rsidRDefault="00AE2C30" w14:paraId="63972BEB" w14:textId="77777777">
      <w:pPr>
        <w:pStyle w:val="HeadingIVX"/>
      </w:pPr>
      <w:r>
        <w:t>CONCLUSION</w:t>
      </w:r>
    </w:p>
    <w:p w:rsidRPr="00E96D9D" w:rsidR="00AE2C30" w:rsidP="00AE2C30" w:rsidRDefault="00AE2C30" w14:paraId="397CB11C" w14:textId="77777777">
      <w:pPr>
        <w:pStyle w:val="Point123"/>
        <w:tabs>
          <w:tab w:val="clear" w:pos="567"/>
        </w:tabs>
      </w:pPr>
      <w:r w:rsidRPr="00E96D9D">
        <w:t>The Council's position supports the aim of the Commission proposal and fully reflects the compromise reached in the negotiations between the Council and the European Parliament, with the support of the Commission.</w:t>
      </w:r>
    </w:p>
    <w:p w:rsidR="00AE2C30" w:rsidP="00AE2C30" w:rsidRDefault="00AE2C30" w14:paraId="7FA357BC" w14:textId="77777777">
      <w:pPr>
        <w:pStyle w:val="Point123"/>
        <w:tabs>
          <w:tab w:val="clear" w:pos="567"/>
        </w:tabs>
      </w:pPr>
      <w:r w:rsidRPr="00481B28">
        <w:t>The Council therefore believes that its position at first reading is a balanced representation of the outcome of the negotiations. Once adopted, the Regulation will contribute to simplifying and strengthening customs procedures, supervision and risk management. This will be achieved by enhancing access to and use of data</w:t>
      </w:r>
      <w:r w:rsidRPr="00C66314">
        <w:t xml:space="preserve"> and by the establishment of the EU Customs Data Hub and the EU Customs Authority</w:t>
      </w:r>
      <w:r>
        <w:t>.</w:t>
      </w:r>
    </w:p>
    <w:p w:rsidR="00762E07" w:rsidRDefault="00762E07" w14:paraId="6CABB52B" w14:textId="77777777">
      <w:pPr>
        <w:pStyle w:val="FinalLine"/>
      </w:pPr>
    </w:p>
    <w:sectPr w:rsidR="00762E07" w:rsidSect="00171C7B">
      <w:footerReference w:type="even" r:id="R34dcda1bd51347f6"/>
      <w:headerReference w:type="even" r:id="R535f667a88a54df5"/>
      <w:headerReference w:type="first" r:id="R9fc8e717e64145f6"/>
      <w:footerReference w:type="first" r:id="Rf7ffec3ff64a4050"/>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8190</w:t>
          </w:r>
          <w:r>
            <w:t xml:space="preserve">/2</w:t>
          </w:r>
          <w:r w:rsidR="00A60547">
            <w:t>/</w:t>
          </w:r>
          <w:r>
            <w:t xml:space="preserve">26</w:t>
          </w:r>
          <w:r w:rsidRPr="002511D8" w:rsidR="004F54B2">
            <w:t xml:space="preserve"> </w:t>
          </w:r>
          <w:r>
            <w:t xml:space="preserve">REV 2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8190</w:t>
          </w:r>
          <w:r>
            <w:t xml:space="preserve">/2</w:t>
          </w:r>
          <w:r w:rsidR="00A60547">
            <w:t>/</w:t>
          </w:r>
          <w:r>
            <w:t xml:space="preserve">26</w:t>
          </w:r>
          <w:r w:rsidRPr="002511D8" w:rsidR="004F54B2">
            <w:t xml:space="preserve"> </w:t>
          </w:r>
          <w:r>
            <w:t xml:space="preserve">REV 2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2394DA37"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8190</w:t>
          </w:r>
          <w:r>
            <w:t xml:space="preserve">/2</w:t>
          </w:r>
          <w:r w:rsidR="00A60547">
            <w:t>/</w:t>
          </w:r>
          <w:r>
            <w:t xml:space="preserve">26</w:t>
          </w:r>
          <w:r w:rsidRPr="002511D8" w:rsidR="004F54B2">
            <w:t xml:space="preserve"> </w:t>
          </w:r>
          <w:r>
            <w:t xml:space="preserve">REV 2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8190</w:t>
          </w:r>
          <w:r>
            <w:t xml:space="preserve">/2</w:t>
          </w:r>
          <w:r w:rsidR="00A60547">
            <w:t>/</w:t>
          </w:r>
          <w:r>
            <w:t xml:space="preserve">26</w:t>
          </w:r>
          <w:r w:rsidRPr="002511D8" w:rsidR="004F54B2">
            <w:t xml:space="preserve"> </w:t>
          </w:r>
          <w:r>
            <w:t xml:space="preserve">REV 2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5D7CE14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121ECD7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0143BE6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0B3DEDD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1F6F63C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7D7A264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1F6F63C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171C7B" w:rsidTr="00171C7B" w14:paraId="1F35D9AD" w14:textId="77777777">
      <w:trPr>
        <w:jc w:val="center"/>
      </w:trPr>
      <w:tc>
        <w:tcPr>
          <w:tcW w:w="5000" w:type="pct"/>
          <w:gridSpan w:val="7"/>
          <w:tcMar>
            <w:top w:w="57" w:type="dxa"/>
          </w:tcMar>
        </w:tcPr>
        <w:p w:rsidRPr="00D94637" w:rsidR="00171C7B" w:rsidP="00D94637" w:rsidRDefault="00171C7B" w14:paraId="22E0A565" w14:textId="77777777">
          <w:pPr>
            <w:pStyle w:val="FooterText"/>
            <w:pBdr>
              <w:top w:val="single" w:color="auto" w:sz="4" w:space="1"/>
            </w:pBdr>
            <w:spacing w:before="200"/>
            <w:rPr>
              <w:sz w:val="2"/>
              <w:szCs w:val="2"/>
            </w:rPr>
          </w:pPr>
        </w:p>
      </w:tc>
    </w:tr>
    <w:tr w:rsidRPr="00B310DC" w:rsidR="00171C7B" w:rsidTr="00171C7B" w14:paraId="654D79B4" w14:textId="77777777">
      <w:trPr>
        <w:jc w:val="center"/>
      </w:trPr>
      <w:tc>
        <w:tcPr>
          <w:tcW w:w="2500" w:type="pct"/>
          <w:gridSpan w:val="2"/>
          <w:tcMar>
            <w:top w:w="0" w:type="dxa"/>
          </w:tcMar>
        </w:tcPr>
        <w:p w:rsidRPr="00AD7BF2" w:rsidR="00171C7B" w:rsidP="004F54B2" w:rsidRDefault="00171C7B" w14:paraId="6FEC8E59" w14:textId="1912303A">
          <w:pPr>
            <w:pStyle w:val="FooterText"/>
          </w:pPr>
          <w:r>
            <w:t>8190/2/26</w:t>
          </w:r>
          <w:r w:rsidRPr="002511D8">
            <w:t xml:space="preserve"> </w:t>
          </w:r>
          <w:r>
            <w:t>REV 2 ADD 1</w:t>
          </w:r>
        </w:p>
      </w:tc>
      <w:tc>
        <w:tcPr>
          <w:tcW w:w="625" w:type="pct"/>
          <w:tcMar>
            <w:top w:w="0" w:type="dxa"/>
          </w:tcMar>
        </w:tcPr>
        <w:p w:rsidRPr="00AD7BF2" w:rsidR="00171C7B" w:rsidP="00D94637" w:rsidRDefault="00171C7B" w14:paraId="611DD7A1" w14:textId="77777777">
          <w:pPr>
            <w:pStyle w:val="FooterText"/>
            <w:jc w:val="center"/>
          </w:pPr>
        </w:p>
      </w:tc>
      <w:tc>
        <w:tcPr>
          <w:tcW w:w="1286" w:type="pct"/>
          <w:gridSpan w:val="3"/>
          <w:tcMar>
            <w:top w:w="0" w:type="dxa"/>
          </w:tcMar>
        </w:tcPr>
        <w:p w:rsidRPr="002511D8" w:rsidR="00171C7B" w:rsidP="00D94637" w:rsidRDefault="00171C7B" w14:paraId="50E61986" w14:textId="77777777">
          <w:pPr>
            <w:pStyle w:val="FooterText"/>
            <w:jc w:val="center"/>
          </w:pPr>
        </w:p>
      </w:tc>
      <w:tc>
        <w:tcPr>
          <w:tcW w:w="589" w:type="pct"/>
          <w:tcMar>
            <w:top w:w="0" w:type="dxa"/>
          </w:tcMar>
        </w:tcPr>
        <w:p w:rsidRPr="00B310DC" w:rsidR="00171C7B" w:rsidP="00D94637" w:rsidRDefault="00171C7B" w14:paraId="266E01F2" w14:textId="47EEF0AB">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171C7B" w:rsidTr="00171C7B" w14:paraId="06D2ACFE" w14:textId="77777777">
      <w:trPr>
        <w:jc w:val="center"/>
      </w:trPr>
      <w:tc>
        <w:tcPr>
          <w:tcW w:w="1774" w:type="pct"/>
        </w:tcPr>
        <w:p w:rsidRPr="00AD7BF2" w:rsidR="00171C7B" w:rsidP="00D94637" w:rsidRDefault="00171C7B" w14:paraId="6842D198" w14:textId="1E9605C1">
          <w:pPr>
            <w:pStyle w:val="FooterText"/>
            <w:spacing w:before="40"/>
          </w:pPr>
        </w:p>
      </w:tc>
      <w:tc>
        <w:tcPr>
          <w:tcW w:w="1455" w:type="pct"/>
          <w:gridSpan w:val="3"/>
        </w:tcPr>
        <w:p w:rsidRPr="00AD7BF2" w:rsidR="00171C7B" w:rsidP="00D204D6" w:rsidRDefault="00171C7B" w14:paraId="666FA0F0" w14:textId="422C1BC7">
          <w:pPr>
            <w:pStyle w:val="FooterText"/>
            <w:spacing w:before="40"/>
            <w:jc w:val="center"/>
          </w:pPr>
          <w:r>
            <w:t>GIP.INST.002</w:t>
          </w:r>
        </w:p>
      </w:tc>
      <w:tc>
        <w:tcPr>
          <w:tcW w:w="742" w:type="pct"/>
        </w:tcPr>
        <w:p w:rsidRPr="00D94637" w:rsidR="00171C7B" w:rsidP="002F0099" w:rsidRDefault="00171C7B" w14:paraId="637E0687" w14:textId="172DF898">
          <w:pPr>
            <w:pStyle w:val="FooterText"/>
            <w:jc w:val="center"/>
            <w:rPr>
              <w:b/>
              <w:position w:val="-4"/>
              <w:sz w:val="36"/>
            </w:rPr>
          </w:pPr>
        </w:p>
      </w:tc>
      <w:tc>
        <w:tcPr>
          <w:tcW w:w="1029" w:type="pct"/>
          <w:gridSpan w:val="2"/>
        </w:tcPr>
        <w:p w:rsidRPr="00695BAF" w:rsidR="00171C7B" w:rsidP="00D94637" w:rsidRDefault="00171C7B" w14:paraId="74CD6618" w14:textId="67C3A9CD">
          <w:pPr>
            <w:pStyle w:val="FooterText"/>
            <w:jc w:val="right"/>
            <w:rPr>
              <w:caps/>
              <w:spacing w:val="-20"/>
              <w:sz w:val="16"/>
            </w:rPr>
          </w:pPr>
          <w:r>
            <w:rPr>
              <w:b/>
              <w:caps/>
              <w:spacing w:val="-20"/>
              <w:position w:val="-4"/>
              <w:sz w:val="36"/>
            </w:rPr>
            <w:t>EN</w:t>
          </w:r>
        </w:p>
      </w:tc>
    </w:tr>
  </w:tbl>
  <w:p w:rsidRPr="00171C7B" w:rsidR="00762E07" w:rsidP="00171C7B" w:rsidRDefault="00762E07" w14:paraId="6CABB54F"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394" w:rsidP="00A43C50" w:rsidRDefault="00DF0394" w14:paraId="64CC05A3" w14:textId="77777777">
      <w:r>
        <w:separator/>
      </w:r>
    </w:p>
  </w:footnote>
  <w:footnote w:type="continuationSeparator" w:id="0">
    <w:p w:rsidR="00DF0394" w:rsidP="00A43C50" w:rsidRDefault="00DF0394" w14:paraId="025A5C5A" w14:textId="77777777">
      <w:r>
        <w:continuationSeparator/>
      </w:r>
    </w:p>
  </w:footnote>
  <w:footnote w:id="2">
    <w:p w:rsidRPr="009306A0" w:rsidR="00AE2C30" w:rsidP="00AE2C30" w:rsidRDefault="00AE2C30" w14:paraId="4B5C9F2A" w14:textId="77777777">
      <w:pPr>
        <w:pStyle w:val="FootnoteText"/>
        <w:ind w:left="567" w:hanging="567"/>
        <w:rPr>
          <w:szCs w:val="24"/>
        </w:rPr>
      </w:pPr>
      <w:r w:rsidRPr="009306A0">
        <w:rPr>
          <w:rStyle w:val="FootnoteReference"/>
          <w:szCs w:val="24"/>
        </w:rPr>
        <w:footnoteRef/>
      </w:r>
      <w:r w:rsidRPr="009306A0">
        <w:rPr>
          <w:szCs w:val="24"/>
        </w:rPr>
        <w:t xml:space="preserve"> </w:t>
      </w:r>
      <w:r w:rsidRPr="009306A0">
        <w:rPr>
          <w:szCs w:val="24"/>
        </w:rPr>
        <w:tab/>
        <w:t>Doc. ST 9596/23 + ADD 1 to 4.</w:t>
      </w:r>
    </w:p>
  </w:footnote>
  <w:footnote w:id="3">
    <w:p w:rsidRPr="00F50505" w:rsidR="00AE2C30" w:rsidP="00AE2C30" w:rsidRDefault="00AE2C30" w14:paraId="3B52DD15" w14:textId="77777777">
      <w:pPr>
        <w:pStyle w:val="FootnoteText"/>
        <w:ind w:left="567" w:hanging="567"/>
      </w:pPr>
      <w:r w:rsidRPr="009306A0">
        <w:rPr>
          <w:rStyle w:val="FootnoteReference"/>
          <w:szCs w:val="24"/>
        </w:rPr>
        <w:footnoteRef/>
      </w:r>
      <w:r w:rsidRPr="00F50505">
        <w:rPr>
          <w:szCs w:val="24"/>
        </w:rPr>
        <w:t xml:space="preserve"> </w:t>
      </w:r>
      <w:r w:rsidRPr="00F50505">
        <w:rPr>
          <w:szCs w:val="24"/>
        </w:rPr>
        <w:tab/>
      </w:r>
      <w:r w:rsidRPr="00F50505">
        <w:rPr>
          <w:rStyle w:val="Emphasis"/>
          <w:szCs w:val="24"/>
          <w:shd w:val="clear" w:color="auto" w:fill="FFFFFF"/>
        </w:rPr>
        <w:t>OJ C, C/2023/864, 8.12.2023, ELI: </w:t>
      </w:r>
      <w:hyperlink w:tgtFrame="_blank" w:tooltip="Gives access to this document through its ELI URI." w:history="1" r:id="rId1">
        <w:r w:rsidRPr="00F50505">
          <w:rPr>
            <w:rStyle w:val="Hyperlink"/>
            <w:color w:val="0E47CB"/>
            <w:szCs w:val="24"/>
          </w:rPr>
          <w:t>http://data.europa.eu/eli/C/2023/864/oj</w:t>
        </w:r>
      </w:hyperlink>
      <w:r w:rsidRPr="00F50505">
        <w:t>.</w:t>
      </w:r>
    </w:p>
  </w:footnote>
  <w:footnote w:id="4">
    <w:p w:rsidRPr="009306A0" w:rsidR="00AE2C30" w:rsidP="00AE2C30" w:rsidRDefault="00AE2C30" w14:paraId="74F84BC3" w14:textId="77777777">
      <w:pPr>
        <w:pStyle w:val="FootnoteText"/>
        <w:ind w:left="567" w:hanging="567"/>
      </w:pPr>
      <w:r w:rsidRPr="009306A0">
        <w:rPr>
          <w:rStyle w:val="FootnoteReference"/>
        </w:rPr>
        <w:footnoteRef/>
      </w:r>
      <w:r w:rsidRPr="009306A0">
        <w:t xml:space="preserve"> </w:t>
      </w:r>
      <w:r w:rsidRPr="009306A0">
        <w:tab/>
        <w:t>Doc. ST 11829/23.</w:t>
      </w:r>
    </w:p>
  </w:footnote>
  <w:footnote w:id="5">
    <w:p w:rsidRPr="00F50505" w:rsidR="00AE2C30" w:rsidP="00AE2C30" w:rsidRDefault="00AE2C30" w14:paraId="747F6F93" w14:textId="77777777">
      <w:pPr>
        <w:pStyle w:val="FootnoteText"/>
        <w:ind w:left="567" w:hanging="567"/>
      </w:pPr>
      <w:r w:rsidRPr="009306A0">
        <w:rPr>
          <w:rStyle w:val="FootnoteReference"/>
        </w:rPr>
        <w:footnoteRef/>
      </w:r>
      <w:r w:rsidRPr="00F50505">
        <w:t xml:space="preserve"> </w:t>
      </w:r>
      <w:r w:rsidRPr="00F50505">
        <w:tab/>
      </w:r>
      <w:r w:rsidRPr="00F50505">
        <w:rPr>
          <w:i/>
          <w:iCs/>
        </w:rPr>
        <w:t>OJ C, C/2025/1035, 27.2.2025, ELI:</w:t>
      </w:r>
      <w:r w:rsidRPr="00F50505">
        <w:t xml:space="preserve"> </w:t>
      </w:r>
      <w:hyperlink w:history="1" r:id="rId2">
        <w:r w:rsidRPr="00F50505">
          <w:rPr>
            <w:rStyle w:val="Hyperlink"/>
          </w:rPr>
          <w:t>http://data.europa.eu/eli/C/2025/1035/oj</w:t>
        </w:r>
      </w:hyperlink>
      <w:r w:rsidRPr="00F50505">
        <w:t>.</w:t>
      </w:r>
    </w:p>
  </w:footnote>
  <w:footnote w:id="6">
    <w:p w:rsidRPr="009306A0" w:rsidR="00AE2C30" w:rsidP="00AE2C30" w:rsidRDefault="00AE2C30" w14:paraId="57E83E6E" w14:textId="77777777">
      <w:pPr>
        <w:pStyle w:val="FootnoteText"/>
        <w:ind w:left="567" w:hanging="567"/>
      </w:pPr>
      <w:r w:rsidRPr="009306A0">
        <w:rPr>
          <w:rStyle w:val="FootnoteReference"/>
        </w:rPr>
        <w:footnoteRef/>
      </w:r>
      <w:r w:rsidRPr="009306A0">
        <w:t xml:space="preserve"> </w:t>
      </w:r>
      <w:r w:rsidRPr="009306A0">
        <w:tab/>
        <w:t>Doc. ST 10462/25.</w:t>
      </w:r>
    </w:p>
  </w:footnote>
  <w:footnote w:id="7">
    <w:p w:rsidR="00AE2C30" w:rsidP="00AE2C30" w:rsidRDefault="00AE2C30" w14:paraId="03AFEEB0" w14:textId="77777777">
      <w:pPr>
        <w:pStyle w:val="FootnoteText"/>
        <w:ind w:left="567" w:hanging="567"/>
      </w:pPr>
      <w:r w:rsidRPr="009306A0">
        <w:rPr>
          <w:rStyle w:val="FootnoteReference"/>
        </w:rPr>
        <w:footnoteRef/>
      </w:r>
      <w:r>
        <w:t xml:space="preserve"> </w:t>
      </w:r>
      <w:r>
        <w:tab/>
        <w:t xml:space="preserve">Doc. </w:t>
      </w:r>
      <w:r w:rsidRPr="00893EAF">
        <w:t>7771</w:t>
      </w:r>
      <w:r>
        <w:t>/</w:t>
      </w:r>
      <w:r w:rsidRPr="00893EAF">
        <w:t>26</w:t>
      </w:r>
      <w:r>
        <w:t xml:space="preserve"> + ADD 1 + ADD 1 COR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0F64788F"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7988DE44"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739C9DD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565EF914"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67A9EB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29A8E744"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4003C49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2C30" w:rsidRDefault="00AE2C30" w14:paraId="29A8E744" w14:textId="77777777">
    <w:pPr>
      <w:pStyle w:val="Header"/>
    </w:pPr>
  </w:p>
</w:hdr>
</file>

<file path=word/header18.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1C7B" w:rsidR="00762E07" w:rsidP="00171C7B" w:rsidRDefault="00171C7B" w14:paraId="6CABB542" w14:textId="1D259F6B">
    <w:pPr>
      <w:pStyle w:val="HeaderCouncil"/>
    </w:pPr>
    <w:r>
      <w:rPr>
        <w:noProof/>
      </w:rPr>
      <w:drawing>
        <wp:anchor distT="0" distB="0" distL="114300" distR="114300" simplePos="0" relativeHeight="251658240" behindDoc="0" locked="0" layoutInCell="1" allowOverlap="1" wp14:editId="7D9886A3" wp14:anchorId="47619ED1">
          <wp:simplePos x="0" y="0"/>
          <wp:positionH relativeFrom="column">
            <wp:align>center</wp:align>
          </wp:positionH>
          <wp:positionV relativeFrom="page">
            <wp:posOffset>9899650</wp:posOffset>
          </wp:positionV>
          <wp:extent cx="6120000" cy="684000"/>
          <wp:effectExtent l="0" t="0" r="0" b="0"/>
          <wp:wrapNone/>
          <wp:docPr id="2" name="DW_WATERMARK_81d8ff41-ba0d-4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73531" name="DW_WATERMARK_81d8ff41-ba0d-48b8-"/>
                  <pic:cNvPicPr/>
                </pic:nvPicPr>
                <pic:blipFill>
                  <a:blip r:embed="Rfd9efdd35e55492c">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p16="http://schemas.microsoft.com/office/word/2012/wordml" w:abstractNumId="20" p16:restartNumberingAfterBreak="0">
    <w:nsid w:val="1FA07B00"/>
    <w:multiLevelType w:val="multilevel"/>
    <w:tmpl w:val="28083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9-03&lt;/text&gt;&#13;&#10;  &lt;/metadata&gt;&#13;&#10;  &lt;metadata key=&quot;md_Prefix&quot;&gt;&#13;&#10;    &lt;text&gt;&lt;/text&gt;&#13;&#10;  &lt;/metadata&gt;&#13;&#10;  &lt;metadata key=&quot;md_DocumentNumber&quot;&gt;&#13;&#10;    &lt;text&gt;8190&lt;/text&gt;&#13;&#10;  &lt;/metadata&gt;&#13;&#10;  &lt;metadata key=&quot;md_YearDocumentNumber&quot;&gt;&#13;&#10;    &lt;text&gt;2026&lt;/text&gt;&#13;&#10;  &lt;/metadata&gt;&#13;&#10;  &lt;metadata key=&quot;md_Suffixes&quot;&gt;&#13;&#10;    &lt;text&gt;REV 2 ADD 1&lt;/text&gt;&#13;&#10;  &lt;/metadata&gt;&#13;&#10;  &lt;metadata key=&quot;md_SuffixLanguagesInvolved&quot;&gt;&#13;&#10;    &lt;text&gt;&lt;/text&gt;&#13;&#10;  &lt;/metadata&gt;&#13;&#10;  &lt;metadata key=&quot;md_FirstRevNumber&quot;&gt;&#13;&#10;    &lt;text&gt;2&lt;/text&gt;&#13;&#10;  &lt;/metadata&gt;&#13;&#10;  &lt;metadata key=&quot;md_Distribution&quot;&gt;&#13;&#10;    &lt;basicdatatype&gt;&#13;&#10;      &lt;distribution key=&quot;dis_01&quot; text=&quot;PUBLIC&quot; /&gt;&#13;&#10;    &lt;/basicdatatype&gt;&#13;&#10;  &lt;/metadata&gt;&#13;&#10;  &lt;metadata key=&quot;md_SubjectCodes&quot;&gt;&#13;&#10;    &lt;textlist&gt;&#13;&#10;      &lt;text&gt;UD 94&lt;/text&gt;&#13;&#10;      &lt;text&gt;ENFOCUSTOM 51&lt;/text&gt;&#13;&#10;      &lt;text&gt;ECOFIN 470&lt;/text&gt;&#13;&#10;      &lt;text&gt;MI 336&lt;/text&gt;&#13;&#10;      &lt;text&gt;COMER 61&lt;/text&gt;&#13;&#10;      &lt;text&gt;TRANS 222&lt;/text&gt;&#13;&#10;      &lt;text&gt;FISC 133&lt;/text&gt;&#13;&#10;      &lt;text&gt;RESPR 22&lt;/text&gt;&#13;&#10;      &lt;text&gt;CODEC 662&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156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REGULATION OF THE EUROPEAN PARLIAMENT AND OF THE COUNCIL establishing the Union Customs Code and the European Union Customs Authority, and repealing Regulation (EU) No 952/2013 &amp;#8211; Statement of the Council's reasons &amp;#8211; Adopted by the Council on 3 September 2026&quot;&gt;&amp;lt;FlowDocument xmlns=&quot;http://schemas.microsoft.com/winfx/2006/xaml/presentation&quot;&amp;gt;&amp;lt;Paragraph&amp;gt;Position of the Council at first reading with a view to the adoption of a REGULATION OF THE EUROPEAN PARLIAMENT AND OF THE COUNCIL establishing the Union Customs Code and the European Union Customs Authority, and repealing Regulation (EU) No 952/2013&amp;lt;/Paragraph&amp;gt;&amp;lt;Paragraph&amp;gt;&amp;#8211; Statement of the Council's reasons&amp;lt;/Paragraph&amp;gt;&amp;lt;Paragraph&amp;gt;&amp;#8211; Adopted by the Council on 3 September 2026&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 w:name="DW_TechnicalBlockHash" w:val="2bb1bd8c8eb74c9056a8ff8d824ab096bbc87d4851f1f1aa88d7dc6b007b8081"/>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171C7B"/>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171C7B"/>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171C7B"/>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171C7B"/>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171C7B"/>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171C7B"/>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171C7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171C7B"/>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171C7B"/>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171C7B"/>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171C7B"/>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171C7B"/>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171C7B"/>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171C7B"/>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171C7B"/>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171C7B"/>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ar Char Char Char Char,Ch,f"/>
    <w:basedOn w:val="Normal"/>
    <w:link w:val="FootnoteTextChar"/>
    <w:uiPriority w:val="99"/>
    <w:unhideWhenUsed/>
    <w:qFormat/>
    <w:rsid w:val="009C6417"/>
    <w:pPr>
      <w:spacing w:before="0" w:after="0" w:line="240" w:lineRule="auto"/>
      <w:ind w:left="720" w:hanging="720"/>
    </w:pPr>
    <w:rPr>
      <w:szCs w:val="20"/>
    </w:rPr>
  </w:style>
  <w:style w:type="character" w:styleId="FootnoteTextChar" w:customStyle="1">
    <w:name w:val="Footnote Text Char"/>
    <w:aliases w:val="Schriftart: 9 pt Char,Schriftart: 10 pt Char,Schriftart: 8 pt Char,WB-Fußnotentext Char,Reference Char,Fußnote Char,fn Char,Footnote Text Char2 Char,Footnote Text Char Char1 Char,Footnote Text Char1 Char Char Char,Ch Char,f Char"/>
    <w:basedOn w:val="DefaultParagraphFont"/>
    <w:link w:val="FootnoteText"/>
    <w:uiPriority w:val="99"/>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171C7B"/>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171C7B"/>
    <w:rPr>
      <w:color w:val="808080"/>
    </w:rPr>
  </w:style>
  <w:style w:type="character" w:styleId="Emphasis">
    <w:name w:val="Emphasis"/>
    <w:basedOn w:val="DefaultParagraphFont"/>
    <w:uiPriority w:val="20"/>
    <w:qFormat/>
    <w:rsid w:val="00AE2C30"/>
    <w:rPr>
      <w:i/>
      <w:iCs/>
    </w:rPr>
  </w:style>
  <w:style w:type="character" w:styleId="Hyperlink">
    <w:name w:val="Hyperlink"/>
    <w:basedOn w:val="DefaultParagraphFont"/>
    <w:uiPriority w:val="99"/>
    <w:unhideWhenUsed/>
    <w:rsid w:val="00AE2C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a1f2840233654511" Type="http://schemas.openxmlformats.org/officeDocument/2006/relationships/footer" Target="/word/footer8.xml"/><Relationship Id="R9cad41f0c228478c" Type="http://schemas.openxmlformats.org/officeDocument/2006/relationships/settings" Target="/word/settings.xml"/><Relationship Id="R6e382e425bdc47be" Type="http://schemas.openxmlformats.org/officeDocument/2006/relationships/header" Target="/word/header14.xml"/><Relationship Id="Re2a2138d3114431f" Type="http://schemas.openxmlformats.org/officeDocument/2006/relationships/header" Target="/word/header2.xml"/><Relationship Id="R21ab5482cafa4d9b" Type="http://schemas.openxmlformats.org/officeDocument/2006/relationships/footer" Target="/word/footer5.xml"/><Relationship Id="Refc776adae0f4e9b" Type="http://schemas.openxmlformats.org/officeDocument/2006/relationships/header" Target="/word/header11.xml"/><Relationship Id="R8c43b3a62d8d4003" Type="http://schemas.openxmlformats.org/officeDocument/2006/relationships/footer" Target="/word/footer15.xml"/><Relationship Id="R535f667a88a54df5" Type="http://schemas.openxmlformats.org/officeDocument/2006/relationships/header" Target="/word/header17.xml"/><Relationship Id="rId2" Type="http://schemas.openxmlformats.org/officeDocument/2006/relationships/customXml" Target="../customXml/item2.xml"/><Relationship Id="R12eb33264a44428a" Type="http://schemas.openxmlformats.org/officeDocument/2006/relationships/webSettings" Target="/word/webSettings.xml"/><Relationship Id="Rc9742c5a76714b6c" Type="http://schemas.openxmlformats.org/officeDocument/2006/relationships/numbering" Target="/word/numbering.xml"/><Relationship Id="R035276f85a4c4600" Type="http://schemas.openxmlformats.org/officeDocument/2006/relationships/header" Target="/word/header4.xml"/><Relationship Id="R0008b8160dd14824" Type="http://schemas.openxmlformats.org/officeDocument/2006/relationships/footer" Target="/word/footer4.xml"/><Relationship Id="R582c496b8fd54418" Type="http://schemas.openxmlformats.org/officeDocument/2006/relationships/header" Target="/word/header7.xml"/><Relationship Id="Rece4c111a58349af" Type="http://schemas.openxmlformats.org/officeDocument/2006/relationships/header" Target="/word/header12.xml"/><Relationship Id="R29279d903d51427d" Type="http://schemas.openxmlformats.org/officeDocument/2006/relationships/footer" Target="/word/footer12.xml"/><Relationship Id="R72b2577d88294ea8" Type="http://schemas.openxmlformats.org/officeDocument/2006/relationships/glossaryDocument" Target="/word/glossary/document.xml"/><Relationship Id="rId1" Type="http://schemas.openxmlformats.org/officeDocument/2006/relationships/customXml" Target="../customXml/item1.xml"/><Relationship Id="R197ffe8541174ffb" Type="http://schemas.openxmlformats.org/officeDocument/2006/relationships/fontTable" Target="/word/fontTable.xml"/><Relationship Id="R81ffaab5930f4e7d" Type="http://schemas.openxmlformats.org/officeDocument/2006/relationships/header" Target="/word/header1.xml"/><Relationship Id="R6b00f35769e24243" Type="http://schemas.openxmlformats.org/officeDocument/2006/relationships/header" Target="/word/header8.xml"/><Relationship Id="Rc958488f4b1f481a" Type="http://schemas.openxmlformats.org/officeDocument/2006/relationships/endnotes" Target="/word/endnotes.xml"/><Relationship Id="R6582326e59534e0f" Type="http://schemas.openxmlformats.org/officeDocument/2006/relationships/theme" Target="/word/theme/theme1.xml"/><Relationship Id="Rfd6cf6c43c504564" Type="http://schemas.openxmlformats.org/officeDocument/2006/relationships/footer" Target="/word/footer3.xml"/><Relationship Id="Rd07523e1c5fa4fc8" Type="http://schemas.openxmlformats.org/officeDocument/2006/relationships/header" Target="/word/header5.xml"/><Relationship Id="Raa63b50b57de4197" Type="http://schemas.openxmlformats.org/officeDocument/2006/relationships/header" Target="/word/header6.xml"/><Relationship Id="Re39dec1272624a4b" Type="http://schemas.openxmlformats.org/officeDocument/2006/relationships/footer" Target="/word/footer6.xml"/><Relationship Id="R4fa06d5140764b1b" Type="http://schemas.openxmlformats.org/officeDocument/2006/relationships/header" Target="/word/header9.xml"/><Relationship Id="Rb347bd6cf75d4372" Type="http://schemas.openxmlformats.org/officeDocument/2006/relationships/footer" Target="/word/footer9.xml"/><Relationship Id="R8fe8a18d06674847" Type="http://schemas.openxmlformats.org/officeDocument/2006/relationships/footer" Target="/word/footer11.xml"/><Relationship Id="Rf7ffec3ff64a4050" Type="http://schemas.openxmlformats.org/officeDocument/2006/relationships/footer" Target="/word/footer18.xml"/><Relationship Id="R21bc9a7de16c44e5" Type="http://schemas.openxmlformats.org/officeDocument/2006/relationships/styles" Target="/word/styles.xml"/><Relationship Id="Raad5b9537c1c4e4f" Type="http://schemas.openxmlformats.org/officeDocument/2006/relationships/image" Target="/media/image.bin"/><Relationship Id="R69484d7ee8fa4008" Type="http://schemas.openxmlformats.org/officeDocument/2006/relationships/footer" Target="/word/footer2.xml"/><Relationship Id="R52473ff205884845" Type="http://schemas.openxmlformats.org/officeDocument/2006/relationships/footer" Target="/word/footer14.xml"/><Relationship Id="R34dcda1bd51347f6" Type="http://schemas.openxmlformats.org/officeDocument/2006/relationships/footer" Target="/word/footer17.xml"/><Relationship Id="R03af4912e1b44b4d" Type="http://schemas.openxmlformats.org/officeDocument/2006/relationships/footnotes" Target="/word/footnotes.xml"/><Relationship Id="R577a23fe8b6a43ab" Type="http://schemas.openxmlformats.org/officeDocument/2006/relationships/header" Target="/word/header15.xml"/><Relationship Id="Re94aacc5644f45d1" Type="http://schemas.openxmlformats.org/officeDocument/2006/relationships/header" Target="/word/header3.xml"/><Relationship Id="Rf39d6727b0b341da" Type="http://schemas.openxmlformats.org/officeDocument/2006/relationships/footer" Target="/word/footer1.xml"/><Relationship Id="rId3" Type="http://schemas.openxmlformats.org/officeDocument/2006/relationships/customXml" Target="../customXml/item3.xml"/><Relationship Id="R9fc8e717e64145f6" Type="http://schemas.openxmlformats.org/officeDocument/2006/relationships/header" Target="/word/header18.xml"/></Relationships>
</file>

<file path=word/_rels/footnotes.xml.rels>&#65279;<?xml version="1.0" encoding="utf-8"?><Relationships xmlns="http://schemas.openxmlformats.org/package/2006/relationships"><Relationship Type="http://schemas.openxmlformats.org/officeDocument/2006/relationships/hyperlink" Target="http://data.europa.eu/eli/C/2023/864/oj" TargetMode="External" Id="rId1" /><Relationship Type="http://schemas.openxmlformats.org/officeDocument/2006/relationships/hyperlink" Target="http://data.europa.eu/eli/C/2025/1035/oj" TargetMode="External" Id="rId2" /></Relationships>
</file>

<file path=word/_rels/header18.xml.rels>&#65279;<?xml version="1.0" encoding="utf-8"?><Relationships xmlns="http://schemas.openxmlformats.org/package/2006/relationships"><Relationship Type="http://schemas.openxmlformats.org/officeDocument/2006/relationships/image" Target="/media/image2.bin" Id="Rfd9efdd35e55492c" /></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855d532572a24974" /><Relationship Type="http://schemas.openxmlformats.org/officeDocument/2006/relationships/fontTable" Target="/word/glossary/fontTable2.xml" Id="Rc4f5543d5b484239" /><Relationship Type="http://schemas.openxmlformats.org/officeDocument/2006/relationships/settings" Target="/word/glossary/settings2.xml" Id="R8ebd08db507b4ba7" /><Relationship Type="http://schemas.openxmlformats.org/officeDocument/2006/relationships/webSettings" Target="/word/glossary/webSettings2.xml" Id="Racefc0dfdab044a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862730-E4A3-41AB-B24D-4FF89B00D9DC}"/>
</file>

<file path=customXml/itemProps2.xml><?xml version="1.0" encoding="utf-8"?>
<ds:datastoreItem xmlns:ds="http://schemas.openxmlformats.org/officeDocument/2006/customXml" ds:itemID="{8D675D92-2EC4-4AEA-B6B7-05E8AC3EDCD7}"/>
</file>

<file path=customXml/itemProps3.xml><?xml version="1.0" encoding="utf-8"?>
<ds:datastoreItem xmlns:ds="http://schemas.openxmlformats.org/officeDocument/2006/customXml" ds:itemID="{DFF0EE13-42BD-4654-8880-F7559B56F767}"/>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Christian%20ANASTASIA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2026-09-03T15:48:18Z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