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media/image5.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d9c05da2356463f" /><Relationship Type="http://schemas.openxmlformats.org/package/2006/relationships/metadata/core-properties" Target="/docProps/core.xml" Id="R4a912c5f53394bcd" /><Relationship Type="http://schemas.openxmlformats.org/officeDocument/2006/relationships/extended-properties" Target="/docProps/app.xml" Id="R9bd79a7aa8394230" /><Relationship Type="http://schemas.openxmlformats.org/officeDocument/2006/relationships/custom-properties" Target="/docProps/custom.xml" Id="R42974c3939c44fc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264889acadb642b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28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it</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8586</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COMPET 489</w:t>
                </w:r>
              </w:p>
              <w:p>
                <w:pPr>
                  <w:pStyle w:val="TBEntRefer"/>
                  <w:tabs>
                    <w:tab w:val="left" w:pos="2265"/>
                  </w:tabs>
                </w:pPr>
                <w:r>
                  <w:t xml:space="preserve">RECH 193</w:t>
                </w:r>
              </w:p>
              <w:p>
                <w:pPr>
                  <w:pStyle w:val="TBEntRefer"/>
                  <w:tabs>
                    <w:tab w:val="left" w:pos="2265"/>
                  </w:tabs>
                </w:pPr>
                <w:r>
                  <w:t xml:space="preserve">FIN 586</w:t>
                </w:r>
              </w:p>
              <w:p>
                <w:pPr>
                  <w:pStyle w:val="TBEntRefer"/>
                  <w:tabs>
                    <w:tab w:val="left" w:pos="2265"/>
                  </w:tabs>
                </w:pPr>
                <w:r>
                  <w:t xml:space="preserve">ENER 202</w:t>
                </w:r>
              </w:p>
              <w:p>
                <w:pPr>
                  <w:pStyle w:val="TBEntRefer"/>
                  <w:tabs>
                    <w:tab w:val="left" w:pos="2265"/>
                  </w:tabs>
                </w:pPr>
                <w:r>
                  <w:t xml:space="preserve">INST 197</w:t>
                </w:r>
              </w:p>
              <w:p>
                <w:pPr>
                  <w:pStyle w:val="TBEntRefer"/>
                  <w:tabs>
                    <w:tab w:val="left" w:pos="2265"/>
                  </w:tabs>
                </w:pPr>
                <w:r>
                  <w:t xml:space="preserve">PARLNAT 103</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2025/0390 (APP)</w:t>
                </w:r>
              </w:p>
              <w:p>
                <w:pPr>
                  <w:pStyle w:val="TBEntReferNew"/>
                  <w:pBdr>
                    <w:top w:val="double" w:color="auto" w:sz="6" w:space="2"/>
                    <w:bottom w:val="double" w:color="auto" w:sz="6" w:space="2"/>
                  </w:pBdr>
                  <w:rPr>
                    <w:sz w:val="23"/>
                    <w:szCs w:val="23"/>
                  </w:rPr>
                </w:pPr>
                <w:r>
                  <w:rPr>
                    <w:sz w:val="23"/>
                    <w:szCs w:val="23"/>
                  </w:rPr>
                  <w:t xml:space="preserve">2025/0398 (NLE)</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Italian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22 April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COUNCIL DECISION laying down the measures necessary for the implementation of Protocol No 37 on the financial consequences of the expiry of the ECSC Treaty and on the Research Fund for Coal and Steel, annexed to the Treaty on European Union and to the Treaty for the Functioning of the European Union [16710/25 -</w:t>
                </w:r>
                <w:r>
                  <w:t xml:space="preserve"> </w:t>
                </w:r>
                <w:r>
                  <w:t xml:space="preserve">COM(2025)759]</w:t>
                </w:r>
              </w:p>
              <w:p>
                <w:pPr>
                  <w:pStyle w:val="TBSubjectText"/>
                </w:pPr>
                <w:r>
                  <w:t xml:space="preserve">Proposal for a COUNCIL DECISION on the adoption of the Research Programme of the Research Fund for Coal and Steel, on the multiannual technical guidelines for this programme, on the multiannual financial guidelines for managing the assets of the Research Fund for Coal and Steel, and repealing Decisions 2003/77/EC and 2008/376/EC [16733/25 -</w:t>
                </w:r>
                <w:r>
                  <w:t xml:space="preserve"> </w:t>
                </w:r>
                <w:r>
                  <w:t xml:space="preserve">COM(2025)760]</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755CE1" w:rsidRDefault="00755CE1" w14:paraId="733E7A2D" w14:textId="7B0A56CE">
      <w:r>
        <w:t>Delegations will find enclosed the opinion</w:t>
      </w:r>
      <w:r>
        <w:rPr>
          <w:rStyle w:val="FootnoteReference"/>
        </w:rPr>
        <w:footnoteReference w:id="2"/>
      </w:r>
      <w:r>
        <w:t xml:space="preserve"> of the Italian Senate on the above.</w:t>
      </w:r>
    </w:p>
    <w:p w:rsidR="00755CE1" w:rsidP="00755CE1" w:rsidRDefault="00755CE1" w14:paraId="688AEA2F" w14:textId="3497314E">
      <w:pPr>
        <w:jc w:val="center"/>
        <w:sectPr w:rsidR="00755CE1" w:rsidSect="007F499B">
          <w:footerReference w:type="even" r:id="Rf06de481d1b24be4"/>
          <w:headerReference w:type="even" r:id="R5856bda0a92a4464"/>
          <w:headerReference w:type="default" r:id="Rdb1cff00b70c4135"/>
          <w:footerReference w:type="default" r:id="R6a83d9bcd286413e"/>
          <w:headerReference w:type="first" r:id="Rbe7f167340c24731"/>
          <w:footerReference w:type="first" r:id="Rc4d50e4553e64239"/>
          <w:pgSz w:w="11907" w:h="16840" w:code="9"/>
          <w:pgMar w:top="624" w:right="1134" w:bottom="1134" w:left="1134" w:header="567" w:footer="567" w:gutter="0"/>
          <w:pgNumType w:start="0"/>
          <w:cols w:space="708"/>
          <w:titlePg/>
          <w:docGrid w:linePitch="360"/>
          <w:pgSz w:w="11907" w:h="16840" w:code="9"/>
          <w:pgSz w:w="11907" w:h="16840" w:code="9"/>
        </w:sectPr>
      </w:pPr>
      <w:r>
        <w:t>____________________________</w:t>
      </w:r>
    </w:p>
    <w:p w:rsidR="00755CE1" w:rsidP="007E0FF0" w:rsidRDefault="00755CE1" w14:paraId="688AEA30" w14:textId="77777777">
      <w:pPr>
        <w:pStyle w:val="NoSpacing"/>
      </w:pPr>
      <w:r>
        <w:rPr>
          <w:noProof/>
        </w:rPr>
        <w:lastRenderedPageBreak/>
        <w:drawing>
          <wp:anchor distT="0" distB="0" distL="114300" distR="114300" simplePos="0" relativeHeight="251658240" behindDoc="0" locked="0" layoutInCell="1" allowOverlap="1" wp14:editId="688AEA3B" wp14:anchorId="688AEA3A">
            <wp:simplePos x="0" y="0"/>
            <wp:positionH relativeFrom="column">
              <wp:posOffset>-352425</wp:posOffset>
            </wp:positionH>
            <wp:positionV relativeFrom="paragraph">
              <wp:posOffset>-708660</wp:posOffset>
            </wp:positionV>
            <wp:extent cx="6930001" cy="9756000"/>
            <wp:effectExtent l="0" t="0" r="4445"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5574423" name=""/>
                    <pic:cNvPicPr/>
                  </pic:nvPicPr>
                  <pic:blipFill>
                    <a:blip r:embed="Rebab0a9daf344d0a">
                      <a:extLst>
                        <a:ext uri="{28A0092B-C50C-407E-A947-70E740481C1C}">
                          <a14:useLocalDpi xmlns:a14="http://schemas.microsoft.com/office/drawing/2010/main" val="0"/>
                        </a:ext>
                      </a:extLst>
                    </a:blip>
                    <a:stretch>
                      <a:fillRect/>
                    </a:stretch>
                  </pic:blipFill>
                  <pic:spPr>
                    <a:xfrm>
                      <a:off x="0" y="0"/>
                      <a:ext cx="6930001" cy="9756000"/>
                    </a:xfrm>
                    <a:prstGeom prst="rect">
                      <a:avLst/>
                    </a:prstGeom>
                  </pic:spPr>
                </pic:pic>
              </a:graphicData>
            </a:graphic>
            <wp14:sizeRelH relativeFrom="margin">
              <wp14:pctWidth>0</wp14:pctWidth>
            </wp14:sizeRelH>
            <wp14:sizeRelV relativeFrom="margin">
              <wp14:pctHeight>0</wp14:pctHeight>
            </wp14:sizeRelV>
          </wp:anchor>
        </w:drawing>
      </w:r>
    </w:p>
    <w:p w:rsidR="00755CE1" w:rsidRDefault="00755CE1" w14:paraId="688AEA31" w14:textId="77777777">
      <w:pPr>
        <w:spacing w:after="160" w:line="259" w:lineRule="auto"/>
      </w:pPr>
      <w:r>
        <w:br w:type="page"/>
      </w:r>
    </w:p>
    <w:p w:rsidR="00755CE1" w:rsidP="007E0FF0" w:rsidRDefault="00755CE1" w14:paraId="688AEA32" w14:textId="77777777">
      <w:pPr>
        <w:pStyle w:val="NoSpacing"/>
      </w:pPr>
      <w:r>
        <w:rPr>
          <w:noProof/>
        </w:rPr>
        <w:lastRenderedPageBreak/>
        <w:drawing>
          <wp:anchor distT="0" distB="0" distL="114300" distR="114300" simplePos="0" relativeHeight="251659264" behindDoc="0" locked="0" layoutInCell="1" allowOverlap="1" wp14:editId="688AEA3D" wp14:anchorId="688AEA3C">
            <wp:simplePos x="0" y="0"/>
            <wp:positionH relativeFrom="column">
              <wp:posOffset>-352425</wp:posOffset>
            </wp:positionH>
            <wp:positionV relativeFrom="paragraph">
              <wp:posOffset>-708660</wp:posOffset>
            </wp:positionV>
            <wp:extent cx="6930001" cy="9756000"/>
            <wp:effectExtent l="0" t="0" r="4445"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453374" name=""/>
                    <pic:cNvPicPr/>
                  </pic:nvPicPr>
                  <pic:blipFill>
                    <a:blip r:embed="Rbb7e86f385014bca">
                      <a:extLst>
                        <a:ext uri="{28A0092B-C50C-407E-A947-70E740481C1C}">
                          <a14:useLocalDpi xmlns:a14="http://schemas.microsoft.com/office/drawing/2010/main" val="0"/>
                        </a:ext>
                      </a:extLst>
                    </a:blip>
                    <a:stretch>
                      <a:fillRect/>
                    </a:stretch>
                  </pic:blipFill>
                  <pic:spPr>
                    <a:xfrm>
                      <a:off x="0" y="0"/>
                      <a:ext cx="6930001" cy="9756000"/>
                    </a:xfrm>
                    <a:prstGeom prst="rect">
                      <a:avLst/>
                    </a:prstGeom>
                  </pic:spPr>
                </pic:pic>
              </a:graphicData>
            </a:graphic>
            <wp14:sizeRelH relativeFrom="margin">
              <wp14:pctWidth>0</wp14:pctWidth>
            </wp14:sizeRelH>
            <wp14:sizeRelV relativeFrom="margin">
              <wp14:pctHeight>0</wp14:pctHeight>
            </wp14:sizeRelV>
          </wp:anchor>
        </w:drawing>
      </w:r>
    </w:p>
    <w:p w:rsidR="00755CE1" w:rsidRDefault="00755CE1" w14:paraId="688AEA33" w14:textId="77777777">
      <w:pPr>
        <w:spacing w:after="160" w:line="259" w:lineRule="auto"/>
      </w:pPr>
      <w:r>
        <w:br w:type="page"/>
      </w:r>
    </w:p>
    <w:p w:rsidR="00755CE1" w:rsidP="007E0FF0" w:rsidRDefault="00755CE1" w14:paraId="688AEA34" w14:textId="77777777">
      <w:pPr>
        <w:pStyle w:val="NoSpacing"/>
      </w:pPr>
      <w:r>
        <w:rPr>
          <w:noProof/>
        </w:rPr>
        <w:lastRenderedPageBreak/>
        <w:drawing>
          <wp:anchor distT="0" distB="0" distL="114300" distR="114300" simplePos="0" relativeHeight="251660288" behindDoc="0" locked="0" layoutInCell="1" allowOverlap="1" wp14:editId="688AEA3F" wp14:anchorId="688AEA3E">
            <wp:simplePos x="0" y="0"/>
            <wp:positionH relativeFrom="column">
              <wp:posOffset>-352425</wp:posOffset>
            </wp:positionH>
            <wp:positionV relativeFrom="paragraph">
              <wp:posOffset>-708660</wp:posOffset>
            </wp:positionV>
            <wp:extent cx="6930001" cy="9756000"/>
            <wp:effectExtent l="0" t="0" r="4445" b="0"/>
            <wp:wrapNone/>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6617679" name=""/>
                    <pic:cNvPicPr/>
                  </pic:nvPicPr>
                  <pic:blipFill>
                    <a:blip r:embed="Ra6638057632a439f">
                      <a:extLst>
                        <a:ext uri="{28A0092B-C50C-407E-A947-70E740481C1C}">
                          <a14:useLocalDpi xmlns:a14="http://schemas.microsoft.com/office/drawing/2010/main" val="0"/>
                        </a:ext>
                      </a:extLst>
                    </a:blip>
                    <a:stretch>
                      <a:fillRect/>
                    </a:stretch>
                  </pic:blipFill>
                  <pic:spPr>
                    <a:xfrm>
                      <a:off x="0" y="0"/>
                      <a:ext cx="6930001" cy="9756000"/>
                    </a:xfrm>
                    <a:prstGeom prst="rect">
                      <a:avLst/>
                    </a:prstGeom>
                  </pic:spPr>
                </pic:pic>
              </a:graphicData>
            </a:graphic>
            <wp14:sizeRelH relativeFrom="margin">
              <wp14:pctWidth>0</wp14:pctWidth>
            </wp14:sizeRelH>
            <wp14:sizeRelV relativeFrom="margin">
              <wp14:pctHeight>0</wp14:pctHeight>
            </wp14:sizeRelV>
          </wp:anchor>
        </w:drawing>
      </w:r>
    </w:p>
    <w:p w:rsidR="00755CE1" w:rsidRDefault="00755CE1" w14:paraId="688AEA35" w14:textId="77777777">
      <w:pPr>
        <w:spacing w:after="160" w:line="259" w:lineRule="auto"/>
      </w:pPr>
      <w:r>
        <w:br w:type="page"/>
      </w:r>
    </w:p>
    <w:p w:rsidR="00755CE1" w:rsidP="007E0FF0" w:rsidRDefault="00755CE1" w14:paraId="688AEA36" w14:textId="77777777">
      <w:pPr>
        <w:pStyle w:val="NoSpacing"/>
      </w:pPr>
      <w:r>
        <w:rPr>
          <w:noProof/>
        </w:rPr>
        <w:lastRenderedPageBreak/>
        <w:drawing>
          <wp:anchor distT="0" distB="0" distL="114300" distR="114300" simplePos="0" relativeHeight="251661312" behindDoc="0" locked="0" layoutInCell="1" allowOverlap="1" wp14:editId="688AEA41" wp14:anchorId="688AEA40">
            <wp:simplePos x="0" y="0"/>
            <wp:positionH relativeFrom="column">
              <wp:posOffset>-352425</wp:posOffset>
            </wp:positionH>
            <wp:positionV relativeFrom="paragraph">
              <wp:posOffset>-708660</wp:posOffset>
            </wp:positionV>
            <wp:extent cx="6930001" cy="9756000"/>
            <wp:effectExtent l="0" t="0" r="4445" b="0"/>
            <wp:wrapNone/>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746639" name=""/>
                    <pic:cNvPicPr/>
                  </pic:nvPicPr>
                  <pic:blipFill>
                    <a:blip r:embed="R439976b891354ca9">
                      <a:extLst>
                        <a:ext uri="{28A0092B-C50C-407E-A947-70E740481C1C}">
                          <a14:useLocalDpi xmlns:a14="http://schemas.microsoft.com/office/drawing/2010/main" val="0"/>
                        </a:ext>
                      </a:extLst>
                    </a:blip>
                    <a:stretch>
                      <a:fillRect/>
                    </a:stretch>
                  </pic:blipFill>
                  <pic:spPr>
                    <a:xfrm>
                      <a:off x="0" y="0"/>
                      <a:ext cx="6930001" cy="9756000"/>
                    </a:xfrm>
                    <a:prstGeom prst="rect">
                      <a:avLst/>
                    </a:prstGeom>
                  </pic:spPr>
                </pic:pic>
              </a:graphicData>
            </a:graphic>
            <wp14:sizeRelH relativeFrom="margin">
              <wp14:pctWidth>0</wp14:pctWidth>
            </wp14:sizeRelH>
            <wp14:sizeRelV relativeFrom="margin">
              <wp14:pctHeight>0</wp14:pctHeight>
            </wp14:sizeRelV>
          </wp:anchor>
        </w:drawing>
      </w:r>
    </w:p>
    <w:p w:rsidR="00755CE1" w:rsidP="00CE6D14" w:rsidRDefault="00755CE1" w14:paraId="688AEA37" w14:textId="77777777">
      <w:pPr>
        <w:spacing w:after="160" w:line="259" w:lineRule="auto"/>
      </w:pPr>
    </w:p>
    <w:sectPr w:rsidR="00CE6D14" w:rsidSect="00B47D14">
      <w:headerReference w:type="even" r:id="Rd61de21099ce4655"/>
      <w:headerReference w:type="default" r:id="Rcf0bd9057a604dd8"/>
      <w:footerReference w:type="even" r:id="R8c2a4988b5484145"/>
      <w:footerReference w:type="default" r:id="Rcc5099b6905247fe"/>
      <w:headerReference w:type="first" r:id="R37f4a21ea1e64fb1"/>
      <w:footerReference w:type="first" r:id="Rf1a705bd8de54f6a"/>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8586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8586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8AEA4A" w14:textId="77777777">
      <w:trPr>
        <w:jc w:val="center"/>
      </w:trPr>
      <w:tc>
        <w:tcPr>
          <w:tcW w:w="5000" w:type="pct"/>
          <w:gridSpan w:val="7"/>
          <w:shd w:val="clear" w:color="auto" w:fill="auto"/>
          <w:tcMar>
            <w:top w:w="57" w:type="dxa"/>
          </w:tcMar>
        </w:tcPr>
        <w:p w:rsidRPr="00D94637" w:rsidR="00755CE1" w:rsidP="00D94637" w:rsidRDefault="00755CE1" w14:paraId="688AEA49" w14:textId="77777777">
          <w:pPr>
            <w:pStyle w:val="FooterText"/>
            <w:pBdr>
              <w:top w:val="single" w:color="auto" w:sz="4" w:space="1"/>
            </w:pBdr>
            <w:spacing w:before="200"/>
            <w:rPr>
              <w:sz w:val="2"/>
              <w:szCs w:val="2"/>
            </w:rPr>
          </w:pPr>
        </w:p>
      </w:tc>
    </w:tr>
    <w:tr w:rsidRPr="00B310DC" w:rsidR="004F54B2" w:rsidTr="00842D7E" w14:paraId="688AEA4F" w14:textId="77777777">
      <w:trPr>
        <w:jc w:val="center"/>
      </w:trPr>
      <w:tc>
        <w:tcPr>
          <w:tcW w:w="2500" w:type="pct"/>
          <w:gridSpan w:val="2"/>
          <w:shd w:val="clear" w:color="auto" w:fill="auto"/>
          <w:tcMar>
            <w:top w:w="0" w:type="dxa"/>
          </w:tcMar>
        </w:tcPr>
        <w:p w:rsidRPr="00AD7BF2" w:rsidR="00755CE1" w:rsidP="004F54B2" w:rsidRDefault="00755CE1" w14:paraId="688AEA4B" w14:textId="77777777">
          <w:pPr>
            <w:pStyle w:val="FooterText"/>
          </w:pPr>
          <w:r>
            <w:t>8586</w:t>
          </w:r>
          <w:r>
            <w:t>/</w:t>
          </w:r>
          <w:r>
            <w:t>26</w:t>
          </w:r>
          <w:r w:rsidRPr="002511D8">
            <w:t xml:space="preserve"> </w:t>
          </w:r>
        </w:p>
      </w:tc>
      <w:tc>
        <w:tcPr>
          <w:tcW w:w="625" w:type="pct"/>
          <w:shd w:val="clear" w:color="auto" w:fill="auto"/>
          <w:tcMar>
            <w:top w:w="0" w:type="dxa"/>
          </w:tcMar>
        </w:tcPr>
        <w:p w:rsidRPr="00AD7BF2" w:rsidR="00755CE1" w:rsidP="00D94637" w:rsidRDefault="00755CE1" w14:paraId="688AEA4C" w14:textId="77777777">
          <w:pPr>
            <w:pStyle w:val="FooterText"/>
            <w:jc w:val="center"/>
          </w:pPr>
        </w:p>
      </w:tc>
      <w:tc>
        <w:tcPr>
          <w:tcW w:w="1286" w:type="pct"/>
          <w:gridSpan w:val="3"/>
          <w:shd w:val="clear" w:color="auto" w:fill="auto"/>
          <w:tcMar>
            <w:top w:w="0" w:type="dxa"/>
          </w:tcMar>
        </w:tcPr>
        <w:p w:rsidRPr="002511D8" w:rsidR="00755CE1" w:rsidP="00D94637" w:rsidRDefault="00755CE1" w14:paraId="688AEA4D" w14:textId="77777777">
          <w:pPr>
            <w:pStyle w:val="FooterText"/>
            <w:jc w:val="center"/>
          </w:pPr>
        </w:p>
      </w:tc>
      <w:tc>
        <w:tcPr>
          <w:tcW w:w="589" w:type="pct"/>
          <w:shd w:val="clear" w:color="auto" w:fill="auto"/>
          <w:tcMar>
            <w:top w:w="0" w:type="dxa"/>
          </w:tcMar>
        </w:tcPr>
        <w:p w:rsidRPr="00B310DC" w:rsidR="00755CE1" w:rsidP="00D94637" w:rsidRDefault="00755CE1" w14:paraId="688AEA4E"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688AEA54" w14:textId="77777777">
      <w:trPr>
        <w:jc w:val="center"/>
      </w:trPr>
      <w:tc>
        <w:tcPr>
          <w:tcW w:w="1774" w:type="pct"/>
          <w:shd w:val="clear" w:color="auto" w:fill="auto"/>
        </w:tcPr>
        <w:p w:rsidRPr="00AD7BF2" w:rsidR="00755CE1" w:rsidP="00D94637" w:rsidRDefault="00755CE1" w14:paraId="688AEA50" w14:textId="77777777">
          <w:pPr>
            <w:pStyle w:val="FooterText"/>
            <w:spacing w:before="40"/>
          </w:pPr>
        </w:p>
      </w:tc>
      <w:tc>
        <w:tcPr>
          <w:tcW w:w="1455" w:type="pct"/>
          <w:gridSpan w:val="3"/>
          <w:shd w:val="clear" w:color="auto" w:fill="auto"/>
        </w:tcPr>
        <w:p w:rsidRPr="00AD7BF2" w:rsidR="00755CE1" w:rsidP="00D204D6" w:rsidRDefault="00755CE1" w14:paraId="688AEA51" w14:textId="77777777">
          <w:pPr>
            <w:pStyle w:val="FooterText"/>
            <w:spacing w:before="40"/>
            <w:jc w:val="center"/>
          </w:pPr>
          <w:r>
            <w:t>COMPET.2</w:t>
          </w:r>
        </w:p>
      </w:tc>
      <w:tc>
        <w:tcPr>
          <w:tcW w:w="742" w:type="pct"/>
          <w:shd w:val="clear" w:color="auto" w:fill="auto"/>
        </w:tcPr>
        <w:p w:rsidRPr="00D94637" w:rsidR="00755CE1" w:rsidP="002F0099" w:rsidRDefault="00755CE1" w14:paraId="688AEA52" w14:textId="77777777">
          <w:pPr>
            <w:pStyle w:val="FooterText"/>
            <w:jc w:val="center"/>
            <w:rPr>
              <w:b/>
              <w:position w:val="-4"/>
              <w:sz w:val="36"/>
            </w:rPr>
          </w:pPr>
        </w:p>
      </w:tc>
      <w:tc>
        <w:tcPr>
          <w:tcW w:w="1029" w:type="pct"/>
          <w:gridSpan w:val="2"/>
          <w:shd w:val="clear" w:color="auto" w:fill="auto"/>
        </w:tcPr>
        <w:p w:rsidRPr="00695BAF" w:rsidR="00755CE1" w:rsidP="00D94637" w:rsidRDefault="00755CE1" w14:paraId="688AEA53" w14:textId="77777777">
          <w:pPr>
            <w:pStyle w:val="FooterText"/>
            <w:jc w:val="right"/>
            <w:rPr>
              <w:caps/>
              <w:spacing w:val="-20"/>
              <w:sz w:val="16"/>
            </w:rPr>
          </w:pPr>
          <w:r>
            <w:rPr>
              <w:b/>
              <w:caps/>
              <w:spacing w:val="-20"/>
              <w:position w:val="-4"/>
              <w:sz w:val="36"/>
            </w:rPr>
            <w:t>EN‌/IT</w:t>
          </w:r>
        </w:p>
      </w:tc>
    </w:tr>
  </w:tbl>
  <w:p w:rsidR="003E7F7C" w:rsidRDefault="003E7F7C" w14:paraId="688AEA55"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8586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8586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9"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CE1" w:rsidP="005037DB" w:rsidRDefault="00755CE1" w14:paraId="688AEA42" w14:textId="77777777">
      <w:pPr>
        <w:spacing w:line="240" w:lineRule="auto"/>
      </w:pPr>
      <w:r>
        <w:separator/>
      </w:r>
    </w:p>
  </w:footnote>
  <w:footnote w:type="continuationSeparator" w:id="0">
    <w:p w:rsidR="00755CE1" w:rsidP="005037DB" w:rsidRDefault="00755CE1" w14:paraId="688AEA43" w14:textId="77777777">
      <w:pPr>
        <w:spacing w:line="240" w:lineRule="auto"/>
      </w:pPr>
      <w:r>
        <w:continuationSeparator/>
      </w:r>
    </w:p>
  </w:footnote>
  <w:footnote w:id="2">
    <w:p w:rsidRPr="00755CE1" w:rsidR="00755CE1" w:rsidP="00755CE1" w:rsidRDefault="00755CE1" w14:paraId="230EC3A8" w14:textId="1A616270">
      <w:pPr>
        <w:pStyle w:val="FootnoteText"/>
        <w:ind w:left="567" w:hanging="567"/>
        <w:rPr>
          <w:sz w:val="24"/>
          <w:szCs w:val="24"/>
        </w:rPr>
      </w:pPr>
      <w:r>
        <w:rPr>
          <w:rStyle w:val="FootnoteReference"/>
        </w:rPr>
        <w:footnoteRef/>
      </w:r>
      <w:r>
        <w:t xml:space="preserve"> </w:t>
      </w:r>
      <w:r w:rsidRPr="00755CE1">
        <w:tab/>
      </w:r>
      <w:r w:rsidRPr="00755CE1">
        <w:rPr>
          <w:sz w:val="24"/>
          <w:szCs w:val="24"/>
        </w:rPr>
        <w:t>T</w:t>
      </w:r>
      <w:r w:rsidRPr="00755CE1">
        <w:rPr>
          <w:sz w:val="24"/>
          <w:szCs w:val="24"/>
        </w:rPr>
        <w:t xml:space="preserve">ranslation(s) of the opinion may be available on the Interparliamentary EU Information Exchange website (IPEX) at the following address: </w:t>
      </w:r>
      <w:r w:rsidRPr="00755CE1">
        <w:rPr>
          <w:sz w:val="24"/>
          <w:szCs w:val="24"/>
        </w:rPr>
        <w:t xml:space="preserve"> </w:t>
      </w:r>
      <w:hyperlink w:history="1" r:id="rId1">
        <w:r w:rsidRPr="00755CE1">
          <w:rPr>
            <w:rStyle w:val="Hyperlink"/>
            <w:sz w:val="24"/>
            <w:szCs w:val="24"/>
          </w:rPr>
          <w:t>https://secure.ipex.eu/IPEXL-WEB/document/COM-2025-0759</w:t>
        </w:r>
      </w:hyperlink>
      <w:r w:rsidRPr="00755CE1">
        <w:rPr>
          <w:sz w:val="24"/>
          <w:szCs w:val="24"/>
        </w:rPr>
        <w:t xml:space="preserve"> and </w:t>
      </w:r>
      <w:hyperlink w:history="1" r:id="rId2">
        <w:r w:rsidRPr="00755CE1">
          <w:rPr>
            <w:rStyle w:val="Hyperlink"/>
            <w:sz w:val="24"/>
            <w:szCs w:val="24"/>
          </w:rPr>
          <w:t>https://secure.ipex.eu/IPEXL-WEB/document/COM-2025-0760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755CE1" w14:paraId="688AEA47"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F7C" w:rsidRDefault="003E7F7C" w14:paraId="688AEA6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IT&quot; text=&quot;IT&quot; /&gt;&#13;&#10;    &lt;/basicdatatypelist&gt;&#13;&#10;  &lt;/metadata&gt;&#13;&#10;  &lt;metadata key=&quot;md_OriginalLanguages&quot;&gt;&#13;&#10;    &lt;basicdatatypelist&gt;&#13;&#10;      &lt;language key=&quot;EN&quot; text=&quot;EN&quot; /&gt;&#13;&#10;      &lt;language key=&quot;IT&quot; text=&quot;IT&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28&lt;/text&gt;&#13;&#10;  &lt;/metadata&gt;&#13;&#10;  &lt;metadata key=&quot;md_Prefix&quot;&gt;&#13;&#10;    &lt;text&gt;&lt;/text&gt;&#13;&#10;  &lt;/metadata&gt;&#13;&#10;  &lt;metadata key=&quot;md_DocumentNumber&quot;&gt;&#13;&#10;    &lt;text&gt;8586&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MPET 489&lt;/text&gt;&#13;&#10;      &lt;text&gt;RECH 193&lt;/text&gt;&#13;&#10;      &lt;text&gt;FIN 586&lt;/text&gt;&#13;&#10;      &lt;text&gt;ENER 202&lt;/text&gt;&#13;&#10;      &lt;text&gt;INST 197&lt;/text&gt;&#13;&#10;      &lt;text&gt;PARLNAT 103&lt;/text&gt;&#13;&#10;    &lt;/textlist&gt;&#13;&#10;  &lt;/metadata&gt;&#13;&#10;  &lt;metadata key=&quot;md_ThirdPartyDistributionMarkers&quot;&gt;&#13;&#10;    &lt;textlist /&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90 (APP)&lt;/text&gt;&#13;&#10;      &lt;text&gt;2025/0398 (NLE)&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Italian Senate&quot;&gt;&amp;lt;FlowDocument xmlns=&quot;http://schemas.microsoft.com/winfx/2006/xaml/presentation&quot;&amp;gt;&amp;lt;Paragraph&amp;gt;The Italian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4-2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COUNCIL DECISION laying down the measures necessary for the implementation of Protocol No 37 on the financial consequences of the expiry of the ECSC Treaty and on the Research Fund for Coal and Steel, annexed to the Treaty on European Union and to the Treaty for the Functioning of the European Union [16710/25 - COM(2025)759] Proposal for a COUNCIL DECISION on the adoption of the Research Programme of the Research Fund for Coal and Steel, on the multiannual technical guidelines for this programme, on the multiannual financial guidelines for managing the assets of the Research Fund for Coal and Steel, and repealing Decisions 2003/77/EC and 2008/376/EC [16733/25 - COM(2025)760] - Opinion on the application of the Principles of Subsidiarity and Proportionality&quot;&gt;&amp;lt;FlowDocument xmlns=&quot;http://schemas.microsoft.com/winfx/2006/xaml/presentation&quot;&amp;gt;&amp;lt;Paragraph&amp;gt;Proposal for a COUNCIL DECISION laying down the measures necessary for the implementation of Protocol No 37 on the financial consequences of the expiry of the ECSC Treaty and on the Research Fund for Coal and Steel, annexed to the Treaty on European Union and to the Treaty for the Functioning of the European Union [16710/25 - COM(2025)759]&amp;lt;/Paragraph&amp;gt;&amp;lt;Paragraph&amp;gt;Proposal for a COUNCIL DECISION on the adoption of the Research Programme of the Research Fund for Coal and Steel, on the multiannual technical guidelines for this programme, on the multiannual financial guidelines for managing the assets of the Research Fund for Coal and Steel, and repealing Decisions 2003/77/EC and 2008/376/EC [16733/25 - COM(2025)760]&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COMPET.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755CE1"/>
    <w:pPr>
      <w:spacing w:line="240" w:lineRule="auto"/>
    </w:pPr>
    <w:rPr>
      <w:sz w:val="20"/>
      <w:szCs w:val="20"/>
    </w:rPr>
  </w:style>
  <w:style w:type="character" w:styleId="FootnoteTextChar" w:customStyle="1">
    <w:name w:val="Footnote Text Char"/>
    <w:basedOn w:val="DefaultParagraphFont"/>
    <w:link w:val="FootnoteText"/>
    <w:uiPriority w:val="99"/>
    <w:semiHidden/>
    <w:rsid w:val="00755CE1"/>
    <w:rPr>
      <w:rFonts w:ascii="Times New Roman" w:hAnsi="Times New Roman"/>
      <w:sz w:val="20"/>
      <w:szCs w:val="20"/>
    </w:rPr>
  </w:style>
  <w:style w:type="character" w:styleId="FootnoteReference">
    <w:name w:val="footnote reference"/>
    <w:basedOn w:val="DefaultParagraphFont"/>
    <w:uiPriority w:val="99"/>
    <w:semiHidden/>
    <w:unhideWhenUsed/>
    <w:rsid w:val="00755CE1"/>
    <w:rPr>
      <w:vertAlign w:val="superscript"/>
    </w:rPr>
  </w:style>
  <w:style w:type="character" w:styleId="Hyperlink">
    <w:name w:val="Hyperlink"/>
    <w:basedOn w:val="DefaultParagraphFont"/>
    <w:uiPriority w:val="99"/>
    <w:unhideWhenUsed/>
    <w:rsid w:val="00755CE1"/>
    <w:rPr>
      <w:color w:val="0000FF" w:themeColor="hyperlink"/>
      <w:u w:val="single"/>
    </w:rPr>
  </w:style>
  <w:style w:type="character" w:styleId="UnresolvedMention">
    <w:name w:val="Unresolved Mention"/>
    <w:basedOn w:val="DefaultParagraphFont"/>
    <w:uiPriority w:val="99"/>
    <w:semiHidden/>
    <w:unhideWhenUsed/>
    <w:rsid w:val="00755CE1"/>
    <w:rPr>
      <w:color w:val="605E5C"/>
      <w:shd w:val="clear" w:color="auto" w:fill="E1DFDD"/>
    </w:rPr>
  </w:style>
  <w:style w:type="paragraph" w:styleId="Final" w:customStyle="1">
    <w:name w:val="Final"/>
    <w:basedOn w:val="Normal"/>
    <w:rsid w:val="00755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67f3fa327c3d47bd" Type="http://schemas.openxmlformats.org/officeDocument/2006/relationships/settings" Target="/word/settings.xml"/><Relationship Id="Rb30bf86adf9c43e2" Type="http://schemas.openxmlformats.org/officeDocument/2006/relationships/webSettings" Target="/word/webSettings.xml"/><Relationship Id="R264889acadb642b0" Type="http://schemas.openxmlformats.org/officeDocument/2006/relationships/image" Target="/media/image.bin"/><Relationship Id="Rbb7e86f385014bca" Type="http://schemas.openxmlformats.org/officeDocument/2006/relationships/image" Target="/media/image3.bin"/><Relationship Id="R439976b891354ca9" Type="http://schemas.openxmlformats.org/officeDocument/2006/relationships/image" Target="/media/image5.bin"/><Relationship Id="rId3" Type="http://schemas.openxmlformats.org/officeDocument/2006/relationships/customXml" Target="../customXml/item3.xml"/><Relationship Id="Rebab0a9daf344d0a" Type="http://schemas.openxmlformats.org/officeDocument/2006/relationships/image" Target="/media/image2.bin"/><Relationship Id="Rf06de481d1b24be4" Type="http://schemas.openxmlformats.org/officeDocument/2006/relationships/footer" Target="/word/footer4.xml"/><Relationship Id="Rd61de21099ce4655" Type="http://schemas.openxmlformats.org/officeDocument/2006/relationships/header" Target="/word/header7.xml"/><Relationship Id="Re17ded38de4f4d0d" Type="http://schemas.openxmlformats.org/officeDocument/2006/relationships/theme" Target="/word/theme/theme1.xml"/><Relationship Id="Rae963bbf1ac04132" Type="http://schemas.openxmlformats.org/officeDocument/2006/relationships/footer" Target="/word/footer2.xml"/><Relationship Id="R6a83d9bcd286413e" Type="http://schemas.openxmlformats.org/officeDocument/2006/relationships/footer" Target="/word/footer5.xml"/><Relationship Id="R37f4a21ea1e64fb1" Type="http://schemas.openxmlformats.org/officeDocument/2006/relationships/header" Target="/word/header9.xml"/><Relationship Id="rId2" Type="http://schemas.openxmlformats.org/officeDocument/2006/relationships/customXml" Target="../customXml/item2.xml"/><Relationship Id="R3481b51117c74f4b" Type="http://schemas.openxmlformats.org/officeDocument/2006/relationships/styles" Target="/word/styles.xml"/><Relationship Id="Ra528aba5485a4e4c" Type="http://schemas.openxmlformats.org/officeDocument/2006/relationships/fontTable" Target="/word/fontTable.xml"/><Relationship Id="R7d3106bf98c84f79" Type="http://schemas.openxmlformats.org/officeDocument/2006/relationships/header" Target="/word/header3.xml"/><Relationship Id="Rcf0bd9057a604dd8" Type="http://schemas.openxmlformats.org/officeDocument/2006/relationships/header" Target="/word/header8.xml"/><Relationship Id="rId1" Type="http://schemas.openxmlformats.org/officeDocument/2006/relationships/customXml" Target="../customXml/item1.xml"/><Relationship Id="R72e37b1235a1441a" Type="http://schemas.openxmlformats.org/officeDocument/2006/relationships/endnotes" Target="/word/endnotes.xml"/><Relationship Id="R8ffe96626f9944b4" Type="http://schemas.openxmlformats.org/officeDocument/2006/relationships/header" Target="/word/header1.xml"/><Relationship Id="R6eec000ac8e341e2" Type="http://schemas.openxmlformats.org/officeDocument/2006/relationships/footer" Target="/word/footer3.xml"/><Relationship Id="Ra6638057632a439f" Type="http://schemas.openxmlformats.org/officeDocument/2006/relationships/image" Target="/media/image4.bin"/><Relationship Id="R5856bda0a92a4464" Type="http://schemas.openxmlformats.org/officeDocument/2006/relationships/header" Target="/word/header4.xml"/><Relationship Id="Rdb1cff00b70c4135" Type="http://schemas.openxmlformats.org/officeDocument/2006/relationships/header" Target="/word/header5.xml"/><Relationship Id="R8bf18b982c9d4c0f" Type="http://schemas.openxmlformats.org/officeDocument/2006/relationships/glossaryDocument" Target="/word/glossary/document.xml"/><Relationship Id="R8c2a4988b5484145" Type="http://schemas.openxmlformats.org/officeDocument/2006/relationships/footer" Target="/word/footer7.xml"/><Relationship Id="Rcc5099b6905247fe" Type="http://schemas.openxmlformats.org/officeDocument/2006/relationships/footer" Target="/word/footer8.xml"/><Relationship Id="R4b484cc386cc4f6d" Type="http://schemas.openxmlformats.org/officeDocument/2006/relationships/footnotes" Target="/word/footnotes.xml"/><Relationship Id="Ra56f9589f13c48c6" Type="http://schemas.openxmlformats.org/officeDocument/2006/relationships/header" Target="/word/header2.xml"/><Relationship Id="R5b09b8cbe3d74c6d" Type="http://schemas.openxmlformats.org/officeDocument/2006/relationships/footer" Target="/word/footer1.xml"/><Relationship Id="Rbe7f167340c24731" Type="http://schemas.openxmlformats.org/officeDocument/2006/relationships/header" Target="/word/header6.xml"/><Relationship Id="Rc4d50e4553e64239" Type="http://schemas.openxmlformats.org/officeDocument/2006/relationships/footer" Target="/word/footer6.xml"/><Relationship Id="Rf1a705bd8de54f6a" Type="http://schemas.openxmlformats.org/officeDocument/2006/relationships/footer" Target="/word/footer9.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759" TargetMode="External" Id="rId1" /><Relationship Type="http://schemas.openxmlformats.org/officeDocument/2006/relationships/hyperlink" Target="https://secure.ipex.eu/IPEXL-WEB/document/COM-2025-0760"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8b79cf4102f24318" /><Relationship Type="http://schemas.openxmlformats.org/officeDocument/2006/relationships/fontTable" Target="/word/glossary/fontTable2.xml" Id="Rea60899dcd6243a0" /><Relationship Type="http://schemas.openxmlformats.org/officeDocument/2006/relationships/settings" Target="/word/glossary/settings2.xml" Id="Racf6a4e75ad24039" /><Relationship Type="http://schemas.openxmlformats.org/officeDocument/2006/relationships/webSettings" Target="/word/glossary/webSettings2.xml" Id="Raa6dc360420846d5"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2C5C84-3503-4161-8B57-F793CE394DDE}"/>
</file>

<file path=customXml/itemProps2.xml><?xml version="1.0" encoding="utf-8"?>
<ds:datastoreItem xmlns:ds="http://schemas.openxmlformats.org/officeDocument/2006/customXml" ds:itemID="{65D3452A-7725-42C8-82D6-FBFC70F637B5}"/>
</file>

<file path=customXml/itemProps3.xml><?xml version="1.0" encoding="utf-8"?>
<ds:datastoreItem xmlns:ds="http://schemas.openxmlformats.org/officeDocument/2006/customXml" ds:itemID="{BF320207-A25A-4028-9C27-721A329B3895}"/>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Laurence%20VANHULLE</dc:creator>
  <cp:keywords/>
  <dc:description/>
  <cp:lastModifiedBy>Laurence%20VANHULLE</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2026-04-28T09:41:00Z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