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media/image4.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7d559fab4252414d" /><Relationship Type="http://schemas.openxmlformats.org/package/2006/relationships/metadata/core-properties" Target="/docProps/core.xml" Id="R73404c8559e7458e" /><Relationship Type="http://schemas.openxmlformats.org/officeDocument/2006/relationships/extended-properties" Target="/docProps/app.xml" Id="R65b52d32769d4e02" /><Relationship Type="http://schemas.openxmlformats.org/officeDocument/2006/relationships/custom-properties" Target="/docProps/custom.xml" Id="Re7367720c743419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8bd54cb1f1964cfb"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6 May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it</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8935</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SIMPL 87</w:t>
                </w:r>
              </w:p>
              <w:p>
                <w:pPr>
                  <w:pStyle w:val="TBEntRefer"/>
                  <w:tabs>
                    <w:tab w:val="left" w:pos="2265"/>
                  </w:tabs>
                </w:pPr>
                <w:r>
                  <w:t xml:space="preserve">ANTICI 90</w:t>
                </w:r>
              </w:p>
              <w:p>
                <w:pPr>
                  <w:pStyle w:val="TBEntRefer"/>
                  <w:tabs>
                    <w:tab w:val="left" w:pos="2265"/>
                  </w:tabs>
                </w:pPr>
                <w:r>
                  <w:t xml:space="preserve">ENV 457</w:t>
                </w:r>
              </w:p>
              <w:p>
                <w:pPr>
                  <w:pStyle w:val="TBEntRefer"/>
                  <w:tabs>
                    <w:tab w:val="left" w:pos="2265"/>
                  </w:tabs>
                </w:pPr>
                <w:r>
                  <w:t xml:space="preserve">ENT 98</w:t>
                </w:r>
              </w:p>
              <w:p>
                <w:pPr>
                  <w:pStyle w:val="TBEntRefer"/>
                  <w:tabs>
                    <w:tab w:val="left" w:pos="2265"/>
                  </w:tabs>
                </w:pPr>
                <w:r>
                  <w:t xml:space="preserve">MI 431</w:t>
                </w:r>
              </w:p>
              <w:p>
                <w:pPr>
                  <w:pStyle w:val="TBEntRefer"/>
                  <w:tabs>
                    <w:tab w:val="left" w:pos="2265"/>
                  </w:tabs>
                </w:pPr>
                <w:r>
                  <w:t xml:space="preserve">IND 311</w:t>
                </w:r>
              </w:p>
              <w:p>
                <w:pPr>
                  <w:pStyle w:val="TBEntRefer"/>
                  <w:tabs>
                    <w:tab w:val="left" w:pos="2265"/>
                  </w:tabs>
                </w:pPr>
                <w:r>
                  <w:t xml:space="preserve">COMPET 527</w:t>
                </w:r>
              </w:p>
              <w:p>
                <w:pPr>
                  <w:pStyle w:val="TBEntRefer"/>
                  <w:tabs>
                    <w:tab w:val="left" w:pos="2265"/>
                  </w:tabs>
                </w:pPr>
                <w:r>
                  <w:t xml:space="preserve">CODEC 833</w:t>
                </w:r>
              </w:p>
              <w:p>
                <w:pPr>
                  <w:pStyle w:val="TBEntRefer"/>
                  <w:tabs>
                    <w:tab w:val="left" w:pos="2265"/>
                  </w:tabs>
                </w:pPr>
                <w:r>
                  <w:t xml:space="preserve">INST 210</w:t>
                </w:r>
              </w:p>
              <w:p>
                <w:pPr>
                  <w:pStyle w:val="TBEntRefer"/>
                  <w:tabs>
                    <w:tab w:val="left" w:pos="2265"/>
                  </w:tabs>
                </w:pPr>
                <w:r>
                  <w:t xml:space="preserve">PARLNAT 112</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2025/0396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Italian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29 April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DIRECTIVE OF THE EUROPEAN PARLIAMENT AND OF THE COUNCIL suspending the application of the rules on the appointment of authorised representatives for extended producer responsibility for waste, waste electrical and electronical equipment and single use plastic waste</w:t>
                </w:r>
              </w:p>
              <w:p>
                <w:pPr>
                  <w:pStyle w:val="TBSubjectText"/>
                </w:pPr>
                <w:r>
                  <w:t xml:space="preserve">[16754/25 - COM(2025)983 finall]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Pr="00B52EA5" w:rsidR="00B52EA5" w:rsidP="00B52EA5" w:rsidRDefault="00B52EA5" w14:paraId="0296E180" w14:textId="2BEFC725">
      <w:pPr>
        <w:spacing w:after="0" w:line="360" w:lineRule="auto"/>
        <w:rPr>
          <w:rFonts w:ascii="Times New Roman" w:hAnsi="Times New Roman" w:cs="Times New Roman"/>
          <w:lang w:val="en-GB"/>
        </w:rPr>
      </w:pPr>
      <w:r w:rsidRPr="00B52EA5">
        <w:rPr>
          <w:rFonts w:ascii="Times New Roman" w:hAnsi="Times New Roman" w:cs="Times New Roman"/>
          <w:lang w:val="en-GB"/>
        </w:rPr>
        <w:t xml:space="preserve">Delegations will find </w:t>
      </w:r>
      <w:r>
        <w:rPr>
          <w:rFonts w:ascii="Times New Roman" w:hAnsi="Times New Roman" w:cs="Times New Roman"/>
          <w:lang w:val="en-GB"/>
        </w:rPr>
        <w:t>enclosed</w:t>
      </w:r>
      <w:r w:rsidRPr="00B52EA5">
        <w:rPr>
          <w:rFonts w:ascii="Times New Roman" w:hAnsi="Times New Roman" w:cs="Times New Roman"/>
          <w:lang w:val="en-GB"/>
        </w:rPr>
        <w:t xml:space="preserve"> the </w:t>
      </w:r>
      <w:r>
        <w:rPr>
          <w:rFonts w:ascii="Times New Roman" w:hAnsi="Times New Roman" w:cs="Times New Roman"/>
          <w:lang w:val="en-GB"/>
        </w:rPr>
        <w:t>o</w:t>
      </w:r>
      <w:r w:rsidRPr="00B52EA5">
        <w:rPr>
          <w:rFonts w:ascii="Times New Roman" w:hAnsi="Times New Roman" w:cs="Times New Roman"/>
          <w:lang w:val="en-GB"/>
        </w:rPr>
        <w:t>pinion</w:t>
      </w:r>
      <w:r w:rsidRPr="00B52EA5">
        <w:rPr>
          <w:rStyle w:val="FootnoteReference"/>
          <w:rFonts w:ascii="Times New Roman" w:hAnsi="Times New Roman" w:cs="Times New Roman"/>
          <w:b/>
          <w:bCs/>
          <w:lang w:val="en-GB"/>
        </w:rPr>
        <w:footnoteReference w:id="2"/>
      </w:r>
      <w:r>
        <w:rPr>
          <w:rFonts w:ascii="Times New Roman" w:hAnsi="Times New Roman" w:cs="Times New Roman"/>
          <w:lang w:val="en-GB"/>
        </w:rPr>
        <w:t xml:space="preserve"> of the Italian Senate on the above</w:t>
      </w:r>
      <w:r w:rsidRPr="00B52EA5">
        <w:rPr>
          <w:rFonts w:ascii="Times New Roman" w:hAnsi="Times New Roman" w:cs="Times New Roman"/>
          <w:lang w:val="en-GB"/>
        </w:rPr>
        <w:t>.</w:t>
      </w:r>
    </w:p>
    <w:p w:rsidR="00B52EA5" w:rsidP="00B52EA5" w:rsidRDefault="00B52EA5" w14:paraId="1FE7D201" w14:textId="77777777">
      <w:pPr>
        <w:spacing w:after="0" w:line="360" w:lineRule="auto"/>
        <w:rPr>
          <w:rFonts w:ascii="Times New Roman" w:hAnsi="Times New Roman" w:cs="Times New Roman"/>
          <w:lang w:val="en-GB"/>
        </w:rPr>
      </w:pPr>
    </w:p>
    <w:p w:rsidRPr="00B52EA5" w:rsidR="00B52EA5" w:rsidP="00B52EA5" w:rsidRDefault="00B52EA5" w14:paraId="262E5390" w14:textId="226DF968">
      <w:pPr>
        <w:spacing w:after="0" w:line="360" w:lineRule="auto"/>
        <w:jc w:val="center"/>
        <w:rPr>
          <w:rFonts w:ascii="Times New Roman" w:hAnsi="Times New Roman" w:cs="Times New Roman"/>
          <w:lang w:val="en-GB"/>
        </w:rPr>
      </w:pPr>
      <w:r>
        <w:rPr>
          <w:rFonts w:ascii="Times New Roman" w:hAnsi="Times New Roman" w:cs="Times New Roman"/>
          <w:lang w:val="en-GB"/>
        </w:rPr>
        <w:t>________________________</w:t>
      </w:r>
    </w:p>
    <w:p w:rsidR="00AB158B" w:rsidP="00C17ADC" w:rsidRDefault="00AB158B" w14:paraId="67F8D44E" w14:textId="77777777">
      <w:pPr>
        <w:jc w:val="center"/>
      </w:pPr>
      <w:r w:rsidRPr="00C17ADC">
        <w:rPr>
          <w:noProof/>
        </w:rPr>
        <w:lastRenderedPageBreak/>
        <w:drawing>
          <wp:inline distT="0" distB="0" distL="0" distR="0" wp14:anchorId="67F8D455" wp14:editId="67F8D456">
            <wp:extent cx="4820323" cy="6716062"/>
            <wp:effectExtent l="0" t="0" r="0" b="889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2762" name=""/>
                    <pic:cNvPicPr/>
                  </pic:nvPicPr>
                  <pic:blipFill>
                    <a:blip r:embed="Rb3387b9a89c64843"/>
                    <a:stretch>
                      <a:fillRect/>
                    </a:stretch>
                  </pic:blipFill>
                  <pic:spPr>
                    <a:xfrm>
                      <a:off x="0" y="0"/>
                      <a:ext cx="4820323" cy="6716062"/>
                    </a:xfrm>
                    <a:prstGeom prst="rect">
                      <a:avLst/>
                    </a:prstGeom>
                  </pic:spPr>
                </pic:pic>
              </a:graphicData>
            </a:graphic>
          </wp:inline>
        </w:drawing>
      </w:r>
    </w:p>
    <w:p w:rsidR="00B52EA5" w:rsidP="00B52EA5" w:rsidRDefault="00B52EA5" w14:paraId="274DCE6D" w14:textId="77777777"/>
    <w:p w:rsidR="00AB158B" w:rsidP="00C17ADC" w:rsidRDefault="00AB158B" w14:paraId="67F8D44F" w14:textId="77777777">
      <w:pPr>
        <w:jc w:val="center"/>
      </w:pPr>
      <w:r>
        <w:br w:type="page"/>
      </w:r>
    </w:p>
    <w:p w:rsidR="00AB158B" w:rsidP="00C17ADC" w:rsidRDefault="00AB158B" w14:paraId="67F8D450" w14:textId="77777777">
      <w:pPr>
        <w:jc w:val="center"/>
      </w:pPr>
      <w:r>
        <w:rPr>
          <w:noProof/>
        </w:rPr>
        <w:lastRenderedPageBreak/>
        <w:drawing>
          <wp:inline distT="0" distB="0" distL="0" distR="0" wp14:anchorId="67F8D457" wp14:editId="67F8D458">
            <wp:extent cx="4705985" cy="7592695"/>
            <wp:effectExtent l="0" t="0" r="0" b="825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8535139bf6ba4eef">
                      <a:extLst>
                        <a:ext uri="{28A0092B-C50C-407E-A947-70E740481C1C}">
                          <a14:useLocalDpi xmlns:a14="http://schemas.microsoft.com/office/drawing/2010/main" val="0"/>
                        </a:ext>
                      </a:extLst>
                    </a:blip>
                    <a:srcRect/>
                    <a:stretch>
                      <a:fillRect/>
                    </a:stretch>
                  </pic:blipFill>
                  <pic:spPr bwMode="auto">
                    <a:xfrm>
                      <a:off x="0" y="0"/>
                      <a:ext cx="4705985" cy="7592695"/>
                    </a:xfrm>
                    <a:prstGeom prst="rect">
                      <a:avLst/>
                    </a:prstGeom>
                    <a:noFill/>
                  </pic:spPr>
                </pic:pic>
              </a:graphicData>
            </a:graphic>
          </wp:inline>
        </w:drawing>
      </w:r>
    </w:p>
    <w:p w:rsidR="00AB158B" w:rsidP="00C17ADC" w:rsidRDefault="00AB158B" w14:paraId="67F8D451" w14:textId="77777777">
      <w:pPr>
        <w:jc w:val="center"/>
      </w:pPr>
      <w:r>
        <w:br w:type="page"/>
      </w:r>
    </w:p>
    <w:p w:rsidR="00AB158B" w:rsidP="00C17ADC" w:rsidRDefault="00AB158B" w14:paraId="67F8D452" w14:textId="77777777">
      <w:pPr>
        <w:jc w:val="center"/>
      </w:pPr>
      <w:r>
        <w:rPr>
          <w:noProof/>
        </w:rPr>
        <w:lastRenderedPageBreak/>
        <w:drawing>
          <wp:inline distT="0" distB="0" distL="0" distR="0" wp14:anchorId="67F8D459" wp14:editId="67F8D45A">
            <wp:extent cx="4725035" cy="358203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85165bdf3f9c40af">
                      <a:extLst>
                        <a:ext uri="{28A0092B-C50C-407E-A947-70E740481C1C}">
                          <a14:useLocalDpi xmlns:a14="http://schemas.microsoft.com/office/drawing/2010/main" val="0"/>
                        </a:ext>
                      </a:extLst>
                    </a:blip>
                    <a:srcRect/>
                    <a:stretch>
                      <a:fillRect/>
                    </a:stretch>
                  </pic:blipFill>
                  <pic:spPr bwMode="auto">
                    <a:xfrm>
                      <a:off x="0" y="0"/>
                      <a:ext cx="4725035" cy="3582035"/>
                    </a:xfrm>
                    <a:prstGeom prst="rect">
                      <a:avLst/>
                    </a:prstGeom>
                    <a:noFill/>
                  </pic:spPr>
                </pic:pic>
              </a:graphicData>
            </a:graphic>
          </wp:inline>
        </w:drawing>
      </w:r>
    </w:p>
    <w:p w:rsidR="00AB158B" w:rsidP="00C17ADC" w:rsidRDefault="00AB158B" w14:paraId="3D002C0C" w14:textId="77777777">
      <w:pPr>
        <w:jc w:val="center"/>
      </w:pPr>
    </w:p>
    <w:p w:rsidR="00AB158B" w:rsidP="00C17ADC" w:rsidRDefault="00AB158B" w14:paraId="739867FE" w14:textId="630612D5">
      <w:pPr>
        <w:jc w:val="center"/>
      </w:pPr>
      <w:r>
        <w:t>___________________________</w:t>
      </w:r>
    </w:p>
    <w:sectPr w:rsidR="00AB158B">
      <w:headerReference w:type="even" r:id="Rae70090838314790"/>
      <w:headerReference w:type="default" r:id="R997ae1dfba284f07"/>
      <w:footerReference w:type="even" r:id="Rfc0c084f104a4391"/>
      <w:footerReference w:type="default" r:id="R2e96858df59649a1"/>
      <w:headerReference w:type="first" r:id="R8514495dac014955"/>
      <w:footerReference w:type="first" r:id="R2ab80c99873f4b16"/>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59D1" w:rsidRDefault="00EC59D1" w14:paraId="67F8D461"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67F8D45B" w14:textId="77777777">
      <w:r>
        <w:separator/>
      </w:r>
    </w:p>
  </w:footnote>
  <w:footnote w:type="continuationSeparator" w:id="0">
    <w:p w:rsidR="00144FF1" w:rsidP="00A43C50" w:rsidRDefault="00144FF1" w14:paraId="67F8D45C" w14:textId="77777777">
      <w:r>
        <w:continuationSeparator/>
      </w:r>
    </w:p>
  </w:footnote>
  <w:footnote w:id="2">
    <w:p w:rsidRPr="00B52EA5" w:rsidR="00B52EA5" w:rsidP="00B52EA5" w:rsidRDefault="00B52EA5" w14:paraId="2F86DF61" w14:textId="67EA5883">
      <w:pPr>
        <w:pStyle w:val="FootnoteText"/>
        <w:ind w:left="720" w:hanging="720"/>
        <w:rPr>
          <w:rFonts w:ascii="Times New Roman" w:hAnsi="Times New Roman" w:cs="Times New Roman"/>
          <w:sz w:val="24"/>
          <w:szCs w:val="24"/>
          <w:lang w:val="sl-SI"/>
        </w:rPr>
      </w:pPr>
      <w:r w:rsidRPr="00B52EA5">
        <w:rPr>
          <w:rStyle w:val="FootnoteReference"/>
          <w:rFonts w:ascii="Times New Roman" w:hAnsi="Times New Roman" w:cs="Times New Roman"/>
          <w:b/>
          <w:bCs/>
          <w:sz w:val="24"/>
          <w:szCs w:val="24"/>
        </w:rPr>
        <w:footnoteRef/>
      </w:r>
      <w:r w:rsidRPr="00B52EA5">
        <w:rPr>
          <w:rFonts w:ascii="Times New Roman" w:hAnsi="Times New Roman" w:cs="Times New Roman"/>
          <w:sz w:val="24"/>
          <w:szCs w:val="24"/>
          <w:lang w:val="en-GB"/>
        </w:rPr>
        <w:t xml:space="preserve"> </w:t>
      </w:r>
      <w:r w:rsidRPr="00B52EA5">
        <w:rPr>
          <w:rFonts w:ascii="Times New Roman" w:hAnsi="Times New Roman" w:cs="Times New Roman"/>
          <w:sz w:val="24"/>
          <w:szCs w:val="24"/>
          <w:lang w:val="sl-SI"/>
        </w:rPr>
        <w:tab/>
      </w:r>
      <w:r>
        <w:rPr>
          <w:rFonts w:ascii="Times New Roman" w:hAnsi="Times New Roman" w:cs="Times New Roman"/>
          <w:sz w:val="24"/>
          <w:szCs w:val="24"/>
          <w:lang w:val="sl-SI"/>
        </w:rPr>
        <w:t>T</w:t>
      </w:r>
      <w:r w:rsidRPr="00B52EA5">
        <w:rPr>
          <w:rFonts w:ascii="Times New Roman" w:hAnsi="Times New Roman" w:cs="Times New Roman"/>
          <w:sz w:val="24"/>
          <w:szCs w:val="24"/>
          <w:lang w:val="sl-SI"/>
        </w:rPr>
        <w:t xml:space="preserve">ranslation(s) of the opinion may be available on the Interparliamentary EU Information Exchange website (IPEX) at the following address: </w:t>
      </w:r>
    </w:p>
    <w:p w:rsidRPr="00B52EA5" w:rsidR="00B52EA5" w:rsidP="00B52EA5" w:rsidRDefault="00B52EA5" w14:paraId="46881E1B" w14:textId="0EE27F3F">
      <w:pPr>
        <w:pStyle w:val="FootnoteText"/>
        <w:ind w:left="720"/>
        <w:rPr>
          <w:rFonts w:ascii="Times New Roman" w:hAnsi="Times New Roman" w:cs="Times New Roman"/>
          <w:sz w:val="24"/>
          <w:szCs w:val="24"/>
          <w:lang w:val="sl-SI"/>
        </w:rPr>
      </w:pPr>
      <w:hyperlink w:history="1" r:id="rId1">
        <w:r w:rsidRPr="00DC6D89">
          <w:rPr>
            <w:rStyle w:val="Hyperlink"/>
            <w:rFonts w:ascii="Times New Roman" w:hAnsi="Times New Roman" w:cs="Times New Roman"/>
            <w:sz w:val="24"/>
            <w:szCs w:val="24"/>
            <w:lang w:val="sl-SI"/>
          </w:rPr>
          <w:t>https://secure.ipex.eu/IPEXL-WEB/document/COM-2025-0983</w:t>
        </w:r>
      </w:hyperlink>
      <w:r>
        <w:rPr>
          <w:rFonts w:ascii="Times New Roman" w:hAnsi="Times New Roman" w:cs="Times New Roman"/>
          <w:sz w:val="24"/>
          <w:szCs w:val="24"/>
          <w:lang w:val="sl-SI"/>
        </w:rPr>
        <w:t xml:space="preserve"> </w:t>
      </w:r>
    </w:p>
    <w:p w:rsidRPr="00B52EA5" w:rsidR="00B52EA5" w:rsidP="00B52EA5" w:rsidRDefault="00B52EA5" w14:paraId="28B7984E" w14:textId="59AEF0C8">
      <w:pPr>
        <w:pStyle w:val="FootnoteText"/>
        <w:ind w:left="720"/>
        <w:rPr>
          <w:lang w:val="sl-SI"/>
        </w:rPr>
      </w:pPr>
      <w:r w:rsidRPr="00B52EA5">
        <w:rPr>
          <w:rFonts w:ascii="Times New Roman" w:hAnsi="Times New Roman" w:cs="Times New Roman"/>
          <w:sz w:val="24"/>
          <w:szCs w:val="24"/>
          <w:lang w:val="sl-SI"/>
        </w:rPr>
        <w:t xml:space="preserve">The Commission reply will be available at the following address: </w:t>
      </w:r>
      <w:r>
        <w:rPr>
          <w:rFonts w:ascii="Times New Roman" w:hAnsi="Times New Roman" w:cs="Times New Roman"/>
          <w:sz w:val="24"/>
          <w:szCs w:val="24"/>
          <w:lang w:val="sl-SI"/>
        </w:rPr>
        <w:br/>
      </w:r>
      <w:hyperlink w:history="1" r:id="rId2">
        <w:r w:rsidRPr="00DC6D89">
          <w:rPr>
            <w:rStyle w:val="Hyperlink"/>
            <w:rFonts w:ascii="Times New Roman" w:hAnsi="Times New Roman" w:cs="Times New Roman"/>
            <w:sz w:val="24"/>
            <w:szCs w:val="24"/>
            <w:lang w:val="sl-SI"/>
          </w:rPr>
          <w:t>https://national-parliaments-opinions.ec.europa.eu/home</w:t>
        </w:r>
      </w:hyperlink>
      <w:r>
        <w:rPr>
          <w:rFonts w:ascii="Times New Roman" w:hAnsi="Times New Roman" w:cs="Times New Roman"/>
          <w:sz w:val="24"/>
          <w:szCs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59D1" w:rsidRDefault="00EC59D1" w14:paraId="67F8D45F"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IT&quot; text=&quot;IT&quot; /&gt;&#13;&#10;    &lt;/basicdatatypelist&gt;&#13;&#10;  &lt;/metadata&gt;&#13;&#10;  &lt;metadata key=&quot;md_OriginalLanguages&quot;&gt;&#13;&#10;    &lt;basicdatatypelist&gt;&#13;&#10;      &lt;language key=&quot;EN&quot; text=&quot;EN&quot; /&gt;&#13;&#10;      &lt;language key=&quot;IT&quot; text=&quot;IT&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5-06&lt;/text&gt;&#13;&#10;  &lt;/metadata&gt;&#13;&#10;  &lt;metadata key=&quot;md_Prefix&quot;&gt;&#13;&#10;    &lt;text&gt;&lt;/text&gt;&#13;&#10;  &lt;/metadata&gt;&#13;&#10;  &lt;metadata key=&quot;md_DocumentNumber&quot;&gt;&#13;&#10;    &lt;text&gt;8935&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IMPL 87&lt;/text&gt;&#13;&#10;      &lt;text&gt;ANTICI 90&lt;/text&gt;&#13;&#10;      &lt;text&gt;ENV 457&lt;/text&gt;&#13;&#10;      &lt;text&gt;ENT 98&lt;/text&gt;&#13;&#10;      &lt;text&gt;MI 431&lt;/text&gt;&#13;&#10;      &lt;text&gt;IND 311&lt;/text&gt;&#13;&#10;      &lt;text&gt;COMPET 527&lt;/text&gt;&#13;&#10;      &lt;text&gt;CODEC 833&lt;/text&gt;&#13;&#10;      &lt;text&gt;INST 210&lt;/text&gt;&#13;&#10;      &lt;text&gt;PARLNAT 112&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96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Italian Senate&quot;&gt;&amp;lt;FlowDocument xmlns=&quot;http://schemas.microsoft.com/winfx/2006/xaml/presentation&quot;&amp;gt;&amp;lt;Paragraph&amp;gt;The Italian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4-29&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DIRECTIVE OF THE EUROPEAN PARLIAMENT AND OF THE COUNCIL suspending the application of the rules on the appointment of authorised representatives for extended producer responsibility for waste, waste electrical and electronical equipment and single use plastic waste [16754/25 - COM(2025)983 finall] - Opinion on the application of the Principles of Subsidiarity and Proportionality&quot;&gt;&amp;lt;FlowDocument xmlns=&quot;http://schemas.microsoft.com/winfx/2006/xaml/presentation&quot;&amp;gt;&amp;lt;Paragraph&amp;gt;Proposal for a DIRECTIVE OF THE EUROPEAN PARLIAMENT AND OF THE COUNCIL suspending the application of the rules on the appointment of authorised representatives for extended producer responsibility for waste, waste electrical and electronical equipment and single use plastic waste&amp;lt;/Paragraph&amp;gt;&amp;lt;Paragraph&amp;gt;[16754/25 - COM(2025)983 final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1.A&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14="http://schemas.microsoft.com/office/word/2010/wordml" xmlns:w="http://schemas.openxmlformats.org/wordprocessingml/2006/main">
  <w:docDefaults>
    <w:rPrDefault>
      <w:rPr>
        <w:rFonts w:asciiTheme="minorHAnsi" w:hAnsiTheme="minorHAnsi" w:eastAsiaTheme="minorHAnsi" w:cstheme="minorBidi"/>
        <w:kern w:val="2"/>
        <w:sz w:val="24"/>
        <w:szCs w:val="24"/>
        <w:lang w:val="fr-BE" w:eastAsia="en-US" w:bidi="ar-SA"/>
        <w14:ligatures xmlns:w14="http://schemas.microsoft.com/office/word/2010/wordml"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17AD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AD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A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A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A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A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A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A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AD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894139"/>
    <w:pPr>
      <w:tabs>
        <w:tab w:val="center" w:pos="4820"/>
        <w:tab w:val="right" w:pos="7371"/>
        <w:tab w:val="right" w:pos="9639"/>
      </w:tabs>
    </w:pPr>
  </w:style>
  <w:style w:type="character" w:styleId="HeaderChar" w:customStyle="1">
    <w:name w:val="Header Char"/>
    <w:link w:val="Header"/>
    <w:rsid w:val="00A43C50"/>
    <w:rPr>
      <w:rFonts w:ascii="Arial" w:hAnsi="Arial" w:eastAsia="Times New Roman" w:cs="Arial"/>
      <w:kern w:val="0"/>
      <w:sz w:val="23"/>
      <w:szCs w:val="20"/>
      <w:lang w:val="en-GB" w:eastAsia="fr-BE"/>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kern w:val="0"/>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Footer">
    <w:name w:val="footer"/>
    <w:basedOn w:val="Normal"/>
    <w:link w:val="FooterChar"/>
    <w:uiPriority w:val="99"/>
    <w:unhideWhenUsed/>
    <w:rsid w:val="00A43C50"/>
    <w:pPr>
      <w:tabs>
        <w:tab w:val="center" w:pos="4513"/>
        <w:tab w:val="right" w:pos="9026"/>
      </w:tabs>
    </w:pPr>
    <w:rPr>
      <w:sz w:val="22"/>
      <w:szCs w:val="22"/>
      <w:lang/>
    </w:rPr>
  </w:style>
  <w:style w:type="character" w:styleId="FooterChar" w:customStyle="1">
    <w:name w:val="Footer Char"/>
    <w:basedOn w:val="DefaultParagraphFont"/>
    <w:link w:val="Footer"/>
    <w:uiPriority w:val="99"/>
    <w:rsid w:val="00A43C50"/>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pPr>
      <w:spacing w:before="0" w:after="0"/>
    </w:pPr>
    <w:rPr>
      <w:rFonts w:ascii="Times New Roman" w:hAnsi="Times New Roman"/>
      <w:sz w:val="2"/>
    </w:rPr>
  </w:style>
  <w:style w:type="paragraph" w:styleId="HeaderCouncilLarge" w:customStyle="1">
    <w:name w:val="Header Council Large"/>
    <w:basedOn w:val="Normal"/>
    <w:uiPriority w:val="99"/>
    <w:unhideWhenUsed/>
    <w:pPr>
      <w:spacing w:before="0" w:after="440"/>
    </w:pPr>
    <w:rPr>
      <w:rFonts w:ascii="Times New Roman" w:hAnsi="Times New Roman"/>
      <w:sz w:val="2"/>
    </w:rPr>
  </w:style>
  <w:style w:type="paragraph" w:styleId="FooterCouncil" w:customStyle="1">
    <w:name w:val="Footer Council"/>
    <w:basedOn w:val="Normal"/>
    <w:uiPriority w:val="99"/>
    <w:unhideWhenUsed/>
    <w:pPr>
      <w:spacing w:before="0" w:after="0"/>
    </w:pPr>
    <w:rPr>
      <w:rFonts w:ascii="Times New Roman" w:hAnsi="Times New Roman"/>
      <w:sz w:val="2"/>
    </w:r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character" w:styleId="Heading1Char" w:customStyle="1">
    <w:name w:val="Heading 1 Char"/>
    <w:basedOn w:val="DefaultParagraphFont"/>
    <w:link w:val="Heading1"/>
    <w:uiPriority w:val="9"/>
    <w:rsid w:val="00C17AD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17AD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17AD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7AD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7AD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7AD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7AD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7AD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7ADC"/>
    <w:rPr>
      <w:rFonts w:eastAsiaTheme="majorEastAsia" w:cstheme="majorBidi"/>
      <w:color w:val="272727" w:themeColor="text1" w:themeTint="D8"/>
    </w:rPr>
  </w:style>
  <w:style w:type="paragraph" w:styleId="Title">
    <w:name w:val="Title"/>
    <w:basedOn w:val="Normal"/>
    <w:next w:val="Normal"/>
    <w:link w:val="TitleChar"/>
    <w:uiPriority w:val="10"/>
    <w:qFormat/>
    <w:rsid w:val="00C17AD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17AD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7AD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17A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ADC"/>
    <w:pPr>
      <w:spacing w:before="160"/>
      <w:jc w:val="center"/>
    </w:pPr>
    <w:rPr>
      <w:i/>
      <w:iCs/>
      <w:color w:val="404040" w:themeColor="text1" w:themeTint="BF"/>
    </w:rPr>
  </w:style>
  <w:style w:type="character" w:styleId="QuoteChar" w:customStyle="1">
    <w:name w:val="Quote Char"/>
    <w:basedOn w:val="DefaultParagraphFont"/>
    <w:link w:val="Quote"/>
    <w:uiPriority w:val="29"/>
    <w:rsid w:val="00C17ADC"/>
    <w:rPr>
      <w:i/>
      <w:iCs/>
      <w:color w:val="404040" w:themeColor="text1" w:themeTint="BF"/>
    </w:rPr>
  </w:style>
  <w:style w:type="paragraph" w:styleId="ListParagraph">
    <w:name w:val="List Paragraph"/>
    <w:basedOn w:val="Normal"/>
    <w:uiPriority w:val="34"/>
    <w:qFormat/>
    <w:rsid w:val="00C17ADC"/>
    <w:pPr>
      <w:ind w:left="720"/>
      <w:contextualSpacing/>
    </w:pPr>
  </w:style>
  <w:style w:type="character" w:styleId="IntenseEmphasis">
    <w:name w:val="Intense Emphasis"/>
    <w:basedOn w:val="DefaultParagraphFont"/>
    <w:uiPriority w:val="21"/>
    <w:qFormat/>
    <w:rsid w:val="00C17ADC"/>
    <w:rPr>
      <w:i/>
      <w:iCs/>
      <w:color w:val="0F4761" w:themeColor="accent1" w:themeShade="BF"/>
    </w:rPr>
  </w:style>
  <w:style w:type="paragraph" w:styleId="IntenseQuote">
    <w:name w:val="Intense Quote"/>
    <w:basedOn w:val="Normal"/>
    <w:next w:val="Normal"/>
    <w:link w:val="IntenseQuoteChar"/>
    <w:uiPriority w:val="30"/>
    <w:qFormat/>
    <w:rsid w:val="00C17AD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17ADC"/>
    <w:rPr>
      <w:i/>
      <w:iCs/>
      <w:color w:val="0F4761" w:themeColor="accent1" w:themeShade="BF"/>
    </w:rPr>
  </w:style>
  <w:style w:type="character" w:styleId="IntenseReference">
    <w:name w:val="Intense Reference"/>
    <w:basedOn w:val="DefaultParagraphFont"/>
    <w:uiPriority w:val="32"/>
    <w:qFormat/>
    <w:rsid w:val="00C17ADC"/>
    <w:rPr>
      <w:b/>
      <w:bCs/>
      <w:smallCaps/>
      <w:color w:val="0F4761" w:themeColor="accent1" w:themeShade="BF"/>
      <w:spacing w:val="5"/>
    </w:rPr>
  </w:style>
  <w:style w:type="paragraph" w:styleId="FootnoteText">
    <w:name w:val="footnote text"/>
    <w:basedOn w:val="Normal"/>
    <w:link w:val="FootnoteTextChar"/>
    <w:uiPriority w:val="99"/>
    <w:semiHidden/>
    <w:unhideWhenUsed/>
    <w:rsid w:val="00B52EA5"/>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52EA5"/>
    <w:rPr>
      <w:sz w:val="20"/>
      <w:szCs w:val="20"/>
    </w:rPr>
  </w:style>
  <w:style w:type="character" w:styleId="FootnoteReference">
    <w:name w:val="footnote reference"/>
    <w:basedOn w:val="DefaultParagraphFont"/>
    <w:uiPriority w:val="99"/>
    <w:semiHidden/>
    <w:unhideWhenUsed/>
    <w:rsid w:val="00B52EA5"/>
    <w:rPr>
      <w:vertAlign w:val="superscript"/>
    </w:rPr>
  </w:style>
  <w:style w:type="character" w:styleId="Hyperlink">
    <w:name w:val="Hyperlink"/>
    <w:basedOn w:val="DefaultParagraphFont"/>
    <w:uiPriority w:val="99"/>
    <w:unhideWhenUsed/>
    <w:rsid w:val="00B52EA5"/>
    <w:rPr>
      <w:color w:val="467886" w:themeColor="hyperlink"/>
      <w:u w:val="single"/>
    </w:rPr>
  </w:style>
  <w:style w:type="character" w:styleId="UnresolvedMention">
    <w:name w:val="Unresolved Mention"/>
    <w:basedOn w:val="DefaultParagraphFont"/>
    <w:uiPriority w:val="99"/>
    <w:semiHidden/>
    <w:unhideWhenUsed/>
    <w:rsid w:val="00B52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3cba02361fcb4d5e" Type="http://schemas.openxmlformats.org/officeDocument/2006/relationships/settings" Target="/word/settings.xml"/><Relationship Id="Rec1545c32043488d" Type="http://schemas.openxmlformats.org/officeDocument/2006/relationships/header" Target="/word/header1.xml"/><Relationship Id="Rb7dd5f53803e493e" Type="http://schemas.openxmlformats.org/officeDocument/2006/relationships/footer" Target="/word/footer3.xml"/><Relationship Id="R97b3e7e21ad74195" Type="http://schemas.openxmlformats.org/officeDocument/2006/relationships/header" Target="/word/header3.xml"/><Relationship Id="R9eb8c61ad7944bdd" Type="http://schemas.openxmlformats.org/officeDocument/2006/relationships/footer" Target="/word/footer2.xml"/><Relationship Id="rId3" Type="http://schemas.openxmlformats.org/officeDocument/2006/relationships/customXml" Target="../customXml/item3.xml"/><Relationship Id="Ra445cb3ab6724b70" Type="http://schemas.openxmlformats.org/officeDocument/2006/relationships/glossaryDocument" Target="/word/glossary/document.xml"/><Relationship Id="R4400210da5144893" Type="http://schemas.openxmlformats.org/officeDocument/2006/relationships/footnotes" Target="/word/footnotes.xml"/><Relationship Id="R2ab80c99873f4b16" Type="http://schemas.openxmlformats.org/officeDocument/2006/relationships/footer" Target="/word/footer6.xml"/><Relationship Id="rId2" Type="http://schemas.openxmlformats.org/officeDocument/2006/relationships/customXml" Target="../customXml/item2.xml"/><Relationship Id="R7cab0d8f0bb0485e" Type="http://schemas.openxmlformats.org/officeDocument/2006/relationships/fontTable" Target="/word/fontTable.xml"/><Relationship Id="R8bd54cb1f1964cfb" Type="http://schemas.openxmlformats.org/officeDocument/2006/relationships/image" Target="/media/image.bin"/><Relationship Id="R003a31d9f73e48c6" Type="http://schemas.openxmlformats.org/officeDocument/2006/relationships/footer" Target="/word/footer1.xml"/><Relationship Id="Rae70090838314790" Type="http://schemas.openxmlformats.org/officeDocument/2006/relationships/header" Target="/word/header4.xml"/><Relationship Id="R8514495dac014955" Type="http://schemas.openxmlformats.org/officeDocument/2006/relationships/header" Target="/word/header6.xml"/><Relationship Id="Rfc0c084f104a4391" Type="http://schemas.openxmlformats.org/officeDocument/2006/relationships/footer" Target="/word/footer4.xml"/><Relationship Id="R2e96858df59649a1" Type="http://schemas.openxmlformats.org/officeDocument/2006/relationships/footer" Target="/word/footer5.xml"/><Relationship Id="rId1" Type="http://schemas.openxmlformats.org/officeDocument/2006/relationships/customXml" Target="../customXml/item1.xml"/><Relationship Id="R32332c2d565f4cc2" Type="http://schemas.openxmlformats.org/officeDocument/2006/relationships/styles" Target="/word/styles.xml"/><Relationship Id="Rc854188d0b6846b8" Type="http://schemas.openxmlformats.org/officeDocument/2006/relationships/header" Target="/word/header2.xml"/><Relationship Id="Rb3387b9a89c64843" Type="http://schemas.openxmlformats.org/officeDocument/2006/relationships/image" Target="/media/image2.bin"/><Relationship Id="R997ae1dfba284f07" Type="http://schemas.openxmlformats.org/officeDocument/2006/relationships/header" Target="/word/header5.xml"/><Relationship Id="R831ff743236e4fc3" Type="http://schemas.openxmlformats.org/officeDocument/2006/relationships/endnotes" Target="/word/endnotes.xml"/><Relationship Id="R088d0b78abbb42c4" Type="http://schemas.openxmlformats.org/officeDocument/2006/relationships/webSettings" Target="/word/webSettings.xml"/><Relationship Id="R2cfb4aa9790445f8" Type="http://schemas.openxmlformats.org/officeDocument/2006/relationships/theme" Target="/word/theme/theme1.xml"/><Relationship Id="R8535139bf6ba4eef" Type="http://schemas.openxmlformats.org/officeDocument/2006/relationships/image" Target="/media/image3.bin"/><Relationship Id="R85165bdf3f9c40af" Type="http://schemas.openxmlformats.org/officeDocument/2006/relationships/image" Target="/media/image4.bin"/></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983" TargetMode="External" Id="rId1" /><Relationship Type="http://schemas.openxmlformats.org/officeDocument/2006/relationships/hyperlink" Target="https://national-parliaments-opinions.ec.europa.eu/home"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7c31506b990341b1" /><Relationship Type="http://schemas.openxmlformats.org/officeDocument/2006/relationships/fontTable" Target="/word/glossary/fontTable2.xml" Id="Rdcad16acd6a54538" /><Relationship Type="http://schemas.openxmlformats.org/officeDocument/2006/relationships/settings" Target="/word/glossary/settings2.xml" Id="R97987b46afb84123" /><Relationship Type="http://schemas.openxmlformats.org/officeDocument/2006/relationships/webSettings" Target="/word/glossary/webSettings2.xml" Id="R59fcd15f4a5d461c"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ABA718-8590-477E-8396-ACAF3F858004}"/>
</file>

<file path=customXml/itemProps2.xml><?xml version="1.0" encoding="utf-8"?>
<ds:datastoreItem xmlns:ds="http://schemas.openxmlformats.org/officeDocument/2006/customXml" ds:itemID="{E213DE88-0A66-402B-AD1B-EF4AF70241AC}"/>
</file>

<file path=customXml/itemProps3.xml><?xml version="1.0" encoding="utf-8"?>
<ds:datastoreItem xmlns:ds="http://schemas.openxmlformats.org/officeDocument/2006/customXml" ds:itemID="{13D53826-854D-451B-BD6F-F1F6A1A1C0C2}"/>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Brina%20Sara%20LIPOVEC</dc:creator>
  <cp:keywords/>
  <dc:description/>
  <cp:lastModifiedBy>Brina%20Sara%20LIPOVEC</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2026-05-06T11:12:52Z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