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83ba87406d9345a6" /><Relationship Type="http://schemas.openxmlformats.org/package/2006/relationships/metadata/core-properties" Target="/docProps/core.xml" Id="R813e6259e3834898" /><Relationship Type="http://schemas.openxmlformats.org/officeDocument/2006/relationships/extended-properties" Target="/docProps/app.xml" Id="R19b15fa37e324512" /><Relationship Type="http://schemas.openxmlformats.org/officeDocument/2006/relationships/custom-properties" Target="/docProps/custom.xml" Id="Ra615caa5c6f84fe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b07f802587f94dc4"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19 May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 fr</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9358</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CYBER 228</w:t>
                </w:r>
              </w:p>
              <w:p>
                <w:pPr>
                  <w:pStyle w:val="TBEntRefer"/>
                  <w:tabs>
                    <w:tab w:val="left" w:pos="2265"/>
                  </w:tabs>
                </w:pPr>
                <w:r>
                  <w:t xml:space="preserve">JAI 600</w:t>
                </w:r>
              </w:p>
              <w:p>
                <w:pPr>
                  <w:pStyle w:val="TBEntRefer"/>
                  <w:tabs>
                    <w:tab w:val="left" w:pos="2265"/>
                  </w:tabs>
                </w:pPr>
                <w:r>
                  <w:t xml:space="preserve">DATAPROTECT 160</w:t>
                </w:r>
              </w:p>
              <w:p>
                <w:pPr>
                  <w:pStyle w:val="TBEntRefer"/>
                  <w:tabs>
                    <w:tab w:val="left" w:pos="2265"/>
                  </w:tabs>
                </w:pPr>
                <w:r>
                  <w:t xml:space="preserve">TELECOM 236</w:t>
                </w:r>
              </w:p>
              <w:p>
                <w:pPr>
                  <w:pStyle w:val="TBEntRefer"/>
                  <w:tabs>
                    <w:tab w:val="left" w:pos="2265"/>
                  </w:tabs>
                </w:pPr>
                <w:r>
                  <w:t xml:space="preserve">MI 484</w:t>
                </w:r>
              </w:p>
              <w:p>
                <w:pPr>
                  <w:pStyle w:val="TBEntRefer"/>
                  <w:tabs>
                    <w:tab w:val="left" w:pos="2265"/>
                  </w:tabs>
                </w:pPr>
                <w:r>
                  <w:t xml:space="preserve">IND 338</w:t>
                </w:r>
              </w:p>
              <w:p>
                <w:pPr>
                  <w:pStyle w:val="TBEntRefer"/>
                  <w:tabs>
                    <w:tab w:val="left" w:pos="2265"/>
                  </w:tabs>
                </w:pPr>
                <w:r>
                  <w:t xml:space="preserve">CADREFIN 216</w:t>
                </w:r>
              </w:p>
              <w:p>
                <w:pPr>
                  <w:pStyle w:val="TBEntRefer"/>
                  <w:tabs>
                    <w:tab w:val="left" w:pos="2265"/>
                  </w:tabs>
                </w:pPr>
                <w:r>
                  <w:t xml:space="preserve">FIN 694</w:t>
                </w:r>
              </w:p>
              <w:p>
                <w:pPr>
                  <w:pStyle w:val="TBEntRefer"/>
                  <w:tabs>
                    <w:tab w:val="left" w:pos="2265"/>
                  </w:tabs>
                </w:pPr>
                <w:r>
                  <w:t xml:space="preserve">BUDGET 18</w:t>
                </w:r>
              </w:p>
              <w:p>
                <w:pPr>
                  <w:pStyle w:val="TBEntRefer"/>
                  <w:tabs>
                    <w:tab w:val="left" w:pos="2265"/>
                  </w:tabs>
                </w:pPr>
                <w:r>
                  <w:t xml:space="preserve">CSC 308</w:t>
                </w:r>
              </w:p>
              <w:p>
                <w:pPr>
                  <w:pStyle w:val="TBEntRefer"/>
                  <w:tabs>
                    <w:tab w:val="left" w:pos="2265"/>
                  </w:tabs>
                </w:pPr>
                <w:r>
                  <w:t xml:space="preserve">CODEC 928</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Files:</w:t>
                </w:r>
              </w:p>
              <w:p>
                <w:pPr>
                  <w:pStyle w:val="TBEntReferNew"/>
                  <w:pBdr>
                    <w:top w:val="double" w:color="auto" w:sz="6" w:space="2"/>
                    <w:bottom w:val="double" w:color="auto" w:sz="6" w:space="2"/>
                  </w:pBdr>
                  <w:rPr>
                    <w:sz w:val="23"/>
                    <w:szCs w:val="23"/>
                  </w:rPr>
                </w:pPr>
                <w:r>
                  <w:rPr>
                    <w:sz w:val="23"/>
                    <w:szCs w:val="23"/>
                  </w:rPr>
                  <w:t xml:space="preserve">2026/0011 (COD)</w:t>
                </w:r>
              </w:p>
              <w:p>
                <w:pPr>
                  <w:pStyle w:val="TBEntReferNew"/>
                  <w:pBdr>
                    <w:top w:val="double" w:color="auto" w:sz="6" w:space="2"/>
                    <w:bottom w:val="double" w:color="auto" w:sz="6" w:space="2"/>
                  </w:pBdr>
                  <w:rPr>
                    <w:sz w:val="23"/>
                    <w:szCs w:val="23"/>
                  </w:rPr>
                </w:pPr>
                <w:r>
                  <w:rPr>
                    <w:sz w:val="23"/>
                    <w:szCs w:val="23"/>
                  </w:rPr>
                  <w:t xml:space="preserve">2026/0012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COVER NOTE</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2274"/>
            <w:gridCol w:w="7392"/>
          </w:tblGrid>
          <w:tr xmlns:w14="http://schemas.microsoft.com/office/word/2010/wordml" xmlns:w="http://schemas.openxmlformats.org/wordprocessingml/2006/main" w:rsidRPr="00F13D39" w:rsidR="002D3C08" w:rsidTr="00072A32" w14:paraId="374A8075" w14:textId="77777777">
            <w:tc>
              <w:tcPr>
                <w:tcW w:w="2274" w:type="dxa"/>
                <w:tcBorders>
                  <w:top w:val="single" w:color="auto" w:sz="4" w:space="0"/>
                </w:tcBorders>
              </w:tcPr>
              <w:p w:rsidRPr="00F13D39" w:rsidR="002D3C08" w:rsidP="00072A32" w:rsidRDefault="00000000" w14:paraId="2E7D0831" w14:textId="77777777">
                <w:pPr>
                  <w:pStyle w:val="TBSubjectTable"/>
                </w:pPr>
                <w:r>
                  <w:t xml:space="preserve">From:</w:t>
                </w:r>
              </w:p>
            </w:tc>
            <w:tc>
              <w:tcPr>
                <w:tcW w:w="7392" w:type="dxa"/>
                <w:tcBorders>
                  <w:top w:val="single" w:color="auto" w:sz="4" w:space="0"/>
                </w:tcBorders>
              </w:tcPr>
              <w:p w:rsidRPr="00F13D39" w:rsidR="002D3C08" w:rsidP="00072A32" w:rsidRDefault="00000000" w14:paraId="0DB0160C" w14:textId="77777777">
                <w:pPr>
                  <w:pStyle w:val="TBSubjectTable"/>
                </w:pPr>
                <w:r>
                  <w:t xml:space="preserve">French Senate</w:t>
                </w:r>
              </w:p>
            </w:tc>
          </w:tr>
          <w:tr xmlns:w14="http://schemas.microsoft.com/office/word/2010/wordml" xmlns:w="http://schemas.openxmlformats.org/wordprocessingml/2006/main" w:rsidRPr="00F13D39" w:rsidR="002D3C08" w:rsidTr="00072A32" w14:paraId="4FC1D7E0" w14:textId="77777777">
            <w:tblPrEx>
              <w:tblBorders>
                <w:top w:val="single" w:color="auto" w:sz="4" w:space="0"/>
              </w:tblBorders>
            </w:tblPrEx>
            <w:tc>
              <w:tcPr>
                <w:tcW w:w="2274" w:type="dxa"/>
                <w:tcBorders>
                  <w:top w:val="nil"/>
                  <w:bottom w:val="nil"/>
                </w:tcBorders>
              </w:tcPr>
              <w:p w:rsidRPr="00F13D39" w:rsidR="002D3C08" w:rsidP="00072A32" w:rsidRDefault="00000000" w14:paraId="402EE7E3" w14:textId="77777777">
                <w:pPr>
                  <w:pStyle w:val="TBSubjectTable"/>
                </w:pPr>
                <w:r>
                  <w:t xml:space="preserve">date of receipt:</w:t>
                </w:r>
              </w:p>
            </w:tc>
            <w:tc>
              <w:tcPr>
                <w:tcW w:w="7392" w:type="dxa"/>
                <w:tcBorders>
                  <w:top w:val="nil"/>
                  <w:bottom w:val="nil"/>
                </w:tcBorders>
              </w:tcPr>
              <w:p w:rsidRPr="00F13D39" w:rsidR="002D3C08" w:rsidP="00072A32" w:rsidRDefault="00000000" w14:paraId="6282D212" w14:textId="77777777">
                <w:pPr>
                  <w:pStyle w:val="TBSubjectTable"/>
                </w:pPr>
                <w:r>
                  <w:t xml:space="preserve">13 May 2026</w:t>
                </w:r>
              </w:p>
            </w:tc>
          </w:tr>
          <w:tr xmlns:w14="http://schemas.microsoft.com/office/word/2010/wordml" xmlns:w="http://schemas.openxmlformats.org/wordprocessingml/2006/main" w:rsidRPr="00F13D39" w:rsidR="002D3C08" w:rsidTr="00072A32" w14:paraId="3DF3CACF" w14:textId="77777777">
            <w:tc>
              <w:tcPr>
                <w:tcW w:w="2274" w:type="dxa"/>
                <w:tcBorders>
                  <w:bottom w:val="single" w:color="auto" w:sz="4" w:space="0"/>
                </w:tcBorders>
              </w:tcPr>
              <w:p w:rsidRPr="00F13D39" w:rsidR="002D3C08" w:rsidP="00072A32" w:rsidRDefault="00000000" w14:paraId="54062E45" w14:textId="77777777">
                <w:pPr>
                  <w:pStyle w:val="TBSubjectTable"/>
                </w:pPr>
                <w:r>
                  <w:t xml:space="preserve">To:</w:t>
                </w:r>
              </w:p>
            </w:tc>
            <w:tc>
              <w:tcPr>
                <w:tcW w:w="7392" w:type="dxa"/>
                <w:tcBorders>
                  <w:bottom w:val="single" w:color="auto" w:sz="4" w:space="0"/>
                </w:tcBorders>
              </w:tcPr>
              <w:p w:rsidRPr="00F13D39" w:rsidR="002D3C08" w:rsidP="00072A32" w:rsidRDefault="00000000" w14:paraId="0C29E2F0" w14:textId="77777777">
                <w:pPr>
                  <w:pStyle w:val="TBSubjectTable"/>
                </w:pPr>
                <w:r>
                  <w:t xml:space="preserve">The President of the Council of the European Union</w:t>
                </w:r>
              </w:p>
            </w:tc>
          </w:tr>
          <w:tr xmlns:w14="http://schemas.microsoft.com/office/word/2010/wordml" xmlns:w="http://schemas.openxmlformats.org/wordprocessingml/2006/main" w:rsidRPr="00F13D39" w:rsidR="002D3C08" w:rsidTr="00072A32" w14:paraId="08715429" w14:textId="77777777">
            <w:tc>
              <w:tcPr>
                <w:tcW w:w="2274"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392" w:type="dxa"/>
                <w:tcBorders>
                  <w:top w:val="single" w:color="auto" w:sz="4" w:space="0"/>
                  <w:bottom w:val="single" w:color="auto" w:sz="4" w:space="0"/>
                </w:tcBorders>
              </w:tcPr>
              <w:p>
                <w:pPr>
                  <w:pStyle w:val="TBSubjectText"/>
                </w:pPr>
                <w:r>
                  <w:t xml:space="preserve">Proposal for a Regulation of the European Parliament and of the Council on the European Union Agency for Cybersecurity (ENISA), the European cybersecurity certification framework, and ICT supply chain security and repealing Regulation (EU) 2019/881 (The Cybersecurity Act 2) -[5611/26 - COM(2026) 11 final]</w:t>
                </w:r>
              </w:p>
              <w:p>
                <w:pPr>
                  <w:pStyle w:val="TBSubjectText"/>
                </w:pPr>
                <w:r>
                  <w:t xml:space="preserve">Proposal for a Directive of the European Parliament and of the Council amending Directive (EU) 2022/2555 as regards simplification measures and alignment with the [Proposal for the Cybersecurity Act 2] -</w:t>
                </w:r>
                <w:r>
                  <w:t xml:space="preserve"> </w:t>
                </w:r>
                <w:r>
                  <w:t xml:space="preserve">[5627/26 - COM(2026) 13 final]</w:t>
                </w:r>
              </w:p>
              <w:p>
                <w:pPr>
                  <w:pStyle w:val="TBSubjectText"/>
                </w:pPr>
                <w:r>
                  <w:t xml:space="preserve">- Reasoned opinion on the application of the Principles of Subsidiarity and Proportionality</w:t>
                </w:r>
              </w:p>
            </w:tc>
          </w:tr>
        </w:tbl>
        <w:p w:rsidRPr="002D3C08" w:rsidR="002D3C08" w:rsidP="002D3C08" w:rsidRDefault="002D3C08" w14:paraId="2DF89B2C" w14:textId="77777777">
          <w:pPr>
            <w:spacing w:before="20" w:after="240" w:line="20" w:lineRule="exact"/>
            <w:rPr>
              <w:sz w:val="2"/>
              <w:szCs w:val="2"/>
              <w:lang w:val="fr-FR"/>
            </w:rPr>
          </w:pPr>
        </w:p>
      </w:sdtContent>
    </w:sdt>
    <w:p w:rsidR="001C7A04" w:rsidRDefault="001C7A04" w14:paraId="263DE544" w14:textId="77777777">
      <w:pPr>
        <w:rPr>
          <w:sz w:val="20"/>
          <w:szCs w:val="20"/>
          <w:lang w:val="en-GB"/>
        </w:rPr>
      </w:pPr>
    </w:p>
    <w:p w:rsidR="001C7A04" w:rsidRDefault="001C7A04" w14:paraId="263DE545" w14:textId="77777777">
      <w:pPr>
        <w:rPr>
          <w:lang w:val="en-GB"/>
        </w:rPr>
      </w:pPr>
      <w:r w:rsidRPr="006F659F">
        <w:rPr>
          <w:lang w:val="en-GB"/>
        </w:rPr>
        <w:t>Delegations will find enclosed the opinion</w:t>
      </w:r>
      <w:r>
        <w:rPr>
          <w:rStyle w:val="FootnoteReference"/>
          <w:lang w:val="en-GB"/>
        </w:rPr>
        <w:footnoteReference w:id="2"/>
      </w:r>
      <w:r w:rsidRPr="006F659F">
        <w:rPr>
          <w:lang w:val="en-GB"/>
        </w:rPr>
        <w:t xml:space="preserve"> of the </w:t>
      </w:r>
      <w:r>
        <w:rPr>
          <w:lang w:val="en-GB"/>
        </w:rPr>
        <w:t>French Senate</w:t>
      </w:r>
      <w:r w:rsidRPr="006F659F">
        <w:rPr>
          <w:lang w:val="en-GB"/>
        </w:rPr>
        <w:t xml:space="preserve"> on the above</w:t>
      </w:r>
      <w:r>
        <w:rPr>
          <w:lang w:val="en-GB"/>
        </w:rPr>
        <w:t>.</w:t>
      </w:r>
    </w:p>
    <w:p w:rsidR="001C7A04" w:rsidP="006F659F" w:rsidRDefault="001C7A04" w14:paraId="263DE546" w14:textId="77777777">
      <w:pPr>
        <w:pStyle w:val="FinalLine"/>
      </w:pPr>
    </w:p>
    <w:p w:rsidRPr="006F659F" w:rsidR="001C7A04" w:rsidRDefault="001C7A04" w14:paraId="263DE547" w14:textId="77777777">
      <w:pPr>
        <w:rPr>
          <w:lang w:val="en-GB"/>
        </w:rPr>
        <w:sectPr w:rsidRPr="006F659F" w:rsidR="006F659F" w:rsidSect="007F499B">
          <w:headerReference w:type="even" r:id="Rea3e130937614e15"/>
          <w:headerReference w:type="default" r:id="R7beb73e741054143"/>
          <w:footerReference w:type="even" r:id="R90efcf40d32d4526"/>
          <w:footerReference w:type="default" r:id="R82279fc31ae24ec8"/>
          <w:headerReference w:type="first" r:id="R44c40b0d8865496f"/>
          <w:footerReference w:type="first" r:id="R315fed6e11dc4f63"/>
          <w:pgSz w:w="11907" w:h="16840" w:code="9"/>
          <w:pgMar w:top="624" w:right="1134" w:bottom="1134" w:left="1134" w:header="567" w:footer="567" w:gutter="0"/>
          <w:pgNumType w:start="0"/>
          <w:cols w:space="708"/>
          <w:titlePg/>
          <w:docGrid w:linePitch="360"/>
          <w:pgSz w:w="11907" w:h="16840" w:code="9"/>
          <w:pgSz w:w="11907" w:h="16840" w:code="9"/>
          <w:pgSz w:w="11907" w:h="16840" w:code="9"/>
        </w:sectPr>
      </w:pPr>
    </w:p>
    <w:p w:rsidRPr="001C7A04" w:rsidR="001C7A04" w:rsidP="0039580D" w:rsidRDefault="001C7A04" w14:paraId="263DE548" w14:textId="77777777">
      <w:pPr>
        <w:jc w:val="center"/>
        <w:rPr>
          <w:lang w:val="fr-BE"/>
        </w:rPr>
      </w:pPr>
      <w:r w:rsidRPr="001C7A04">
        <w:rPr>
          <w:rFonts w:eastAsia="Times New Roman"/>
          <w:b/>
          <w:sz w:val="36"/>
          <w:lang w:val="fr-BE"/>
        </w:rPr>
        <w:lastRenderedPageBreak/>
        <w:t>N° 110</w:t>
      </w:r>
    </w:p>
    <w:p w:rsidR="001C7A04" w:rsidRDefault="001C7A04" w14:paraId="263DE549" w14:textId="77777777">
      <w:pPr>
        <w:jc w:val="center"/>
      </w:pPr>
      <w:r>
        <w:rPr>
          <w:rFonts w:ascii="Georgia" w:hAnsi="Georgia" w:eastAsia="Georgia" w:cs="Georgia"/>
          <w:b/>
          <w:sz w:val="48"/>
        </w:rPr>
        <w:t>SÉNAT</w:t>
      </w:r>
    </w:p>
    <w:p w:rsidR="001C7A04" w:rsidRDefault="001C7A04" w14:paraId="263DE54A" w14:textId="77777777">
      <w:pPr>
        <w:jc w:val="center"/>
      </w:pPr>
      <w:r>
        <w:rPr>
          <w:strike/>
        </w:rPr>
        <w:t>                  </w:t>
      </w:r>
    </w:p>
    <w:p w:rsidR="001C7A04" w:rsidRDefault="001C7A04" w14:paraId="263DE54B" w14:textId="77777777">
      <w:pPr>
        <w:jc w:val="center"/>
      </w:pPr>
      <w:r>
        <w:rPr>
          <w:rFonts w:eastAsia="Times New Roman"/>
          <w:sz w:val="20"/>
        </w:rPr>
        <w:t>SESSION ORDINAIRE DE 2025-2026</w:t>
      </w:r>
    </w:p>
    <w:p w:rsidR="001C7A04" w:rsidRDefault="001C7A04" w14:paraId="263DE54C" w14:textId="77777777">
      <w:pPr>
        <w:jc w:val="center"/>
      </w:pPr>
      <w:r>
        <w:rPr>
          <w:rFonts w:eastAsia="Times New Roman"/>
          <w:b/>
        </w:rPr>
        <w:t>13 mai 2026</w:t>
      </w:r>
    </w:p>
    <w:p w:rsidR="001C7A04" w:rsidRDefault="001C7A04" w14:paraId="263DE54D" w14:textId="77777777">
      <w:pPr>
        <w:spacing w:before="240" w:beforeLines="100"/>
        <w:jc w:val="center"/>
      </w:pPr>
      <w:r>
        <w:rPr>
          <w:u w:val="double"/>
        </w:rPr>
        <w:t>                                                                                                                                             </w:t>
      </w:r>
    </w:p>
    <w:p w:rsidR="001C7A04" w:rsidRDefault="001C7A04" w14:paraId="263DE54E" w14:textId="77777777">
      <w:pPr>
        <w:spacing w:before="720" w:beforeLines="300" w:after="300"/>
        <w:jc w:val="center"/>
      </w:pPr>
      <w:r>
        <w:rPr>
          <w:rFonts w:eastAsia="Times New Roman"/>
          <w:b/>
          <w:sz w:val="48"/>
        </w:rPr>
        <w:t>RÉSOLUTION EUROPÉENNE PORTANT AVIS MOTIVÉ</w:t>
      </w:r>
    </w:p>
    <w:p w:rsidR="001C7A04" w:rsidRDefault="001C7A04" w14:paraId="263DE54F" w14:textId="77777777">
      <w:pPr>
        <w:spacing w:after="200"/>
        <w:jc w:val="center"/>
      </w:pPr>
      <w:r>
        <w:rPr>
          <w:rFonts w:eastAsia="Times New Roman"/>
          <w:i/>
          <w:sz w:val="28"/>
        </w:rPr>
        <w:t>sur la</w:t>
      </w:r>
      <w:r>
        <w:rPr>
          <w:rFonts w:eastAsia="Times New Roman"/>
          <w:b/>
          <w:sz w:val="28"/>
        </w:rPr>
        <w:t xml:space="preserve"> conformité</w:t>
      </w:r>
      <w:r>
        <w:rPr>
          <w:rFonts w:eastAsia="Times New Roman"/>
          <w:i/>
          <w:sz w:val="28"/>
        </w:rPr>
        <w:t xml:space="preserve"> au</w:t>
      </w:r>
      <w:r>
        <w:rPr>
          <w:rFonts w:eastAsia="Times New Roman"/>
          <w:b/>
          <w:sz w:val="28"/>
        </w:rPr>
        <w:t xml:space="preserve"> principe</w:t>
      </w:r>
      <w:r>
        <w:rPr>
          <w:rFonts w:eastAsia="Times New Roman"/>
          <w:i/>
          <w:sz w:val="28"/>
        </w:rPr>
        <w:t xml:space="preserve"> de</w:t>
      </w:r>
      <w:r>
        <w:rPr>
          <w:rFonts w:eastAsia="Times New Roman"/>
          <w:b/>
          <w:sz w:val="28"/>
        </w:rPr>
        <w:t xml:space="preserve"> subsidiarité</w:t>
      </w:r>
      <w:r>
        <w:rPr>
          <w:rFonts w:eastAsia="Times New Roman"/>
          <w:i/>
          <w:sz w:val="28"/>
        </w:rPr>
        <w:t xml:space="preserve"> et de</w:t>
      </w:r>
      <w:r>
        <w:rPr>
          <w:rFonts w:eastAsia="Times New Roman"/>
          <w:b/>
          <w:sz w:val="28"/>
        </w:rPr>
        <w:t xml:space="preserve"> proportionnalité</w:t>
      </w:r>
      <w:r>
        <w:rPr>
          <w:rFonts w:eastAsia="Times New Roman"/>
          <w:i/>
          <w:sz w:val="28"/>
        </w:rPr>
        <w:t xml:space="preserve"> de la</w:t>
      </w:r>
      <w:r>
        <w:rPr>
          <w:rFonts w:eastAsia="Times New Roman"/>
          <w:b/>
          <w:sz w:val="28"/>
        </w:rPr>
        <w:t xml:space="preserve"> proposition</w:t>
      </w:r>
      <w:r>
        <w:rPr>
          <w:rFonts w:eastAsia="Times New Roman"/>
          <w:i/>
          <w:sz w:val="28"/>
        </w:rPr>
        <w:t xml:space="preserve"> de</w:t>
      </w:r>
      <w:r>
        <w:rPr>
          <w:rFonts w:eastAsia="Times New Roman"/>
          <w:b/>
          <w:sz w:val="28"/>
        </w:rPr>
        <w:t xml:space="preserve"> règlement</w:t>
      </w:r>
      <w:r>
        <w:rPr>
          <w:rFonts w:eastAsia="Times New Roman"/>
          <w:i/>
          <w:sz w:val="28"/>
        </w:rPr>
        <w:t xml:space="preserve"> du</w:t>
      </w:r>
      <w:r>
        <w:rPr>
          <w:rFonts w:eastAsia="Times New Roman"/>
          <w:b/>
          <w:sz w:val="28"/>
        </w:rPr>
        <w:t xml:space="preserve"> Parlement européen</w:t>
      </w:r>
      <w:r>
        <w:rPr>
          <w:rFonts w:eastAsia="Times New Roman"/>
          <w:i/>
          <w:sz w:val="28"/>
        </w:rPr>
        <w:t xml:space="preserve"> et du</w:t>
      </w:r>
      <w:r>
        <w:rPr>
          <w:rFonts w:eastAsia="Times New Roman"/>
          <w:b/>
          <w:sz w:val="28"/>
        </w:rPr>
        <w:t xml:space="preserve"> Conseil relatif</w:t>
      </w:r>
      <w:r>
        <w:rPr>
          <w:rFonts w:eastAsia="Times New Roman"/>
          <w:i/>
          <w:sz w:val="28"/>
        </w:rPr>
        <w:t xml:space="preserve"> à l’</w:t>
      </w:r>
      <w:r>
        <w:rPr>
          <w:rFonts w:eastAsia="Times New Roman"/>
          <w:b/>
          <w:sz w:val="28"/>
        </w:rPr>
        <w:t>Agence</w:t>
      </w:r>
      <w:r>
        <w:rPr>
          <w:rFonts w:eastAsia="Times New Roman"/>
          <w:i/>
          <w:sz w:val="28"/>
        </w:rPr>
        <w:t xml:space="preserve"> de l’</w:t>
      </w:r>
      <w:r>
        <w:rPr>
          <w:rFonts w:eastAsia="Times New Roman"/>
          <w:b/>
          <w:sz w:val="28"/>
        </w:rPr>
        <w:t>Union européenne</w:t>
      </w:r>
      <w:r>
        <w:rPr>
          <w:rFonts w:eastAsia="Times New Roman"/>
          <w:i/>
          <w:sz w:val="28"/>
        </w:rPr>
        <w:t xml:space="preserve"> pour la</w:t>
      </w:r>
      <w:r>
        <w:rPr>
          <w:rFonts w:eastAsia="Times New Roman"/>
          <w:b/>
          <w:sz w:val="28"/>
        </w:rPr>
        <w:t xml:space="preserve"> cybersécurité</w:t>
      </w:r>
      <w:r>
        <w:rPr>
          <w:rFonts w:eastAsia="Times New Roman"/>
          <w:sz w:val="28"/>
        </w:rPr>
        <w:t xml:space="preserve"> (</w:t>
      </w:r>
      <w:r>
        <w:rPr>
          <w:rFonts w:eastAsia="Times New Roman"/>
          <w:b/>
          <w:sz w:val="28"/>
        </w:rPr>
        <w:t>ENISA</w:t>
      </w:r>
      <w:r>
        <w:rPr>
          <w:rFonts w:eastAsia="Times New Roman"/>
          <w:sz w:val="28"/>
        </w:rPr>
        <w:t>)</w:t>
      </w:r>
      <w:r>
        <w:rPr>
          <w:rFonts w:eastAsia="Times New Roman"/>
          <w:i/>
          <w:sz w:val="28"/>
        </w:rPr>
        <w:t>, au</w:t>
      </w:r>
      <w:r>
        <w:rPr>
          <w:rFonts w:eastAsia="Times New Roman"/>
          <w:b/>
          <w:sz w:val="28"/>
        </w:rPr>
        <w:t xml:space="preserve"> cadre européen</w:t>
      </w:r>
      <w:r>
        <w:rPr>
          <w:rFonts w:eastAsia="Times New Roman"/>
          <w:i/>
          <w:sz w:val="28"/>
        </w:rPr>
        <w:t xml:space="preserve"> de</w:t>
      </w:r>
      <w:r>
        <w:rPr>
          <w:rFonts w:eastAsia="Times New Roman"/>
          <w:b/>
          <w:sz w:val="28"/>
        </w:rPr>
        <w:t xml:space="preserve"> certification</w:t>
      </w:r>
      <w:r>
        <w:rPr>
          <w:rFonts w:eastAsia="Times New Roman"/>
          <w:i/>
          <w:sz w:val="28"/>
        </w:rPr>
        <w:t xml:space="preserve"> de</w:t>
      </w:r>
      <w:r>
        <w:rPr>
          <w:rFonts w:eastAsia="Times New Roman"/>
          <w:b/>
          <w:sz w:val="28"/>
        </w:rPr>
        <w:t xml:space="preserve"> cybersécurité</w:t>
      </w:r>
      <w:r>
        <w:rPr>
          <w:rFonts w:eastAsia="Times New Roman"/>
          <w:i/>
          <w:sz w:val="28"/>
        </w:rPr>
        <w:t xml:space="preserve"> et à la</w:t>
      </w:r>
      <w:r>
        <w:rPr>
          <w:rFonts w:eastAsia="Times New Roman"/>
          <w:b/>
          <w:sz w:val="28"/>
        </w:rPr>
        <w:t xml:space="preserve"> sécurité</w:t>
      </w:r>
      <w:r>
        <w:rPr>
          <w:rFonts w:eastAsia="Times New Roman"/>
          <w:i/>
          <w:sz w:val="28"/>
        </w:rPr>
        <w:t xml:space="preserve"> de la</w:t>
      </w:r>
      <w:r>
        <w:rPr>
          <w:rFonts w:eastAsia="Times New Roman"/>
          <w:b/>
          <w:sz w:val="28"/>
        </w:rPr>
        <w:t xml:space="preserve"> chaîne</w:t>
      </w:r>
      <w:r>
        <w:rPr>
          <w:rFonts w:eastAsia="Times New Roman"/>
          <w:i/>
          <w:sz w:val="28"/>
        </w:rPr>
        <w:t xml:space="preserve"> d’</w:t>
      </w:r>
      <w:r>
        <w:rPr>
          <w:rFonts w:eastAsia="Times New Roman"/>
          <w:b/>
          <w:sz w:val="28"/>
        </w:rPr>
        <w:t>approvisionnement</w:t>
      </w:r>
      <w:r>
        <w:rPr>
          <w:rFonts w:eastAsia="Times New Roman"/>
          <w:i/>
          <w:sz w:val="28"/>
        </w:rPr>
        <w:t xml:space="preserve"> des</w:t>
      </w:r>
      <w:r>
        <w:rPr>
          <w:rFonts w:eastAsia="Times New Roman"/>
          <w:b/>
          <w:sz w:val="28"/>
        </w:rPr>
        <w:t xml:space="preserve"> TIC</w:t>
      </w:r>
      <w:r>
        <w:rPr>
          <w:rFonts w:eastAsia="Times New Roman"/>
          <w:i/>
          <w:sz w:val="28"/>
        </w:rPr>
        <w:t>, et abrogeant le</w:t>
      </w:r>
      <w:r>
        <w:rPr>
          <w:rFonts w:eastAsia="Times New Roman"/>
          <w:b/>
          <w:sz w:val="28"/>
        </w:rPr>
        <w:t xml:space="preserve"> règlement</w:t>
      </w:r>
      <w:r>
        <w:rPr>
          <w:rFonts w:eastAsia="Times New Roman"/>
          <w:sz w:val="28"/>
        </w:rPr>
        <w:t xml:space="preserve"> (</w:t>
      </w:r>
      <w:r>
        <w:rPr>
          <w:rFonts w:eastAsia="Times New Roman"/>
          <w:b/>
          <w:sz w:val="28"/>
        </w:rPr>
        <w:t>UE</w:t>
      </w:r>
      <w:r>
        <w:rPr>
          <w:rFonts w:eastAsia="Times New Roman"/>
          <w:sz w:val="28"/>
        </w:rPr>
        <w:t>)</w:t>
      </w:r>
      <w:r>
        <w:rPr>
          <w:rFonts w:eastAsia="Times New Roman"/>
          <w:i/>
          <w:sz w:val="28"/>
        </w:rPr>
        <w:t> 2019/881</w:t>
      </w:r>
      <w:r>
        <w:rPr>
          <w:rFonts w:eastAsia="Times New Roman"/>
          <w:sz w:val="28"/>
        </w:rPr>
        <w:t xml:space="preserve"> (</w:t>
      </w:r>
      <w:r>
        <w:rPr>
          <w:rFonts w:eastAsia="Times New Roman"/>
          <w:b/>
          <w:sz w:val="28"/>
        </w:rPr>
        <w:t>règlement</w:t>
      </w:r>
      <w:r>
        <w:rPr>
          <w:rFonts w:eastAsia="Times New Roman"/>
          <w:i/>
          <w:sz w:val="28"/>
        </w:rPr>
        <w:t xml:space="preserve"> sur la</w:t>
      </w:r>
      <w:r>
        <w:rPr>
          <w:rFonts w:eastAsia="Times New Roman"/>
          <w:b/>
          <w:sz w:val="28"/>
        </w:rPr>
        <w:t xml:space="preserve"> cybersécurité</w:t>
      </w:r>
      <w:r>
        <w:rPr>
          <w:rFonts w:eastAsia="Times New Roman"/>
          <w:i/>
          <w:sz w:val="28"/>
        </w:rPr>
        <w:t xml:space="preserve"> 2</w:t>
      </w:r>
      <w:r>
        <w:rPr>
          <w:rFonts w:eastAsia="Times New Roman"/>
          <w:sz w:val="28"/>
        </w:rPr>
        <w:t>)</w:t>
      </w:r>
      <w:r>
        <w:rPr>
          <w:rFonts w:eastAsia="Times New Roman"/>
          <w:i/>
          <w:sz w:val="28"/>
        </w:rPr>
        <w:t xml:space="preserve"> - COM</w:t>
      </w:r>
      <w:r>
        <w:rPr>
          <w:rFonts w:eastAsia="Times New Roman"/>
          <w:sz w:val="28"/>
        </w:rPr>
        <w:t>(</w:t>
      </w:r>
      <w:r>
        <w:rPr>
          <w:rFonts w:eastAsia="Times New Roman"/>
          <w:i/>
          <w:sz w:val="28"/>
        </w:rPr>
        <w:t>2026</w:t>
      </w:r>
      <w:r>
        <w:rPr>
          <w:rFonts w:eastAsia="Times New Roman"/>
          <w:sz w:val="28"/>
        </w:rPr>
        <w:t>)</w:t>
      </w:r>
      <w:r>
        <w:rPr>
          <w:rFonts w:eastAsia="Times New Roman"/>
          <w:i/>
          <w:sz w:val="28"/>
        </w:rPr>
        <w:t xml:space="preserve"> 11 final et de la</w:t>
      </w:r>
      <w:r>
        <w:rPr>
          <w:rFonts w:eastAsia="Times New Roman"/>
          <w:b/>
          <w:sz w:val="28"/>
        </w:rPr>
        <w:t xml:space="preserve"> proposition</w:t>
      </w:r>
      <w:r>
        <w:rPr>
          <w:rFonts w:eastAsia="Times New Roman"/>
          <w:i/>
          <w:sz w:val="28"/>
        </w:rPr>
        <w:t xml:space="preserve"> de</w:t>
      </w:r>
      <w:r>
        <w:rPr>
          <w:rFonts w:eastAsia="Times New Roman"/>
          <w:b/>
          <w:sz w:val="28"/>
        </w:rPr>
        <w:t xml:space="preserve"> directive</w:t>
      </w:r>
      <w:r>
        <w:rPr>
          <w:rFonts w:eastAsia="Times New Roman"/>
          <w:i/>
          <w:sz w:val="28"/>
        </w:rPr>
        <w:t xml:space="preserve"> du</w:t>
      </w:r>
      <w:r>
        <w:rPr>
          <w:rFonts w:eastAsia="Times New Roman"/>
          <w:b/>
          <w:sz w:val="28"/>
        </w:rPr>
        <w:t xml:space="preserve"> Parlement européen</w:t>
      </w:r>
      <w:r>
        <w:rPr>
          <w:rFonts w:eastAsia="Times New Roman"/>
          <w:i/>
          <w:sz w:val="28"/>
        </w:rPr>
        <w:t xml:space="preserve"> et du</w:t>
      </w:r>
      <w:r>
        <w:rPr>
          <w:rFonts w:eastAsia="Times New Roman"/>
          <w:b/>
          <w:sz w:val="28"/>
        </w:rPr>
        <w:t xml:space="preserve"> Conseil</w:t>
      </w:r>
      <w:r>
        <w:rPr>
          <w:rFonts w:eastAsia="Times New Roman"/>
          <w:i/>
          <w:sz w:val="28"/>
        </w:rPr>
        <w:t xml:space="preserve"> modifiant la</w:t>
      </w:r>
      <w:r>
        <w:rPr>
          <w:rFonts w:eastAsia="Times New Roman"/>
          <w:b/>
          <w:sz w:val="28"/>
        </w:rPr>
        <w:t xml:space="preserve"> directive</w:t>
      </w:r>
      <w:r>
        <w:rPr>
          <w:rFonts w:eastAsia="Times New Roman"/>
          <w:sz w:val="28"/>
        </w:rPr>
        <w:t xml:space="preserve"> (</w:t>
      </w:r>
      <w:r>
        <w:rPr>
          <w:rFonts w:eastAsia="Times New Roman"/>
          <w:b/>
          <w:sz w:val="28"/>
        </w:rPr>
        <w:t>UE</w:t>
      </w:r>
      <w:r>
        <w:rPr>
          <w:rFonts w:eastAsia="Times New Roman"/>
          <w:sz w:val="28"/>
        </w:rPr>
        <w:t>)</w:t>
      </w:r>
      <w:r>
        <w:rPr>
          <w:rFonts w:eastAsia="Times New Roman"/>
          <w:i/>
          <w:sz w:val="28"/>
        </w:rPr>
        <w:t> 2022/2555 en ce qui concerne l’</w:t>
      </w:r>
      <w:r>
        <w:rPr>
          <w:rFonts w:eastAsia="Times New Roman"/>
          <w:b/>
          <w:sz w:val="28"/>
        </w:rPr>
        <w:t>introduction</w:t>
      </w:r>
      <w:r>
        <w:rPr>
          <w:rFonts w:eastAsia="Times New Roman"/>
          <w:i/>
          <w:sz w:val="28"/>
        </w:rPr>
        <w:t xml:space="preserve"> de</w:t>
      </w:r>
      <w:r>
        <w:rPr>
          <w:rFonts w:eastAsia="Times New Roman"/>
          <w:b/>
          <w:sz w:val="28"/>
        </w:rPr>
        <w:t xml:space="preserve"> mes</w:t>
      </w:r>
      <w:r>
        <w:rPr>
          <w:rFonts w:eastAsia="Times New Roman"/>
          <w:b/>
          <w:sz w:val="28"/>
        </w:rPr>
        <w:t>ures</w:t>
      </w:r>
      <w:r>
        <w:rPr>
          <w:rFonts w:eastAsia="Times New Roman"/>
          <w:i/>
          <w:sz w:val="28"/>
        </w:rPr>
        <w:t xml:space="preserve"> de</w:t>
      </w:r>
      <w:r>
        <w:rPr>
          <w:rFonts w:eastAsia="Times New Roman"/>
          <w:b/>
          <w:sz w:val="28"/>
        </w:rPr>
        <w:t xml:space="preserve"> simplification</w:t>
      </w:r>
      <w:r>
        <w:rPr>
          <w:rFonts w:eastAsia="Times New Roman"/>
          <w:i/>
          <w:sz w:val="28"/>
        </w:rPr>
        <w:t xml:space="preserve"> et l’</w:t>
      </w:r>
      <w:r>
        <w:rPr>
          <w:rFonts w:eastAsia="Times New Roman"/>
          <w:b/>
          <w:sz w:val="28"/>
        </w:rPr>
        <w:t>alignement</w:t>
      </w:r>
      <w:r>
        <w:rPr>
          <w:rFonts w:eastAsia="Times New Roman"/>
          <w:i/>
          <w:sz w:val="28"/>
        </w:rPr>
        <w:t xml:space="preserve"> sur</w:t>
      </w:r>
      <w:r>
        <w:rPr>
          <w:rFonts w:eastAsia="Times New Roman"/>
          <w:sz w:val="28"/>
        </w:rPr>
        <w:t xml:space="preserve"> [</w:t>
      </w:r>
      <w:r>
        <w:rPr>
          <w:rFonts w:eastAsia="Times New Roman"/>
          <w:i/>
          <w:sz w:val="28"/>
        </w:rPr>
        <w:t>la</w:t>
      </w:r>
      <w:r>
        <w:rPr>
          <w:rFonts w:eastAsia="Times New Roman"/>
          <w:b/>
          <w:sz w:val="28"/>
        </w:rPr>
        <w:t xml:space="preserve"> proposition</w:t>
      </w:r>
      <w:r>
        <w:rPr>
          <w:rFonts w:eastAsia="Times New Roman"/>
          <w:i/>
          <w:sz w:val="28"/>
        </w:rPr>
        <w:t xml:space="preserve"> de</w:t>
      </w:r>
      <w:r>
        <w:rPr>
          <w:rFonts w:eastAsia="Times New Roman"/>
          <w:b/>
          <w:sz w:val="28"/>
        </w:rPr>
        <w:t xml:space="preserve"> règlement</w:t>
      </w:r>
      <w:r>
        <w:rPr>
          <w:rFonts w:eastAsia="Times New Roman"/>
          <w:i/>
          <w:sz w:val="28"/>
        </w:rPr>
        <w:t xml:space="preserve"> sur la</w:t>
      </w:r>
      <w:r>
        <w:rPr>
          <w:rFonts w:eastAsia="Times New Roman"/>
          <w:b/>
          <w:sz w:val="28"/>
        </w:rPr>
        <w:t xml:space="preserve"> cybersécurité</w:t>
      </w:r>
      <w:r>
        <w:rPr>
          <w:rFonts w:eastAsia="Times New Roman"/>
          <w:i/>
          <w:sz w:val="28"/>
        </w:rPr>
        <w:t xml:space="preserve"> </w:t>
      </w:r>
      <w:r w:rsidRPr="00667902">
        <w:rPr>
          <w:rFonts w:eastAsia="Times New Roman"/>
          <w:b/>
          <w:bCs w:val="0"/>
          <w:iCs/>
          <w:sz w:val="28"/>
        </w:rPr>
        <w:t>2</w:t>
      </w:r>
      <w:r>
        <w:rPr>
          <w:rFonts w:eastAsia="Times New Roman"/>
          <w:sz w:val="28"/>
        </w:rPr>
        <w:t>]</w:t>
      </w:r>
      <w:r>
        <w:rPr>
          <w:rFonts w:eastAsia="Times New Roman"/>
          <w:i/>
          <w:sz w:val="28"/>
        </w:rPr>
        <w:t xml:space="preserve"> - COM</w:t>
      </w:r>
      <w:r>
        <w:rPr>
          <w:rFonts w:eastAsia="Times New Roman"/>
          <w:sz w:val="28"/>
        </w:rPr>
        <w:t>(</w:t>
      </w:r>
      <w:r>
        <w:rPr>
          <w:rFonts w:eastAsia="Times New Roman"/>
          <w:i/>
          <w:sz w:val="28"/>
        </w:rPr>
        <w:t>2026</w:t>
      </w:r>
      <w:r>
        <w:rPr>
          <w:rFonts w:eastAsia="Times New Roman"/>
          <w:sz w:val="28"/>
        </w:rPr>
        <w:t>)</w:t>
      </w:r>
      <w:r>
        <w:rPr>
          <w:rFonts w:eastAsia="Times New Roman"/>
          <w:i/>
          <w:sz w:val="28"/>
        </w:rPr>
        <w:t xml:space="preserve"> 13 final</w:t>
      </w:r>
    </w:p>
    <w:p w:rsidR="001C7A04" w:rsidRDefault="001C7A04" w14:paraId="263DE550" w14:textId="77777777">
      <w:pPr>
        <w:jc w:val="center"/>
      </w:pPr>
    </w:p>
    <w:p w:rsidR="001C7A04" w:rsidRDefault="001C7A04" w14:paraId="263DE551" w14:textId="77777777">
      <w:pPr>
        <w:jc w:val="center"/>
      </w:pPr>
    </w:p>
    <w:p w:rsidR="001C7A04" w:rsidRDefault="001C7A04" w14:paraId="263DE552" w14:textId="77777777">
      <w:pPr>
        <w:jc w:val="center"/>
      </w:pPr>
    </w:p>
    <w:p w:rsidR="001C7A04" w:rsidRDefault="001C7A04" w14:paraId="263DE553" w14:textId="77777777">
      <w:pPr>
        <w:jc w:val="center"/>
      </w:pPr>
    </w:p>
    <w:p w:rsidR="001C7A04" w:rsidRDefault="001C7A04" w14:paraId="263DE554" w14:textId="77777777">
      <w:pPr>
        <w:jc w:val="center"/>
      </w:pPr>
    </w:p>
    <w:p w:rsidR="001C7A04" w:rsidRDefault="001C7A04" w14:paraId="263DE555" w14:textId="77777777">
      <w:pPr>
        <w:jc w:val="center"/>
      </w:pPr>
    </w:p>
    <w:p w:rsidR="001C7A04" w:rsidRDefault="001C7A04" w14:paraId="263DE556" w14:textId="77777777">
      <w:pPr>
        <w:jc w:val="center"/>
      </w:pPr>
    </w:p>
    <w:p w:rsidR="001C7A04" w:rsidRDefault="001C7A04" w14:paraId="263DE557" w14:textId="77777777">
      <w:pPr>
        <w:ind w:right="25"/>
        <w:jc w:val="center"/>
      </w:pPr>
      <w:r>
        <w:rPr>
          <w:rFonts w:eastAsia="Times New Roman"/>
          <w:i/>
          <w:sz w:val="28"/>
        </w:rPr>
        <w:t xml:space="preserve">Est devenue résolution du Sénat, conformément à l’article 73 </w:t>
      </w:r>
      <w:r w:rsidRPr="00DF71DD">
        <w:rPr>
          <w:rFonts w:eastAsia="Times New Roman"/>
          <w:iCs/>
          <w:sz w:val="28"/>
        </w:rPr>
        <w:t>octies</w:t>
      </w:r>
      <w:r>
        <w:rPr>
          <w:rFonts w:eastAsia="Times New Roman"/>
          <w:i/>
          <w:sz w:val="28"/>
        </w:rPr>
        <w:t xml:space="preserve"> </w:t>
      </w:r>
      <w:r>
        <w:rPr>
          <w:rFonts w:eastAsia="Times New Roman"/>
          <w:i/>
          <w:sz w:val="28"/>
        </w:rPr>
        <w:br/>
        <w:t xml:space="preserve">du Règlement du Sénat, la résolution adoptée par la </w:t>
      </w:r>
      <w:r>
        <w:rPr>
          <w:rFonts w:eastAsia="Times New Roman"/>
          <w:i/>
          <w:sz w:val="28"/>
        </w:rPr>
        <w:t>commission des lois dont la teneur suit :</w:t>
      </w:r>
    </w:p>
    <w:p w:rsidR="001C7A04" w:rsidRDefault="001C7A04" w14:paraId="263DE558" w14:textId="77777777">
      <w:pPr>
        <w:jc w:val="center"/>
      </w:pPr>
      <w:r>
        <w:rPr>
          <w:strike/>
        </w:rPr>
        <w:t>                                                                                                                                             </w:t>
      </w:r>
    </w:p>
    <w:p w:rsidR="001C7A04" w:rsidRDefault="001C7A04" w14:paraId="263DE559" w14:textId="77777777">
      <w:pPr>
        <w:jc w:val="left"/>
      </w:pPr>
      <w:r>
        <w:rPr>
          <w:rFonts w:eastAsia="Times New Roman"/>
          <w:b/>
          <w:sz w:val="22"/>
        </w:rPr>
        <w:t>Voir le numéro :</w:t>
      </w:r>
    </w:p>
    <w:p w:rsidR="001C7A04" w:rsidRDefault="001C7A04" w14:paraId="263DE55A" w14:textId="77777777">
      <w:pPr>
        <w:spacing w:beforeLines="50" w:after="0"/>
        <w:jc w:val="left"/>
      </w:pPr>
      <w:r>
        <w:rPr>
          <w:rFonts w:eastAsia="Times New Roman"/>
          <w:b/>
          <w:sz w:val="22"/>
        </w:rPr>
        <w:t>Sénat : 624</w:t>
      </w:r>
      <w:r>
        <w:rPr>
          <w:rFonts w:eastAsia="Times New Roman"/>
          <w:sz w:val="22"/>
        </w:rPr>
        <w:t> (2025</w:t>
      </w:r>
      <w:r>
        <w:rPr>
          <w:rFonts w:eastAsia="Times New Roman"/>
          <w:sz w:val="22"/>
        </w:rPr>
        <w:noBreakHyphen/>
        <w:t>2026).</w:t>
      </w:r>
    </w:p>
    <w:p w:rsidR="001C7A04" w:rsidRDefault="001C7A04" w14:paraId="263DE55B" w14:textId="77777777">
      <w:pPr>
        <w:jc w:val="center"/>
        <w:sectPr w:rsidR="006F659F">
          <w:headerReference w:type="even" r:id="Re5d5b54727194685"/>
          <w:headerReference w:type="default" r:id="Ra5e5da1bc34f4c74"/>
          <w:footerReference w:type="even" r:id="R3dd4f80c6e354e02"/>
          <w:footerReference w:type="default" r:id="Red3f2049301f41e7"/>
          <w:headerReference w:type="first" r:id="R14f75f1d216845dd"/>
          <w:footerReference w:type="first" r:id="Rb19d7468ebeb46a6"/>
          <w:pgSz w:w="11900" w:h="16840"/>
          <w:pgMar w:top="1587" w:right="1700" w:bottom="1700" w:left="1700" w:header="720" w:footer="720" w:gutter="0"/>
          <w:cols w:space="720"/>
        </w:sectPr>
      </w:pPr>
    </w:p>
    <w:p w:rsidR="001C7A04" w:rsidRDefault="001C7A04" w14:paraId="263DE55C" w14:textId="77777777">
      <w:pPr>
        <w:pStyle w:val="LoiTexte"/>
      </w:pPr>
      <w:r>
        <w:rPr>
          <w:rFonts w:eastAsia="Times New Roman"/>
        </w:rPr>
        <w:lastRenderedPageBreak/>
        <w:t>Vu l’article 88</w:t>
      </w:r>
      <w:r>
        <w:rPr>
          <w:rFonts w:eastAsia="Times New Roman"/>
        </w:rPr>
        <w:noBreakHyphen/>
        <w:t>6 de la Constitution,</w:t>
      </w:r>
    </w:p>
    <w:p w:rsidR="001C7A04" w:rsidRDefault="001C7A04" w14:paraId="263DE55D" w14:textId="77777777">
      <w:pPr>
        <w:pStyle w:val="LoiTexte"/>
      </w:pPr>
      <w:r>
        <w:rPr>
          <w:rFonts w:eastAsia="Times New Roman"/>
        </w:rPr>
        <w:t>Vu l’article 73 </w:t>
      </w:r>
      <w:r>
        <w:rPr>
          <w:rFonts w:eastAsia="Times New Roman"/>
          <w:i/>
        </w:rPr>
        <w:t>octies</w:t>
      </w:r>
      <w:r>
        <w:rPr>
          <w:rFonts w:eastAsia="Times New Roman"/>
        </w:rPr>
        <w:t xml:space="preserve"> du Règlement du Sénat,</w:t>
      </w:r>
    </w:p>
    <w:p w:rsidR="001C7A04" w:rsidRDefault="001C7A04" w14:paraId="263DE55E" w14:textId="77777777">
      <w:pPr>
        <w:pStyle w:val="LoiTexte"/>
      </w:pPr>
      <w:r>
        <w:rPr>
          <w:rFonts w:eastAsia="Times New Roman"/>
        </w:rPr>
        <w:t xml:space="preserve">Vu la proposition de règlement du Parlement européen et du Conseil relatif à l’Agence de l’Union européenne pour la cybersécurité (ENISA), au cadre européen de </w:t>
      </w:r>
      <w:r>
        <w:rPr>
          <w:rFonts w:eastAsia="Times New Roman"/>
        </w:rPr>
        <w:t>certification de cybersécurité et à la sécurité de la chaîne d’approvisionnement des TIC, et abrogeant le règlement (UE) 2019/881 (règlement sur la cybersécurité 2), du 20 janvier 2026, COM(2026) 11 final,</w:t>
      </w:r>
    </w:p>
    <w:p w:rsidR="001C7A04" w:rsidRDefault="001C7A04" w14:paraId="263DE55F" w14:textId="77777777">
      <w:pPr>
        <w:pStyle w:val="LoiTexte"/>
      </w:pPr>
      <w:r>
        <w:rPr>
          <w:rFonts w:eastAsia="Times New Roman"/>
        </w:rPr>
        <w:t>Vu la proposition de directive du Parlement européen et du Conseil modifiant la directive (UE) 2022/2555 en ce qui concerne l’introduction de mesures de simplification et l’alignement sur [la proposition de règlement sur la cybersécurité 2], du 20 janvier 2026, COM(2026) 13 final,</w:t>
      </w:r>
    </w:p>
    <w:p w:rsidR="001C7A04" w:rsidRDefault="001C7A04" w14:paraId="263DE560" w14:textId="77777777">
      <w:pPr>
        <w:pStyle w:val="LoiTexte"/>
      </w:pPr>
      <w:r>
        <w:rPr>
          <w:rFonts w:eastAsia="Times New Roman"/>
        </w:rPr>
        <w:t>Le Sénat émet les observations suivantes :</w:t>
      </w:r>
    </w:p>
    <w:p w:rsidR="001C7A04" w:rsidRDefault="001C7A04" w14:paraId="263DE561" w14:textId="77777777">
      <w:pPr>
        <w:pStyle w:val="LoiTexte"/>
      </w:pPr>
      <w:r>
        <w:rPr>
          <w:rFonts w:eastAsia="Times New Roman"/>
        </w:rPr>
        <w:t>Le Sénat soutient l’objectif de renforcer la préparation et la résilience de la société et de l’économie de l’Union européenne en matière de cybersécurité, ainsi que l’objectif du développement et du renforcement de la main</w:t>
      </w:r>
      <w:r>
        <w:rPr>
          <w:rFonts w:eastAsia="Times New Roman"/>
        </w:rPr>
        <w:noBreakHyphen/>
        <w:t>d’œuvre dans le domaine de la cybersécurité ;</w:t>
      </w:r>
    </w:p>
    <w:p w:rsidR="001C7A04" w:rsidRDefault="001C7A04" w14:paraId="263DE562" w14:textId="77777777">
      <w:pPr>
        <w:pStyle w:val="LoiTexte"/>
      </w:pPr>
      <w:r>
        <w:rPr>
          <w:rFonts w:eastAsia="Times New Roman"/>
        </w:rPr>
        <w:t>Cependant, il estime que – eu égard à l’importance de ces sujets pour la sécurité nationale – l’Union européenne doit veiller à agir de manière équilibrée et proportionnée ;</w:t>
      </w:r>
    </w:p>
    <w:p w:rsidR="001C7A04" w:rsidRDefault="001C7A04" w14:paraId="263DE563" w14:textId="77777777">
      <w:pPr>
        <w:pStyle w:val="LoiTexte"/>
      </w:pPr>
      <w:r>
        <w:rPr>
          <w:rFonts w:eastAsia="Times New Roman"/>
        </w:rPr>
        <w:t>L’article 5 du traité sur l’Union européenne (TUE) stipule que l’Union européenne ne peut intervenir, en vertu du principe de subsidiarité, que « </w:t>
      </w:r>
      <w:r>
        <w:rPr>
          <w:rFonts w:eastAsia="Times New Roman"/>
          <w:i/>
        </w:rPr>
        <w:t>si, et dans la mesure où les objectifs de l’action envisagée ne peuvent pas être atteints de manière suffisante par les États membres, mais peuvent l’être mieux, en raison des dimensions ou des effets de l’action envisagée, au niveau de l’Union</w:t>
      </w:r>
      <w:r>
        <w:rPr>
          <w:rFonts w:eastAsia="Times New Roman"/>
        </w:rPr>
        <w:t> » ; il précise qu’en application du principe de proportionnalité, « </w:t>
      </w:r>
      <w:r>
        <w:rPr>
          <w:rFonts w:eastAsia="Times New Roman"/>
          <w:i/>
        </w:rPr>
        <w:t>le contenu et la forme de l’action de l’Union n’excèdent pas ce qui est nécessaire pour atteindre les objectifs des traités</w:t>
      </w:r>
      <w:r>
        <w:rPr>
          <w:rFonts w:eastAsia="Times New Roman"/>
        </w:rPr>
        <w:t> » ; ceci implique d’examiner, non seulement si l’objectif de l’action envis</w:t>
      </w:r>
      <w:r>
        <w:rPr>
          <w:rFonts w:eastAsia="Times New Roman"/>
        </w:rPr>
        <w:t>agée peut être mieux réalisé au niveau européen, mais également si l’intensité de l’action entreprise n’excède pas la mesure nécessaire pour atteindre l’objectif que cette action vise à réaliser ;</w:t>
      </w:r>
    </w:p>
    <w:p w:rsidR="001C7A04" w:rsidRDefault="001C7A04" w14:paraId="263DE564" w14:textId="77777777">
      <w:pPr>
        <w:pStyle w:val="LoiTexte"/>
      </w:pPr>
      <w:r>
        <w:rPr>
          <w:rFonts w:eastAsia="Times New Roman"/>
        </w:rPr>
        <w:t>L’article 5 du protocole n° 2 sur l’application des principes de subsidiarité et de proportionnalité annexé au TUE et au traité sur le fonctionnement de l’Union européenne (TFUE) prévoit que « </w:t>
      </w:r>
      <w:r>
        <w:rPr>
          <w:rFonts w:eastAsia="Times New Roman"/>
          <w:i/>
        </w:rPr>
        <w:t xml:space="preserve">les raisons permettant de conclure qu’un objectif de l’Union peut être mieux atteint au </w:t>
      </w:r>
      <w:r>
        <w:rPr>
          <w:rFonts w:eastAsia="Times New Roman"/>
          <w:i/>
        </w:rPr>
        <w:lastRenderedPageBreak/>
        <w:t>niveau de celle</w:t>
      </w:r>
      <w:r>
        <w:rPr>
          <w:rFonts w:eastAsia="Times New Roman"/>
          <w:i/>
        </w:rPr>
        <w:noBreakHyphen/>
        <w:t>ci s’appuient sur des indicateurs qualitatifs et, chaque fois que c’est possible, quantitatifs</w:t>
      </w:r>
      <w:r>
        <w:rPr>
          <w:rFonts w:eastAsia="Times New Roman"/>
        </w:rPr>
        <w:t> » ; ceci implique que les projets d’actes législatifs européens soient suffisamment motivés et circonstanciés ;</w:t>
      </w:r>
    </w:p>
    <w:p w:rsidR="001C7A04" w:rsidRDefault="001C7A04" w14:paraId="263DE565" w14:textId="77777777">
      <w:pPr>
        <w:pStyle w:val="LoiTexte"/>
      </w:pPr>
      <w:r>
        <w:rPr>
          <w:rFonts w:eastAsia="Times New Roman"/>
        </w:rPr>
        <w:t>L’analyse d’impact qui précède la proposition de règlement COM(2026) 11 final précitée ne détaille pas les raisons du choix de l’option de « </w:t>
      </w:r>
      <w:r>
        <w:rPr>
          <w:rFonts w:eastAsia="Times New Roman"/>
          <w:i/>
        </w:rPr>
        <w:t>réforme complète du mandat de l’ENISA</w:t>
      </w:r>
      <w:r>
        <w:rPr>
          <w:rFonts w:eastAsia="Times New Roman"/>
        </w:rPr>
        <w:t xml:space="preserve"> » en lieu et place d’amendements au mandat actuel défini dans le règlement (UE) 2019/881 du Parlement européen et du Conseil du 17 avril 2019 relatif à l’ENISA (Agence de l’Union européenne pour la cybersécurité) et à la certification de cybersécurité des technologies de l’information et des communications, et abrogeant le règlement (UE) n° 526/2013 (règlement sur la cybersécurité). En conséquence, la motivation de cette proposition apparaît présenter des limites et ne </w:t>
      </w:r>
      <w:r>
        <w:rPr>
          <w:rFonts w:eastAsia="Times New Roman"/>
        </w:rPr>
        <w:t>permet pas la bonne compréhension des modifications envisagées au mandat de l’ENISA ;</w:t>
      </w:r>
    </w:p>
    <w:p w:rsidR="001C7A04" w:rsidRDefault="001C7A04" w14:paraId="263DE566" w14:textId="77777777">
      <w:pPr>
        <w:pStyle w:val="LoiTexte"/>
      </w:pPr>
      <w:r>
        <w:rPr>
          <w:rFonts w:eastAsia="Times New Roman"/>
        </w:rPr>
        <w:t>Le Sénat rappelle, comme il l’avait fait dans sa résolution n° 25 (2017</w:t>
      </w:r>
      <w:r>
        <w:rPr>
          <w:rFonts w:eastAsia="Times New Roman"/>
        </w:rPr>
        <w:noBreakHyphen/>
        <w:t xml:space="preserve">2028), du 6 décembre 2017, portant avis motivé sur la conformité au principe de subsidiarité de la proposition de règlement relatif à l’ENISA, Agence de l’Union européenne pour la </w:t>
      </w:r>
      <w:r>
        <w:rPr>
          <w:rFonts w:eastAsia="Times New Roman"/>
        </w:rPr>
        <w:t>cybersécurité, et abrogeant le règlement (UE) n° 526/2013, et relatif à la certification des technologies de l’information et des communications en matière de cybersécurité (règlement sur la cybersécurité), COM (2017) 477 final, ainsi que dans sa résolution n° 52 (2023</w:t>
      </w:r>
      <w:r>
        <w:rPr>
          <w:rFonts w:eastAsia="Times New Roman"/>
        </w:rPr>
        <w:noBreakHyphen/>
        <w:t>2024), du 19 janvier 2024, sur la proposition de règlement du Parlement européen et du Conseil établissant des mesures destinées à renforcer la solidarité et les capacités dans l’Union afin de détecter les menaces et incidents de cybersécurit</w:t>
      </w:r>
      <w:r>
        <w:rPr>
          <w:rFonts w:eastAsia="Times New Roman"/>
        </w:rPr>
        <w:t>é, de s’y préparer et d’y réagir, COM(2023) 209 final, que la cybersécurité, de par l’importance qu’elle revêt pour la sécurité des États membres, relève par plusieurs aspects de la souveraineté nationale ;</w:t>
      </w:r>
    </w:p>
    <w:p w:rsidR="001C7A04" w:rsidRDefault="001C7A04" w14:paraId="263DE567" w14:textId="77777777">
      <w:pPr>
        <w:pStyle w:val="LoiTexte"/>
      </w:pPr>
      <w:r>
        <w:rPr>
          <w:rFonts w:eastAsia="Times New Roman"/>
        </w:rPr>
        <w:t>La cybersécurité ne peut relever uniquement de l’article 114 du TFUE, qui porte sur le fonctionnement du marché intérieur. Dès lors qu’elle est fondamentale du point de vue de la sécurité nationale, elle relève également de l’article 4 du TUE qui stipule que l’Union européenne « </w:t>
      </w:r>
      <w:r>
        <w:rPr>
          <w:rFonts w:eastAsia="Times New Roman"/>
          <w:i/>
        </w:rPr>
        <w:t>respecte les fonctions essentielles de l’État, notamment celles qui ont pour objet d’assurer son intégrité territoriale, de maintenir l’ordre public et de sauvegarder la sécurité nationale</w:t>
      </w:r>
      <w:r>
        <w:rPr>
          <w:rFonts w:eastAsia="Times New Roman"/>
        </w:rPr>
        <w:t> » et précise : « </w:t>
      </w:r>
      <w:r>
        <w:rPr>
          <w:rFonts w:eastAsia="Times New Roman"/>
          <w:i/>
        </w:rPr>
        <w:t>En particulier, la sécurité nationale reste de la seule responsabilité de chaque État membre</w:t>
      </w:r>
      <w:r>
        <w:rPr>
          <w:rFonts w:eastAsia="Times New Roman"/>
        </w:rPr>
        <w:t> » ;</w:t>
      </w:r>
    </w:p>
    <w:p w:rsidR="001C7A04" w:rsidRDefault="001C7A04" w14:paraId="263DE568" w14:textId="77777777">
      <w:pPr>
        <w:pStyle w:val="LoiTexte"/>
      </w:pPr>
      <w:r>
        <w:rPr>
          <w:rFonts w:eastAsia="Times New Roman"/>
        </w:rPr>
        <w:t>Pour atteindre les objectifs en matière de cyberrésilience et de renforcement des capacités des États membres, la Commission européenne propose de renforcer le mandat de l’ENISA (« </w:t>
      </w:r>
      <w:r>
        <w:rPr>
          <w:rFonts w:eastAsia="Times New Roman"/>
          <w:i/>
        </w:rPr>
        <w:t xml:space="preserve">The European Union Agency </w:t>
      </w:r>
      <w:r>
        <w:rPr>
          <w:rFonts w:eastAsia="Times New Roman"/>
          <w:i/>
        </w:rPr>
        <w:lastRenderedPageBreak/>
        <w:t>for Cybersecurity</w:t>
      </w:r>
      <w:r>
        <w:rPr>
          <w:rFonts w:eastAsia="Times New Roman"/>
        </w:rPr>
        <w:t> » – « </w:t>
      </w:r>
      <w:r w:rsidRPr="00667902">
        <w:rPr>
          <w:rFonts w:eastAsia="Times New Roman"/>
          <w:i/>
          <w:iCs/>
        </w:rPr>
        <w:t>ENISA</w:t>
      </w:r>
      <w:r>
        <w:rPr>
          <w:rFonts w:eastAsia="Times New Roman"/>
        </w:rPr>
        <w:t> »), ce qui implique le renforcement de ses moyens financiers et humains ; Pour ce faire, demande est faite aux États membres de fournir chacun « </w:t>
      </w:r>
      <w:r>
        <w:rPr>
          <w:rFonts w:eastAsia="Times New Roman"/>
          <w:i/>
        </w:rPr>
        <w:t>au moins deux agents de liaison</w:t>
      </w:r>
      <w:r>
        <w:rPr>
          <w:rFonts w:eastAsia="Times New Roman"/>
        </w:rPr>
        <w:t> » en complément des experts nationaux détachés déjà mis à disposition auprès de l’ENISA (article 58). Ces agents étant issus des autorités nationales compétentes, et face au déficit d’experts techniques de la cybersécurité, cette mesure est de nature à centraliser l’expertise hu</w:t>
      </w:r>
      <w:r>
        <w:rPr>
          <w:rFonts w:eastAsia="Times New Roman"/>
        </w:rPr>
        <w:t>maine au sein de l’ENISA, au détriment du renforcement de la main d’œuvre compétente dans les États membres, ce qui apparaît contraire à l’objectif poursuivi ;</w:t>
      </w:r>
    </w:p>
    <w:p w:rsidR="001C7A04" w:rsidRDefault="001C7A04" w14:paraId="263DE569" w14:textId="77777777">
      <w:pPr>
        <w:pStyle w:val="LoiTexte"/>
      </w:pPr>
      <w:r>
        <w:rPr>
          <w:rFonts w:eastAsia="Times New Roman"/>
        </w:rPr>
        <w:t>Le Sénat estime que les États membres doivent tous disposer de capacités techniques et opérationnelles suffisantes en matière de cybersécurité et qu’il est bienvenu que l’ENISA les aide dans cette démarche, sans toutefois que l’ENISA se substitue aux capacités opérationnelles des États membres. Or, l’obligation de transferts de ressources humaines et de compétences du niveau national vers l’ENISA est de nature à contrarier les efforts de construction de capacités opérationnelles au sein des agences national</w:t>
      </w:r>
      <w:r>
        <w:rPr>
          <w:rFonts w:eastAsia="Times New Roman"/>
        </w:rPr>
        <w:t>es ;</w:t>
      </w:r>
    </w:p>
    <w:p w:rsidR="001C7A04" w:rsidRDefault="001C7A04" w14:paraId="263DE56A" w14:textId="77777777">
      <w:pPr>
        <w:pStyle w:val="LoiTexte"/>
      </w:pPr>
      <w:r>
        <w:rPr>
          <w:rFonts w:eastAsia="Times New Roman"/>
        </w:rPr>
        <w:t>Le Sénat estime que le renforcement du mandat de l’ENISA ne doit pas se faire au détriment des prérogatives des États membres établies par les traités. Le rôle de l’ENISA doit ainsi rester cantonné à un soutien aux États membres, à la définition de standards techniques pour assurer qu’ils puissent appliquer les règles européennes et à l’animation des échanges d’information entre les États membres en matière de cybersécurité. En revanche, le mandat de l’ENISA ne saurait porter sur des compétences exercées pa</w:t>
      </w:r>
      <w:r>
        <w:rPr>
          <w:rFonts w:eastAsia="Times New Roman"/>
        </w:rPr>
        <w:t>r les autorités nationales, sur le plan opérationnel, notamment en matière de réponse aux incidents cyber, sans créer de la redondance et de la complexité, ni contrevenir aux principes de subsidiarité et de proportionnalité ;</w:t>
      </w:r>
    </w:p>
    <w:p w:rsidR="001C7A04" w:rsidRDefault="001C7A04" w14:paraId="263DE56B" w14:textId="77777777">
      <w:pPr>
        <w:pStyle w:val="LoiTexte"/>
      </w:pPr>
      <w:r>
        <w:rPr>
          <w:rFonts w:eastAsia="Times New Roman"/>
        </w:rPr>
        <w:t>À cet égard, le Sénat juge disproportionnée la proposition de créer un guichet unique au niveau de l’ENISA, en particulier eu égard à la menace des rançongiciels ;</w:t>
      </w:r>
    </w:p>
    <w:p w:rsidR="001C7A04" w:rsidRDefault="001C7A04" w14:paraId="263DE56C" w14:textId="77777777">
      <w:pPr>
        <w:pStyle w:val="LoiTexte"/>
      </w:pPr>
      <w:r>
        <w:rPr>
          <w:rFonts w:eastAsia="Times New Roman"/>
        </w:rPr>
        <w:t>Le Sénat estime en outre que certaines évolutions proposées en matière de certification (titre III) relèguent au second rang l’expertise des États membres et de leurs agences nationales compétentes, alors même que ce sont elles qui disposent de la connaissance des enjeux de terrain. À cet égard, le Sénat considère que l’ENISA devrait se fonder sur des référentiels nationaux existants qui – à l’instar du référentiel « SecNumedu » en matière de formation – ont fait leurs preuves, plutôt que de chercher à régu</w:t>
      </w:r>
      <w:r>
        <w:rPr>
          <w:rFonts w:eastAsia="Times New Roman"/>
        </w:rPr>
        <w:t>ler directement les marchés concernés ;</w:t>
      </w:r>
    </w:p>
    <w:p w:rsidR="001C7A04" w:rsidRDefault="001C7A04" w14:paraId="263DE56D" w14:textId="77777777">
      <w:pPr>
        <w:pStyle w:val="LoiTexte"/>
      </w:pPr>
      <w:r>
        <w:rPr>
          <w:rFonts w:eastAsia="Times New Roman"/>
        </w:rPr>
        <w:lastRenderedPageBreak/>
        <w:t xml:space="preserve">Concernant la certification de sécurité des services </w:t>
      </w:r>
      <w:r>
        <w:rPr>
          <w:rFonts w:eastAsia="Times New Roman"/>
          <w:i/>
        </w:rPr>
        <w:t>cloud</w:t>
      </w:r>
      <w:r>
        <w:rPr>
          <w:rFonts w:eastAsia="Times New Roman"/>
        </w:rPr>
        <w:t xml:space="preserve">, compte tenu de l’impasse dans laquelle se trouve aujourd’hui le projet de schéma européen de certification de sécurité des services </w:t>
      </w:r>
      <w:r>
        <w:rPr>
          <w:rFonts w:eastAsia="Times New Roman"/>
          <w:i/>
        </w:rPr>
        <w:t>cloud</w:t>
      </w:r>
      <w:r>
        <w:rPr>
          <w:rFonts w:eastAsia="Times New Roman"/>
        </w:rPr>
        <w:t> (« </w:t>
      </w:r>
      <w:r>
        <w:rPr>
          <w:rFonts w:eastAsia="Times New Roman"/>
          <w:i/>
        </w:rPr>
        <w:t>The European Union Cloud Services Scheme</w:t>
      </w:r>
      <w:r>
        <w:rPr>
          <w:rFonts w:eastAsia="Times New Roman"/>
        </w:rPr>
        <w:t> » – « </w:t>
      </w:r>
      <w:r w:rsidRPr="00667902">
        <w:rPr>
          <w:rFonts w:eastAsia="Times New Roman"/>
          <w:i/>
          <w:iCs/>
        </w:rPr>
        <w:t>EUCS</w:t>
      </w:r>
      <w:r>
        <w:rPr>
          <w:rFonts w:eastAsia="Times New Roman"/>
        </w:rPr>
        <w:t> »), le Sénat estime que les référentiels nationaux existants (la qualification SecNumCloud, délivrée par l’Agence nationale de la sécurité des systèmes d’information – ANSSI –, pour la France) doivent pouvoir être préservés et pérennisés, dans l’attente de l’adoption d’un schéma européen de certification de séc</w:t>
      </w:r>
      <w:r>
        <w:rPr>
          <w:rFonts w:eastAsia="Times New Roman"/>
        </w:rPr>
        <w:t>urité offrant au moins le même niveau de protection, notamment en termes d’immunité aux législations non européennes à portée extraterritoriale ;</w:t>
      </w:r>
    </w:p>
    <w:p w:rsidR="001C7A04" w:rsidRDefault="001C7A04" w14:paraId="263DE56E" w14:textId="77777777">
      <w:pPr>
        <w:pStyle w:val="LoiTexte"/>
        <w:keepNext/>
        <w:jc w:val="center"/>
      </w:pPr>
      <w:r>
        <w:rPr>
          <w:rFonts w:eastAsia="Times New Roman"/>
          <w:i/>
        </w:rPr>
        <w:t>*</w:t>
      </w:r>
    </w:p>
    <w:p w:rsidR="001C7A04" w:rsidRDefault="001C7A04" w14:paraId="263DE56F" w14:textId="77777777">
      <w:pPr>
        <w:pStyle w:val="LoiTexte"/>
      </w:pPr>
      <w:r>
        <w:rPr>
          <w:rFonts w:eastAsia="Times New Roman"/>
        </w:rPr>
        <w:t>En conséquence, pour ces motifs, le Sénat considère que les propositions d’actes législatifs COM(2026) 11 final et COM(2026) 13 final précitées ne sont pas conformes à l’article 5 du TUE et au protocole n° 2 sur l’application des principes de subsidiarité et de proportionnalité annexé au TUE et au TFUE.</w:t>
      </w:r>
    </w:p>
    <w:p w:rsidR="001C7A04" w:rsidRDefault="001C7A04" w14:paraId="263DE570" w14:textId="77777777">
      <w:pPr>
        <w:keepNext/>
        <w:keepLines/>
        <w:spacing w:before="480" w:after="240"/>
        <w:ind w:firstLine="560" w:firstLineChars="200"/>
        <w:rPr>
          <w:rFonts w:eastAsia="Times New Roman"/>
          <w:i/>
          <w:sz w:val="28"/>
        </w:rPr>
      </w:pPr>
    </w:p>
    <w:p w:rsidR="001C7A04" w:rsidRDefault="001C7A04" w14:paraId="263DE571" w14:textId="77777777">
      <w:pPr>
        <w:keepNext/>
        <w:keepLines/>
        <w:spacing w:before="480" w:after="240"/>
        <w:ind w:firstLine="560" w:firstLineChars="200"/>
        <w:rPr>
          <w:rFonts w:eastAsia="Times New Roman"/>
          <w:i/>
          <w:sz w:val="28"/>
        </w:rPr>
      </w:pPr>
    </w:p>
    <w:p w:rsidR="001C7A04" w:rsidRDefault="001C7A04" w14:paraId="263DE572" w14:textId="77777777">
      <w:pPr>
        <w:keepNext/>
        <w:keepLines/>
        <w:spacing w:before="480" w:after="240"/>
        <w:ind w:firstLine="560" w:firstLineChars="200"/>
      </w:pPr>
      <w:r>
        <w:rPr>
          <w:rFonts w:eastAsia="Times New Roman"/>
          <w:i/>
          <w:sz w:val="28"/>
        </w:rPr>
        <w:t>Devenue résolution du Sénat le 13 mai 2026.</w:t>
      </w:r>
    </w:p>
    <w:p w:rsidR="001C7A04" w:rsidRDefault="001C7A04" w14:paraId="263DE573" w14:textId="77777777">
      <w:pPr>
        <w:keepNext/>
        <w:keepLines/>
        <w:spacing w:before="360"/>
        <w:jc w:val="right"/>
      </w:pPr>
      <w:r>
        <w:rPr>
          <w:rFonts w:eastAsia="Times New Roman"/>
          <w:i/>
          <w:sz w:val="28"/>
        </w:rPr>
        <w:t>Le Président,</w:t>
      </w:r>
    </w:p>
    <w:p w:rsidR="001C7A04" w:rsidRDefault="001C7A04" w14:paraId="263DE574" w14:textId="77777777">
      <w:pPr>
        <w:keepLines/>
        <w:spacing w:before="360"/>
        <w:jc w:val="right"/>
      </w:pPr>
      <w:r>
        <w:rPr>
          <w:rFonts w:eastAsia="Times New Roman"/>
          <w:i/>
          <w:sz w:val="28"/>
        </w:rPr>
        <w:t xml:space="preserve">Signé : </w:t>
      </w:r>
      <w:r>
        <w:rPr>
          <w:rFonts w:eastAsia="Times New Roman"/>
          <w:sz w:val="28"/>
        </w:rPr>
        <w:t>Gérard LARCHER</w:t>
      </w:r>
    </w:p>
    <w:sectPr w:rsidR="006F659F" w:rsidSect="00370A5F">
      <w:headerReference w:type="even" r:id="Rd812d3930a0a4b1a"/>
      <w:headerReference w:type="default" r:id="Rad6e1fd0198740bb"/>
      <w:footerReference w:type="even" r:id="Ra8ebc23d8b864aa5"/>
      <w:footerReference w:type="default" r:id="R4001c772a7f94503"/>
      <w:headerReference w:type="first" r:id="R03f96922804d49eb"/>
      <w:footerReference w:type="first" r:id="Rb63c97aa7f2a4d49"/>
      <w:pgSz w:w="11900" w:h="16840"/>
      <w:pgMar w:top="1587" w:right="1700" w:bottom="1700" w:left="1700"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Numero">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TIMES (WN)">
    <w:altName w:val="Times New Roman"/>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9358</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EN‌/FR</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9358</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EN‌/FR</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63DE57D" w14:textId="777777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9358</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EN‌/FR</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9358</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EN‌/FR</w:t>
          </w:r>
        </w:p>
      </w:tc>
    </w:tr>
    <w:bookmarkEnd w:id="4"/>
  </w:tbl>
  <w:p>
    <w:pPr>
      <w:pStyle w:val="FooterCouncil"/>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7A04" w:rsidRDefault="001C7A04" w14:paraId="263DE59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7A04" w:rsidRDefault="001C7A04" w14:paraId="263DE59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7A04" w:rsidRDefault="001C7A04" w14:paraId="263DE59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7A04" w:rsidRDefault="001C7A04" w14:paraId="263DE5A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7A04" w:rsidRDefault="001C7A04" w14:paraId="263DE5A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7A04" w:rsidRDefault="001C7A04" w14:paraId="263DE5A4"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7A04" w:rsidRDefault="001C7A04" w14:paraId="263DE577" w14:textId="77777777">
      <w:pPr>
        <w:spacing w:before="0" w:after="0"/>
      </w:pPr>
      <w:r>
        <w:separator/>
      </w:r>
    </w:p>
  </w:footnote>
  <w:footnote w:type="continuationSeparator" w:id="0">
    <w:p w:rsidR="001C7A04" w:rsidRDefault="001C7A04" w14:paraId="263DE578" w14:textId="77777777">
      <w:pPr>
        <w:spacing w:before="0" w:after="0"/>
      </w:pPr>
      <w:r>
        <w:continuationSeparator/>
      </w:r>
    </w:p>
  </w:footnote>
  <w:footnote w:id="2">
    <w:p w:rsidRPr="006F659F" w:rsidR="001C7A04" w:rsidP="001C7A04" w:rsidRDefault="001C7A04" w14:paraId="263DE5A5" w14:textId="42B2E42C">
      <w:pPr>
        <w:pStyle w:val="FootnoteText"/>
        <w:ind w:left="567" w:hanging="567"/>
        <w:jc w:val="left"/>
        <w:rPr>
          <w:lang w:val="en-GB"/>
        </w:rPr>
      </w:pPr>
      <w:r>
        <w:rPr>
          <w:rStyle w:val="FootnoteReference"/>
        </w:rPr>
        <w:footnoteRef/>
      </w:r>
      <w:r w:rsidRPr="006F659F">
        <w:rPr>
          <w:lang w:val="en-GB"/>
        </w:rPr>
        <w:t xml:space="preserve"> </w:t>
      </w:r>
      <w:r>
        <w:rPr>
          <w:lang w:val="en-GB"/>
        </w:rPr>
        <w:tab/>
      </w:r>
      <w:r w:rsidRPr="006F659F">
        <w:rPr>
          <w:sz w:val="20"/>
          <w:szCs w:val="20"/>
          <w:lang w:val="en-GB"/>
        </w:rPr>
        <w:t xml:space="preserve">The translation(s) of the opinion may be available on the Interparliamentary EU Information Exchange website </w:t>
      </w:r>
      <w:r>
        <w:rPr>
          <w:sz w:val="20"/>
          <w:szCs w:val="20"/>
          <w:lang w:val="en-GB"/>
        </w:rPr>
        <w:t xml:space="preserve">  </w:t>
      </w:r>
      <w:r w:rsidRPr="006F659F">
        <w:rPr>
          <w:sz w:val="20"/>
          <w:szCs w:val="20"/>
          <w:lang w:val="en-GB"/>
        </w:rPr>
        <w:t xml:space="preserve">(IPEX) at the following address: </w:t>
      </w:r>
      <w:hyperlink w:history="1" r:id="rId1">
        <w:r w:rsidRPr="00F44AB1">
          <w:rPr>
            <w:rStyle w:val="Hyperlink"/>
            <w:sz w:val="20"/>
            <w:szCs w:val="20"/>
            <w:lang w:val="en-GB"/>
          </w:rPr>
          <w:t>https://secure.ipex.eu/IPEXL-WEB/document/COM-2026-0011</w:t>
        </w:r>
      </w:hyperlink>
      <w:r>
        <w:rPr>
          <w:sz w:val="20"/>
          <w:szCs w:val="20"/>
          <w:lang w:val="en-GB"/>
        </w:rPr>
        <w:t xml:space="preserve"> ; </w:t>
      </w:r>
      <w:hyperlink w:history="1" r:id="rId2">
        <w:r w:rsidRPr="001501CE">
          <w:rPr>
            <w:rStyle w:val="Hyperlink"/>
            <w:sz w:val="20"/>
            <w:szCs w:val="20"/>
            <w:lang w:val="en-GB"/>
          </w:rPr>
          <w:t>https://secure.ipex.eu/IPEXL-WEB/document/COM-2026-0013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63DE57B" w14:textId="7777777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7A04" w:rsidRDefault="001C7A04" w14:paraId="263DE59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7A04" w:rsidRDefault="001C7A04" w14:paraId="263DE59A"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7A04" w:rsidRDefault="001C7A04" w14:paraId="263DE59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7A04" w:rsidRDefault="001C7A04" w14:paraId="263DE59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7A04" w:rsidP="00C0594C" w:rsidRDefault="001C7A04" w14:paraId="263DE5A0" w14:textId="77777777">
    <w:pPr>
      <w:jc w:val="center"/>
    </w:pPr>
    <w:r>
      <w:rPr>
        <w:rFonts w:eastAsia="Times New Roman"/>
        <w:sz w:val="22"/>
      </w:rPr>
      <w:t>– </w:t>
    </w:r>
    <w:r>
      <w:rPr>
        <w:rFonts w:eastAsia="Times New Roman"/>
        <w:sz w:val="22"/>
      </w:rPr>
      <w:fldChar w:fldCharType="begin"/>
    </w:r>
    <w:r>
      <w:rPr>
        <w:rFonts w:eastAsia="Times New Roman"/>
        <w:sz w:val="22"/>
      </w:rPr>
      <w:instrText>PAGE \* MERGEFORMAT</w:instrText>
    </w:r>
    <w:r>
      <w:rPr>
        <w:rFonts w:eastAsia="Times New Roman"/>
        <w:sz w:val="22"/>
      </w:rPr>
      <w:fldChar w:fldCharType="separate"/>
    </w:r>
    <w:r>
      <w:rPr>
        <w:rFonts w:eastAsia="Times New Roman"/>
        <w:noProof/>
        <w:sz w:val="22"/>
      </w:rPr>
      <w:t>2</w:t>
    </w:r>
    <w:r>
      <w:rPr>
        <w:rFonts w:eastAsia="Times New Roman"/>
        <w:sz w:val="22"/>
      </w:rPr>
      <w:fldChar w:fldCharType="end"/>
    </w:r>
    <w:r>
      <w:rPr>
        <w:rFonts w:eastAsia="Times New Roman"/>
        <w:sz w:val="22"/>
      </w:rPr>
      <w:t>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7A04" w:rsidP="00C0594C" w:rsidRDefault="001C7A04" w14:paraId="263DE5A3" w14:textId="7777777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4.2&quot; technicalblockguid=&quot;5568692986073102431&quot;&gt;&#13;&#10;  &lt;metadata key=&quot;md_DocumentLanguages&quot;&gt;&#13;&#10;    &lt;basicdatatypelist&gt;&#13;&#10;      &lt;language key=&quot;EN&quot; text=&quot;EN&quot; /&gt;&#13;&#10;      &lt;language key=&quot;FR&quot; text=&quot;FR&quot; /&gt;&#13;&#10;    &lt;/basicdatatypelist&gt;&#13;&#10;  &lt;/metadata&gt;&#13;&#10;  &lt;metadata key=&quot;md_OriginalLanguages&quot;&gt;&#13;&#10;    &lt;basicdatatypelist&gt;&#13;&#10;      &lt;language key=&quot;EN&quot; text=&quot;EN&quot; /&gt;&#13;&#10;      &lt;language key=&quot;FR&quot; text=&quot;FR&quot; /&gt;&#13;&#10;    &lt;/basicdatatypelist&gt;&#13;&#10;  &lt;/metadata&gt;&#13;&#10;  &lt;metadata key=&quot;md_UniqueHeading&quot;&gt;&#13;&#10;    &lt;basicdatatype&gt;&#13;&#10;      &lt;heading key=&quot;uh_64&quot; text=&quot;COVER NOTE&quot; /&gt;&#13;&#10;    &lt;/basicdatatype&gt;&#13;&#10;  &lt;/metadata&gt;&#13;&#10;  &lt;metadata key=&quot;md_HeadingText&quot;&gt;&#13;&#10;    &lt;headingtext text=&quot;COVER NOTE&quot;&gt;&#13;&#10;      &lt;formattedtext&gt;&#13;&#10;        &lt;xaml text=&quot;COVER NOTE&quot;&gt;&amp;lt;FlowDocument xmlns=&quot;http://schemas.microsoft.com/winfx/2006/xaml/presentation&quot;&amp;gt;&amp;lt;Paragraph&amp;gt;COVER NOTE&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5-19&lt;/text&gt;&#13;&#10;  &lt;/metadata&gt;&#13;&#10;  &lt;metadata key=&quot;md_Prefix&quot;&gt;&#13;&#10;    &lt;text&gt;&lt;/text&gt;&#13;&#10;  &lt;/metadata&gt;&#13;&#10;  &lt;metadata key=&quot;md_DocumentNumber&quot;&gt;&#13;&#10;    &lt;text&gt;9358&lt;/text&gt;&#13;&#10;  &lt;/metadata&gt;&#13;&#10;  &lt;metadata key=&quot;md_YearDocumentNumber&quot;&gt;&#13;&#10;    &lt;text&gt;2026&lt;/text&gt;&#13;&#10;  &lt;/metadata&gt;&#13;&#10;  &lt;metadata key=&quot;md_Suffixes&quot;&gt;&#13;&#10;    &lt;text&gt;&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1&quot; text=&quot;PUBLIC&quot; /&gt;&#13;&#10;    &lt;/basicdatatype&gt;&#13;&#10;  &lt;/metadata&gt;&#13;&#10;  &lt;metadata key=&quot;md_SubjectCodes&quot;&gt;&#13;&#10;    &lt;textlist&gt;&#13;&#10;      &lt;text&gt;CYBER 228&lt;/text&gt;&#13;&#10;      &lt;text&gt;JAI 600&lt;/text&gt;&#13;&#10;      &lt;text&gt;DATAPROTECT 160&lt;/text&gt;&#13;&#10;      &lt;text&gt;TELECOM 236&lt;/text&gt;&#13;&#10;      &lt;text&gt;MI 484&lt;/text&gt;&#13;&#10;      &lt;text&gt;IND 338&lt;/text&gt;&#13;&#10;      &lt;text&gt;CADREFIN 216&lt;/text&gt;&#13;&#10;      &lt;text&gt;FIN 694&lt;/text&gt;&#13;&#10;      &lt;text&gt;BUDGET 18&lt;/text&gt;&#13;&#10;      &lt;text&gt;CSC 308&lt;/text&gt;&#13;&#10;      &lt;text&gt;CODEC 928&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typeofhead_06&quot; text=&quot;Other&quot; /&gt;&#13;&#10;    &lt;/basicdatatype&gt;&#13;&#10;  &lt;/metadata&gt;&#13;&#10;  &lt;metadata key=&quot;md_ReplyName&quot; /&gt;&#13;&#10;  &lt;metadata key=&quot;md_EPQuestionsData&quot; /&gt;&#13;&#10;  &lt;metadata key=&quot;md_Deadline&quot; /&gt;&#13;&#10;  &lt;metadata key=&quot;md_InterinstitutionalFiles&quot;&gt;&#13;&#10;    &lt;textlist&gt;&#13;&#10;      &lt;text&gt;2026/0011 (COD)&lt;/text&gt;&#13;&#10;      &lt;text&gt;2026/0012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French Senate&quot;&gt;&amp;lt;FlowDocument xmlns=&quot;http://schemas.microsoft.com/winfx/2006/xaml/presentation&quot;&amp;gt;&amp;lt;Paragraph&amp;gt;French Senate&amp;lt;/Paragraph&amp;gt;&amp;lt;/FlowDocument&amp;gt;&lt;/xaml&gt;&#13;&#10;    &lt;/basicdatatype&gt;&#13;&#10;  &lt;/metadata&gt;&#13;&#10;  &lt;metadata key=&quot;md_Recipient&quot;&gt;&#13;&#10;    &lt;basicdatatype&gt;&#13;&#10;      &lt;xaml text=&quot;The President of the Council of the European Union&quot;&gt;&amp;lt;FlowDocument xmlns=&quot;http://schemas.microsoft.com/winfx/2006/xaml/presentation&quot;&amp;gt;&amp;lt;Paragraph&amp;gt;The President of the Council of the European Union&amp;lt;/Paragraph&amp;gt;&amp;lt;/FlowDocument&amp;gt;&lt;/xaml&gt;&#13;&#10;    &lt;/basicdatatype&gt;&#13;&#10;  &lt;/metadata&gt;&#13;&#10;  &lt;metadata key=&quot;md_DateOfReceipt&quot;&gt;&#13;&#10;    &lt;text&gt;2026-05-13&lt;/text&gt;&#13;&#10;  &lt;/metadata&gt;&#13;&#10;  &lt;metadata key=&quot;md_FreeDate&quot;&gt;&#13;&#10;    &lt;textlist /&gt;&#13;&#10;  &lt;/metadata&gt;&#13;&#10;  &lt;metadata key=&quot;md_PrecedingDocuments&quot;&gt;&#13;&#10;    &lt;textlist /&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roposal for a Regulation of the European Parliament and of the Council on the European Union Agency for Cybersecurity (ENISA), the European cybersecurity certification framework, and ICT supply chain security and repealing Regulation (EU) 2019/881 (The Cybersecurity Act 2) -[5611/26 - COM(2026) 11 final] Proposal for a Directive of the European Parliament and of the Council amending Directive (EU) 2022/2555 as regards simplification measures and alignment with the [Proposal for the Cybersecurity Act 2] - [5627/26 - COM(2026) 13 final] - Reasoned opinion on the application of the Principles of Subsidiarity and Proportionality&quot;&gt;&amp;lt;FlowDocument xmlns=&quot;http://schemas.microsoft.com/winfx/2006/xaml/presentation&quot;&amp;gt;&amp;lt;Paragraph&amp;gt;Proposal for a Regulation of the European Parliament and of the Council on the European Union Agency for Cybersecurity (ENISA), the European cybersecurity certification framework, and ICT supply chain security and repealing Regulation (EU) 2019/881 (The Cybersecurity Act 2) -[5611/26 - COM(2026) 11 final]&amp;lt;/Paragraph&amp;gt;&amp;lt;Paragraph&amp;gt;Proposal for a Directive of the European Parliament and of the Council amending Directive (EU) 2022/2555 as regards simplification measures and alignment with the [Proposal for the Cybersecurity Act 2] - [5627/26 - COM(2026) 13 final]&amp;lt;/Paragraph&amp;gt;&amp;lt;Paragraph&amp;gt;- Reasoned opinion on the application of the Principles of Subsidiarity and Proportionality&amp;lt;/Paragraph&amp;gt;&amp;lt;/FlowDocument&amp;gt;&lt;/xaml&gt;&#13;&#10;  &lt;/metadata&gt;&#13;&#10;  &lt;metadata key=&quot;md_SubjectFootnote&quot;&gt;&#13;&#10;    &lt;text&gt;&lt;/text&gt;&#13;&#10;  &lt;/metadata&gt;&#13;&#10;  &lt;metadata key=&quot;md_DG&quot;&gt;&#13;&#10;    &lt;text&gt;JAI.2&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gt;&#13;&#10;    &lt;basicdatatype&gt;&#13;&#10;      &lt;rectifprocedure key=&quot;&quot; /&gt;&#13;&#10;    &lt;/basicdatatype&gt;&#13;&#10;  &lt;/metadata&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false&lt;/text&gt;&#13;&#10;  &lt;/metadata&gt;&#13;&#10;  &lt;metadata key=&quot;md_SourceDocLanguage&quot; /&gt;&#13;&#10;  &lt;metadata key=&quot;md_SourceDocType&quot; /&gt;&#13;&#10;  &lt;metadata key=&quot;md_SourceDocTitle&quot; /&gt;&#13;&#10;  &lt;metadata key=&quot;md_SourceDocIsCECDoc&quot;&gt;&#13;&#10;    &lt;text&gt;false&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CoverPageOnWordDoc" w:val="true"/>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14A5C"/>
    <w:pPr>
      <w:overflowPunct w:val="0"/>
      <w:autoSpaceDE w:val="0"/>
      <w:autoSpaceDN w:val="0"/>
      <w:adjustRightInd w:val="0"/>
      <w:spacing w:before="120" w:after="120" w:line="240" w:lineRule="auto"/>
      <w:jc w:val="both"/>
      <w:textAlignment w:val="baseline"/>
    </w:pPr>
    <w:rPr>
      <w:rFonts w:ascii="Times New Roman" w:hAnsi="Times New Roman" w:cs="Times New Roman"/>
      <w:bCs/>
      <w:sz w:val="24"/>
      <w:szCs w:val="24"/>
    </w:rPr>
  </w:style>
  <w:style w:type="paragraph" w:styleId="Heading1">
    <w:name w:val="heading 1"/>
    <w:basedOn w:val="Normal"/>
    <w:next w:val="Normal"/>
    <w:link w:val="Heading1Char"/>
    <w:uiPriority w:val="9"/>
    <w:qFormat/>
    <w:rsid w:val="00A86151"/>
    <w:pPr>
      <w:keepNext/>
      <w:keepLines/>
      <w:spacing w:before="360" w:after="80" w:line="259" w:lineRule="auto"/>
      <w:outlineLvl w:val="0"/>
    </w:pPr>
    <w:rPr>
      <w:rFonts w:asciiTheme="majorHAnsi" w:hAnsiTheme="majorHAnsi" w:eastAsiaTheme="majorEastAsia" w:cstheme="majorBidi"/>
      <w:color w:val="365F91" w:themeColor="accent1" w:themeShade="BF"/>
      <w:kern w:val="2"/>
      <w:sz w:val="40"/>
      <w:szCs w:val="40"/>
    </w:rPr>
  </w:style>
  <w:style w:type="paragraph" w:styleId="Heading2">
    <w:name w:val="heading 2"/>
    <w:basedOn w:val="Normal"/>
    <w:next w:val="Normal"/>
    <w:link w:val="Heading2Char"/>
    <w:uiPriority w:val="9"/>
    <w:semiHidden/>
    <w:unhideWhenUsed/>
    <w:qFormat/>
    <w:rsid w:val="00A86151"/>
    <w:pPr>
      <w:keepNext/>
      <w:keepLines/>
      <w:spacing w:before="160" w:after="80" w:line="259" w:lineRule="auto"/>
      <w:outlineLvl w:val="1"/>
    </w:pPr>
    <w:rPr>
      <w:rFonts w:asciiTheme="majorHAnsi" w:hAnsiTheme="majorHAnsi" w:eastAsiaTheme="majorEastAsia" w:cstheme="majorBidi"/>
      <w:color w:val="365F91" w:themeColor="accent1" w:themeShade="BF"/>
      <w:kern w:val="2"/>
      <w:sz w:val="32"/>
      <w:szCs w:val="32"/>
    </w:rPr>
  </w:style>
  <w:style w:type="paragraph" w:styleId="Heading3">
    <w:name w:val="heading 3"/>
    <w:basedOn w:val="Normal"/>
    <w:next w:val="Normal"/>
    <w:link w:val="Heading3Char"/>
    <w:uiPriority w:val="9"/>
    <w:semiHidden/>
    <w:unhideWhenUsed/>
    <w:qFormat/>
    <w:rsid w:val="00A86151"/>
    <w:pPr>
      <w:keepNext/>
      <w:keepLines/>
      <w:spacing w:before="160" w:after="80" w:line="259" w:lineRule="auto"/>
      <w:outlineLvl w:val="2"/>
    </w:pPr>
    <w:rPr>
      <w:rFonts w:asciiTheme="minorHAnsi" w:hAnsiTheme="minorHAnsi" w:eastAsiaTheme="majorEastAsia" w:cstheme="majorBidi"/>
      <w:color w:val="365F91" w:themeColor="accent1" w:themeShade="BF"/>
      <w:kern w:val="2"/>
      <w:sz w:val="28"/>
      <w:szCs w:val="28"/>
    </w:rPr>
  </w:style>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hAnsiTheme="minorHAnsi" w:eastAsiaTheme="majorEastAsia" w:cstheme="majorBidi"/>
      <w:i/>
      <w:iCs/>
      <w:color w:val="365F91" w:themeColor="accent1" w:themeShade="BF"/>
      <w:kern w:val="2"/>
      <w:sz w:val="22"/>
      <w:szCs w:val="22"/>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hAnsiTheme="minorHAnsi" w:eastAsiaTheme="majorEastAsia" w:cstheme="majorBidi"/>
      <w:color w:val="365F91" w:themeColor="accent1" w:themeShade="BF"/>
      <w:kern w:val="2"/>
      <w:sz w:val="22"/>
      <w:szCs w:val="22"/>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hAnsiTheme="minorHAnsi" w:eastAsiaTheme="majorEastAsia" w:cstheme="majorBidi"/>
      <w:i/>
      <w:iCs/>
      <w:color w:val="595959" w:themeColor="text1" w:themeTint="A6"/>
      <w:kern w:val="2"/>
      <w:sz w:val="22"/>
      <w:szCs w:val="22"/>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hAnsiTheme="minorHAnsi" w:eastAsiaTheme="majorEastAsia" w:cstheme="majorBidi"/>
      <w:color w:val="595959" w:themeColor="text1" w:themeTint="A6"/>
      <w:kern w:val="2"/>
      <w:sz w:val="22"/>
      <w:szCs w:val="22"/>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hAnsiTheme="minorHAnsi" w:eastAsiaTheme="majorEastAsia" w:cstheme="majorBidi"/>
      <w:i/>
      <w:iCs/>
      <w:color w:val="272727" w:themeColor="text1" w:themeTint="D8"/>
      <w:kern w:val="2"/>
      <w:sz w:val="22"/>
      <w:szCs w:val="22"/>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hAnsiTheme="minorHAnsi" w:eastAsiaTheme="majorEastAsia" w:cstheme="majorBidi"/>
      <w:color w:val="272727" w:themeColor="text1" w:themeTint="D8"/>
      <w:kern w:val="2"/>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86151"/>
    <w:rPr>
      <w:rFonts w:asciiTheme="majorHAnsi" w:hAnsiTheme="majorHAnsi" w:eastAsiaTheme="majorEastAsia" w:cstheme="majorBidi"/>
      <w:color w:val="365F91" w:themeColor="accent1" w:themeShade="BF"/>
      <w:sz w:val="40"/>
      <w:szCs w:val="40"/>
    </w:rPr>
  </w:style>
  <w:style w:type="character" w:styleId="Heading2Char" w:customStyle="1">
    <w:name w:val="Heading 2 Char"/>
    <w:basedOn w:val="DefaultParagraphFont"/>
    <w:link w:val="Heading2"/>
    <w:uiPriority w:val="9"/>
    <w:semiHidden/>
    <w:rsid w:val="00A86151"/>
    <w:rPr>
      <w:rFonts w:asciiTheme="majorHAnsi" w:hAnsiTheme="majorHAnsi" w:eastAsiaTheme="majorEastAsia" w:cstheme="majorBidi"/>
      <w:color w:val="365F91" w:themeColor="accent1" w:themeShade="BF"/>
      <w:sz w:val="32"/>
      <w:szCs w:val="32"/>
    </w:rPr>
  </w:style>
  <w:style w:type="character" w:styleId="Heading3Char" w:customStyle="1">
    <w:name w:val="Heading 3 Char"/>
    <w:basedOn w:val="DefaultParagraphFont"/>
    <w:link w:val="Heading3"/>
    <w:uiPriority w:val="9"/>
    <w:semiHidden/>
    <w:rsid w:val="00A86151"/>
    <w:rPr>
      <w:rFonts w:eastAsiaTheme="majorEastAsia" w:cstheme="majorBidi"/>
      <w:color w:val="365F91" w:themeColor="accent1" w:themeShade="BF"/>
      <w:sz w:val="28"/>
      <w:szCs w:val="28"/>
    </w:rPr>
  </w:style>
  <w:style w:type="character" w:styleId="Heading4Char" w:customStyle="1">
    <w:name w:val="Heading 4 Char"/>
    <w:basedOn w:val="DefaultParagraphFont"/>
    <w:link w:val="Heading4"/>
    <w:uiPriority w:val="9"/>
    <w:semiHidden/>
    <w:rsid w:val="00A86151"/>
    <w:rPr>
      <w:rFonts w:eastAsiaTheme="majorEastAsia" w:cstheme="majorBidi"/>
      <w:i/>
      <w:iCs/>
      <w:color w:val="365F91" w:themeColor="accent1" w:themeShade="BF"/>
    </w:rPr>
  </w:style>
  <w:style w:type="character" w:styleId="Heading5Char" w:customStyle="1">
    <w:name w:val="Heading 5 Char"/>
    <w:basedOn w:val="DefaultParagraphFont"/>
    <w:link w:val="Heading5"/>
    <w:uiPriority w:val="9"/>
    <w:semiHidden/>
    <w:rsid w:val="00A86151"/>
    <w:rPr>
      <w:rFonts w:eastAsiaTheme="majorEastAsia" w:cstheme="majorBidi"/>
      <w:color w:val="365F91" w:themeColor="accent1" w:themeShade="BF"/>
    </w:rPr>
  </w:style>
  <w:style w:type="character" w:styleId="Heading6Char" w:customStyle="1">
    <w:name w:val="Heading 6 Char"/>
    <w:basedOn w:val="DefaultParagraphFont"/>
    <w:link w:val="Heading6"/>
    <w:uiPriority w:val="9"/>
    <w:semiHidden/>
    <w:rsid w:val="00A8615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8615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8615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8615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hAnsiTheme="minorHAnsi" w:eastAsiaTheme="majorEastAsia" w:cstheme="majorBidi"/>
      <w:color w:val="595959" w:themeColor="text1" w:themeTint="A6"/>
      <w:spacing w:val="15"/>
      <w:kern w:val="2"/>
      <w:sz w:val="28"/>
      <w:szCs w:val="28"/>
    </w:rPr>
  </w:style>
  <w:style w:type="character" w:styleId="SubtitleChar" w:customStyle="1">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cstheme="minorBidi"/>
      <w:i/>
      <w:iCs/>
      <w:color w:val="404040" w:themeColor="text1" w:themeTint="BF"/>
      <w:kern w:val="2"/>
      <w:sz w:val="22"/>
      <w:szCs w:val="22"/>
    </w:rPr>
  </w:style>
  <w:style w:type="character" w:styleId="QuoteChar" w:customStyle="1">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spacing w:after="160" w:line="259" w:lineRule="auto"/>
      <w:ind w:left="720"/>
      <w:contextualSpacing/>
    </w:pPr>
    <w:rPr>
      <w:rFonts w:asciiTheme="minorHAnsi" w:hAnsiTheme="minorHAnsi" w:cstheme="minorBidi"/>
      <w:kern w:val="2"/>
      <w:sz w:val="22"/>
      <w:szCs w:val="22"/>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color="365F91" w:themeColor="accent1" w:themeShade="BF" w:sz="4" w:space="10"/>
        <w:bottom w:val="single" w:color="365F91" w:themeColor="accent1" w:themeShade="BF" w:sz="4" w:space="10"/>
      </w:pBdr>
      <w:spacing w:before="360" w:after="360" w:line="259" w:lineRule="auto"/>
      <w:ind w:left="864" w:right="864"/>
      <w:jc w:val="center"/>
    </w:pPr>
    <w:rPr>
      <w:rFonts w:asciiTheme="minorHAnsi" w:hAnsiTheme="minorHAnsi" w:cstheme="minorBidi"/>
      <w:i/>
      <w:iCs/>
      <w:color w:val="365F91" w:themeColor="accent1" w:themeShade="BF"/>
      <w:kern w:val="2"/>
      <w:sz w:val="22"/>
      <w:szCs w:val="22"/>
    </w:rPr>
  </w:style>
  <w:style w:type="character" w:styleId="IntenseQuoteChar" w:customStyle="1">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styleId="Header">
    <w:name w:val="header"/>
    <w:basedOn w:val="Normal"/>
    <w:link w:val="HeaderChar"/>
    <w:rsid w:val="00894139"/>
    <w:pPr>
      <w:tabs>
        <w:tab w:val="center" w:pos="4820"/>
        <w:tab w:val="right" w:pos="7371"/>
        <w:tab w:val="right" w:pos="9639"/>
      </w:tabs>
    </w:pPr>
  </w:style>
  <w:style w:type="character" w:styleId="HeaderChar" w:customStyle="1">
    <w:name w:val="Header Char"/>
    <w:link w:val="Header"/>
    <w:rsid w:val="00A43C50"/>
    <w:rPr>
      <w:rFonts w:ascii="Arial" w:hAnsi="Arial" w:eastAsia="Times New Roman" w:cs="Arial"/>
      <w:kern w:val="0"/>
      <w:sz w:val="23"/>
      <w:szCs w:val="20"/>
      <w:lang w:val="en-GB" w:eastAsia="fr-BE"/>
    </w:rPr>
  </w:style>
  <w:style w:type="paragraph" w:styleId="TechnicalBlockBase" w:customStyle="1">
    <w:name w:val="TechnicalBlockBase"/>
    <w:link w:val="TechnicalBlockBaseChar"/>
    <w:rsid w:val="00894139"/>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val="en-GB" w:eastAsia="fr-BE"/>
    </w:rPr>
  </w:style>
  <w:style w:type="character" w:styleId="TechnicalBlockBaseChar" w:customStyle="1">
    <w:name w:val="TechnicalBlockBase Char"/>
    <w:basedOn w:val="EntInstitChar"/>
    <w:link w:val="TechnicalBlockBase"/>
    <w:rsid w:val="00894139"/>
    <w:rPr>
      <w:rFonts w:ascii="Arial New Roman" w:hAnsi="Arial New Roman" w:eastAsia="Times New Roman" w:cs="Arial"/>
      <w:b/>
      <w:i/>
      <w:dstrike/>
      <w:color w:val="606060"/>
      <w:w w:val="98"/>
      <w:kern w:val="0"/>
      <w:sz w:val="10"/>
      <w:szCs w:val="20"/>
      <w:u w:val="words" w:color="606060"/>
      <w:lang w:val="en-GB" w:eastAsia="fr-BE"/>
    </w:rPr>
  </w:style>
  <w:style w:type="paragraph" w:styleId="TBEntRefer" w:customStyle="1">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styleId="EntReferChar" w:customStyle="1">
    <w:name w:val="EntRefer Char"/>
    <w:basedOn w:val="DefaultParagraphFont"/>
    <w:link w:val="TBEntRefer"/>
    <w:rsid w:val="00A43C50"/>
    <w:rPr>
      <w:rFonts w:ascii="Arial" w:hAnsi="Arial" w:eastAsia="Times New Roman" w:cs="Arial"/>
      <w:b/>
      <w:kern w:val="0"/>
      <w:sz w:val="23"/>
      <w:szCs w:val="20"/>
      <w:u w:color="606060"/>
      <w:lang w:val="en-GB" w:eastAsia="fr-BE"/>
    </w:rPr>
  </w:style>
  <w:style w:type="paragraph" w:styleId="TBDistrbMarkers" w:customStyle="1">
    <w:name w:val="TBDistrbMarkers"/>
    <w:basedOn w:val="TBEntRefer"/>
    <w:qFormat/>
    <w:rsid w:val="00894139"/>
    <w:pPr>
      <w:tabs>
        <w:tab w:val="left" w:pos="2262"/>
      </w:tabs>
    </w:pPr>
    <w:rPr>
      <w:i/>
      <w:iCs/>
      <w:szCs w:val="23"/>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SousEmbargo" w:customStyle="1">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styleId="Footer">
    <w:name w:val="footer"/>
    <w:basedOn w:val="Normal"/>
    <w:link w:val="FooterChar"/>
    <w:uiPriority w:val="99"/>
    <w:unhideWhenUsed/>
    <w:rsid w:val="00A43C50"/>
    <w:pPr>
      <w:tabs>
        <w:tab w:val="center" w:pos="4513"/>
        <w:tab w:val="right" w:pos="9026"/>
      </w:tabs>
    </w:pPr>
    <w:rPr>
      <w:rFonts w:asciiTheme="minorHAnsi" w:hAnsiTheme="minorHAnsi" w:cstheme="minorBidi"/>
      <w:kern w:val="2"/>
      <w:sz w:val="22"/>
      <w:szCs w:val="22"/>
    </w:rPr>
  </w:style>
  <w:style w:type="character" w:styleId="FooterChar" w:customStyle="1">
    <w:name w:val="Footer Char"/>
    <w:basedOn w:val="DefaultParagraphFont"/>
    <w:link w:val="Footer"/>
    <w:uiPriority w:val="99"/>
    <w:rsid w:val="00A43C50"/>
  </w:style>
  <w:style w:type="paragraph" w:styleId="TBEntInstit" w:customStyle="1">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styleId="TBEntReferNew" w:customStyle="1">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styleId="EntInstitChar" w:customStyle="1">
    <w:name w:val="EntInstit Char"/>
    <w:basedOn w:val="DefaultParagraphFont"/>
    <w:link w:val="TBEntInstit"/>
    <w:rsid w:val="00894139"/>
    <w:rPr>
      <w:rFonts w:ascii="Arial" w:hAnsi="Arial" w:eastAsia="Times New Roman" w:cs="Arial"/>
      <w:b/>
      <w:kern w:val="0"/>
      <w:sz w:val="23"/>
      <w:szCs w:val="20"/>
      <w:u w:color="606060"/>
      <w:lang w:val="en-GB" w:eastAsia="fr-BE"/>
    </w:rPr>
  </w:style>
  <w:style w:type="paragraph" w:styleId="TBSubjectTable" w:customStyle="1">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styleId="TBDocumentGroup" w:customStyle="1">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styleId="TBHeadingTable" w:customStyle="1">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styleId="TBSubjectBold" w:customStyle="1">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styleId="TBSubjectText" w:customStyle="1">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character" w:styleId="Marker" w:customStyle="1">
    <w:name w:val="Marker"/>
    <w:basedOn w:val="DefaultParagraphFont"/>
    <w:uiPriority w:val="99"/>
    <w:unhideWhenUsed/>
  </w:style>
  <w:style w:type="paragraph" w:styleId="HeaderCouncil" w:customStyle="1">
    <w:name w:val="Header Council"/>
    <w:basedOn w:val="Normal"/>
    <w:uiPriority w:val="99"/>
    <w:unhideWhenUsed/>
    <w:pPr>
      <w:spacing w:before="0" w:after="0"/>
    </w:pPr>
    <w:rPr>
      <w:sz w:val="2"/>
      <w:rFonts w:ascii="Times New Roman" w:hAnsi="Times New Roman"/>
    </w:rPr>
  </w:style>
  <w:style w:type="paragraph" w:styleId="HeaderCouncilLarge" w:customStyle="1">
    <w:name w:val="Header Council Large"/>
    <w:basedOn w:val="Normal"/>
    <w:uiPriority w:val="99"/>
    <w:unhideWhenUsed/>
    <w:pPr>
      <w:spacing w:before="0" w:after="440"/>
    </w:pPr>
    <w:rPr>
      <w:sz w:val="2"/>
      <w:rFonts w:ascii="Times New Roman" w:hAnsi="Times New Roman"/>
    </w:rPr>
  </w:style>
  <w:style w:type="paragraph" w:styleId="FooterCouncil" w:customStyle="1">
    <w:name w:val="Footer Council"/>
    <w:basedOn w:val="Normal"/>
    <w:uiPriority w:val="99"/>
    <w:unhideWhenUsed/>
    <w:pPr>
      <w:spacing w:before="0" w:after="0"/>
    </w:pPr>
    <w:rPr>
      <w:sz w:val="2"/>
      <w:rFonts w:ascii="Times New Roman" w:hAnsi="Times New Roman"/>
    </w:rPr>
  </w:style>
  <w:style w:type="paragraph" w:styleId="FooterText" w:customStyle="1">
    <w:name w:val="Footer Text"/>
    <w:basedOn w:val="Normal"/>
    <w:uiPriority w:val="99"/>
    <w:unhideWhenUsed/>
    <w:pPr>
      <w:spacing w:before="0" w:after="0" w:line="240"/>
    </w:pPr>
    <w:rPr>
      <w:rFonts w:ascii="Times New Roman" w:hAnsi="Times New Roman"/>
      <w:sz w:val="24"/>
      <w:color w:val="auto"/>
    </w:rPr>
  </w:style>
  <w:style w:type="paragraph" w:styleId="1TomeIntit" w:customStyle="1">
    <w:name w:val="*1 Tome Intit"/>
    <w:basedOn w:val="Normal"/>
    <w:next w:val="Normal"/>
    <w:rsid w:val="0039580D"/>
    <w:pPr>
      <w:keepNext/>
      <w:jc w:val="center"/>
    </w:pPr>
    <w:rPr>
      <w:caps/>
      <w:sz w:val="28"/>
      <w:szCs w:val="36"/>
    </w:rPr>
  </w:style>
  <w:style w:type="paragraph" w:styleId="1TomeIntit0" w:customStyle="1">
    <w:name w:val="&quot;1 Tome Intit"/>
    <w:basedOn w:val="1TomeIntit"/>
    <w:next w:val="Normal"/>
    <w:rsid w:val="0039580D"/>
    <w:rPr>
      <w:i/>
    </w:rPr>
  </w:style>
  <w:style w:type="paragraph" w:styleId="1TomeNum" w:customStyle="1">
    <w:name w:val="*1 Tome Num"/>
    <w:rsid w:val="0039580D"/>
    <w:pPr>
      <w:keepNext/>
      <w:spacing w:before="240" w:after="0" w:line="240" w:lineRule="auto"/>
      <w:jc w:val="center"/>
      <w:outlineLvl w:val="0"/>
    </w:pPr>
    <w:rPr>
      <w:rFonts w:ascii="Times New Roman" w:hAnsi="Times New Roman" w:eastAsia="Times New Roman" w:cs="Times New Roman"/>
      <w:b/>
      <w:bCs/>
      <w:caps/>
      <w:sz w:val="28"/>
      <w:szCs w:val="36"/>
      <w:lang w:eastAsia="fr-FR"/>
    </w:rPr>
  </w:style>
  <w:style w:type="paragraph" w:styleId="1TomeNum0" w:customStyle="1">
    <w:name w:val="&quot;1 Tome Num"/>
    <w:basedOn w:val="1TomeNum"/>
    <w:next w:val="Normal"/>
    <w:rsid w:val="0039580D"/>
    <w:pPr>
      <w:outlineLvl w:val="9"/>
    </w:pPr>
    <w:rPr>
      <w:i/>
    </w:rPr>
  </w:style>
  <w:style w:type="paragraph" w:styleId="2PartieIntit" w:customStyle="1">
    <w:name w:val="*2 Partie Intit"/>
    <w:basedOn w:val="1TomeIntit"/>
    <w:next w:val="Normal"/>
    <w:rsid w:val="0039580D"/>
    <w:rPr>
      <w:b/>
    </w:rPr>
  </w:style>
  <w:style w:type="paragraph" w:styleId="2PartieIntit0" w:customStyle="1">
    <w:name w:val="&quot;2 Partie Intit"/>
    <w:basedOn w:val="2PartieIntit"/>
    <w:next w:val="Normal"/>
    <w:rsid w:val="0039580D"/>
    <w:rPr>
      <w:i/>
    </w:rPr>
  </w:style>
  <w:style w:type="paragraph" w:styleId="2PartieNum" w:customStyle="1">
    <w:name w:val="*2 Partie Num"/>
    <w:basedOn w:val="1TomeNum"/>
    <w:rsid w:val="0039580D"/>
    <w:pPr>
      <w:outlineLvl w:val="1"/>
    </w:pPr>
  </w:style>
  <w:style w:type="paragraph" w:styleId="2PartieNum0" w:customStyle="1">
    <w:name w:val="&quot;2 Partie Num"/>
    <w:basedOn w:val="2PartieNum"/>
    <w:next w:val="Normal"/>
    <w:rsid w:val="0039580D"/>
    <w:pPr>
      <w:outlineLvl w:val="9"/>
    </w:pPr>
  </w:style>
  <w:style w:type="paragraph" w:styleId="3LivreIntit" w:customStyle="1">
    <w:name w:val="*3 Livre Intit"/>
    <w:basedOn w:val="2PartieIntit"/>
    <w:rsid w:val="0039580D"/>
  </w:style>
  <w:style w:type="paragraph" w:styleId="3LivreIntit0" w:customStyle="1">
    <w:name w:val="&quot;3 Livre Intit"/>
    <w:basedOn w:val="3LivreIntit"/>
    <w:next w:val="Normal"/>
    <w:rsid w:val="0039580D"/>
    <w:rPr>
      <w:i/>
    </w:rPr>
  </w:style>
  <w:style w:type="paragraph" w:styleId="LoiTexte" w:customStyle="1">
    <w:name w:val="* Loi Texte"/>
    <w:basedOn w:val="Normal"/>
    <w:rsid w:val="00514A5C"/>
    <w:pPr>
      <w:tabs>
        <w:tab w:val="right" w:leader="dot" w:pos="7371"/>
      </w:tabs>
      <w:spacing w:before="0" w:after="240"/>
      <w:ind w:firstLine="510"/>
    </w:pPr>
    <w:rPr>
      <w:sz w:val="28"/>
    </w:rPr>
  </w:style>
  <w:style w:type="paragraph" w:styleId="3LivreNum" w:customStyle="1">
    <w:name w:val="&quot;3 Livre Num"/>
    <w:basedOn w:val="LoiTexte"/>
    <w:rsid w:val="0039580D"/>
    <w:pPr>
      <w:ind w:firstLine="0"/>
      <w:jc w:val="center"/>
    </w:pPr>
    <w:rPr>
      <w:i/>
      <w:sz w:val="26"/>
      <w:szCs w:val="36"/>
    </w:rPr>
  </w:style>
  <w:style w:type="paragraph" w:styleId="9ArticleNum" w:customStyle="1">
    <w:name w:val="*9 Article Num"/>
    <w:basedOn w:val="LoiTexte"/>
    <w:next w:val="LoiTexte"/>
    <w:rsid w:val="0039580D"/>
    <w:pPr>
      <w:keepNext/>
      <w:spacing w:before="480"/>
      <w:ind w:firstLine="0"/>
      <w:contextualSpacing/>
      <w:jc w:val="center"/>
      <w:outlineLvl w:val="8"/>
    </w:pPr>
    <w:rPr>
      <w:b/>
      <w:bCs w:val="0"/>
    </w:rPr>
  </w:style>
  <w:style w:type="paragraph" w:styleId="4TitreIntit" w:customStyle="1">
    <w:name w:val="*4 Titre Intit"/>
    <w:basedOn w:val="9ArticleNum"/>
    <w:next w:val="LoiTexte"/>
    <w:rsid w:val="0039580D"/>
    <w:pPr>
      <w:spacing w:before="0" w:after="600"/>
      <w:outlineLvl w:val="9"/>
    </w:pPr>
    <w:rPr>
      <w:bCs/>
      <w:caps/>
    </w:rPr>
  </w:style>
  <w:style w:type="paragraph" w:styleId="4TitreIntit0" w:customStyle="1">
    <w:name w:val="&quot;4 Titre Intit"/>
    <w:basedOn w:val="4TitreIntit"/>
    <w:next w:val="Normal"/>
    <w:rsid w:val="00514A5C"/>
    <w:rPr>
      <w:i/>
    </w:rPr>
  </w:style>
  <w:style w:type="paragraph" w:styleId="4TitreNum" w:customStyle="1">
    <w:name w:val="&quot;4 Titre Num"/>
    <w:basedOn w:val="Normal"/>
    <w:next w:val="Normal"/>
    <w:rsid w:val="0039580D"/>
    <w:pPr>
      <w:spacing w:before="240"/>
      <w:jc w:val="center"/>
    </w:pPr>
    <w:rPr>
      <w:i/>
      <w:caps/>
      <w:color w:val="000000"/>
      <w:sz w:val="28"/>
      <w:szCs w:val="26"/>
    </w:rPr>
  </w:style>
  <w:style w:type="paragraph" w:styleId="5ChapitreIntit" w:customStyle="1">
    <w:name w:val="*5 Chapitre Intit"/>
    <w:basedOn w:val="9ArticleNum"/>
    <w:next w:val="LoiTexte"/>
    <w:rsid w:val="0039580D"/>
    <w:pPr>
      <w:spacing w:before="120"/>
      <w:outlineLvl w:val="9"/>
    </w:pPr>
    <w:rPr>
      <w:bCs/>
    </w:rPr>
  </w:style>
  <w:style w:type="paragraph" w:styleId="5ChapitreIntit0" w:customStyle="1">
    <w:name w:val="&quot;5 Chapitre Intit"/>
    <w:basedOn w:val="5ChapitreIntit"/>
    <w:rsid w:val="0039580D"/>
    <w:rPr>
      <w:i/>
    </w:rPr>
  </w:style>
  <w:style w:type="paragraph" w:styleId="5ChapitreNum" w:customStyle="1">
    <w:name w:val="*5 Chapitre Num"/>
    <w:basedOn w:val="9ArticleNum"/>
    <w:next w:val="5ChapitreIntit"/>
    <w:rsid w:val="0039580D"/>
    <w:pPr>
      <w:spacing w:before="120" w:after="120"/>
      <w:outlineLvl w:val="4"/>
    </w:pPr>
    <w:rPr>
      <w:b w:val="0"/>
      <w:smallCaps/>
    </w:rPr>
  </w:style>
  <w:style w:type="paragraph" w:styleId="5ChapitreNum0" w:customStyle="1">
    <w:name w:val="&quot;5 Chapitre Num"/>
    <w:basedOn w:val="5ChapitreNum"/>
    <w:next w:val="Normal"/>
    <w:rsid w:val="0039580D"/>
    <w:pPr>
      <w:outlineLvl w:val="9"/>
    </w:pPr>
    <w:rPr>
      <w:i/>
    </w:rPr>
  </w:style>
  <w:style w:type="paragraph" w:styleId="6SectionIntit" w:customStyle="1">
    <w:name w:val="*6 Section Intit"/>
    <w:basedOn w:val="5ChapitreIntit"/>
    <w:next w:val="LoiTexte"/>
    <w:rsid w:val="0039580D"/>
    <w:pPr>
      <w:keepLines/>
    </w:pPr>
    <w:rPr>
      <w:rFonts w:eastAsia="Times New Roman"/>
      <w:b w:val="0"/>
    </w:rPr>
  </w:style>
  <w:style w:type="paragraph" w:styleId="6SectionIntit0" w:customStyle="1">
    <w:name w:val="&quot;6 Section Intit"/>
    <w:basedOn w:val="6SectionIntit"/>
    <w:next w:val="Normal"/>
    <w:rsid w:val="0039580D"/>
    <w:rPr>
      <w:i/>
    </w:rPr>
  </w:style>
  <w:style w:type="paragraph" w:styleId="6SectionNum" w:customStyle="1">
    <w:name w:val="*6 Section Num"/>
    <w:basedOn w:val="5ChapitreNum"/>
    <w:next w:val="6SectionIntit"/>
    <w:rsid w:val="0039580D"/>
    <w:pPr>
      <w:outlineLvl w:val="5"/>
    </w:pPr>
    <w:rPr>
      <w:smallCaps w:val="0"/>
    </w:rPr>
  </w:style>
  <w:style w:type="paragraph" w:styleId="6SectionNum0" w:customStyle="1">
    <w:name w:val="&quot;6 Section Num"/>
    <w:basedOn w:val="6SectionNum"/>
    <w:next w:val="Normal"/>
    <w:rsid w:val="0039580D"/>
    <w:pPr>
      <w:outlineLvl w:val="9"/>
    </w:pPr>
    <w:rPr>
      <w:i/>
    </w:rPr>
  </w:style>
  <w:style w:type="paragraph" w:styleId="7Sous-sectionIntit" w:customStyle="1">
    <w:name w:val="*7 Sous-section Intit"/>
    <w:basedOn w:val="5ChapitreIntit"/>
    <w:next w:val="LoiTexte"/>
    <w:rsid w:val="0039580D"/>
    <w:rPr>
      <w:b w:val="0"/>
      <w:bCs w:val="0"/>
    </w:rPr>
  </w:style>
  <w:style w:type="paragraph" w:styleId="7Sous-sectionIntit0" w:customStyle="1">
    <w:name w:val="&quot;7 Sous-section Intit"/>
    <w:basedOn w:val="7Sous-sectionIntit"/>
    <w:next w:val="Normal"/>
    <w:rsid w:val="0039580D"/>
    <w:rPr>
      <w:i/>
    </w:rPr>
  </w:style>
  <w:style w:type="paragraph" w:styleId="7Sous-sectionNum" w:customStyle="1">
    <w:name w:val="*7 Sous-section Num"/>
    <w:basedOn w:val="6SectionNum"/>
    <w:next w:val="7Sous-sectionIntit"/>
    <w:rsid w:val="0039580D"/>
    <w:pPr>
      <w:outlineLvl w:val="6"/>
    </w:pPr>
  </w:style>
  <w:style w:type="paragraph" w:styleId="7Sous-sectionNum0" w:customStyle="1">
    <w:name w:val="&quot;7 Sous-section Num"/>
    <w:basedOn w:val="7Sous-sectionNum"/>
    <w:next w:val="Normal"/>
    <w:rsid w:val="0039580D"/>
    <w:pPr>
      <w:outlineLvl w:val="9"/>
    </w:pPr>
    <w:rPr>
      <w:i/>
    </w:rPr>
  </w:style>
  <w:style w:type="paragraph" w:styleId="8ParagrapheIntit" w:customStyle="1">
    <w:name w:val="*8 Paragraphe Intit"/>
    <w:basedOn w:val="7Sous-sectionIntit"/>
    <w:rsid w:val="0039580D"/>
  </w:style>
  <w:style w:type="paragraph" w:styleId="8ParagrapheIntit0" w:customStyle="1">
    <w:name w:val="&quot;8 Paragraphe Intit"/>
    <w:basedOn w:val="8ParagrapheIntit"/>
    <w:next w:val="Normal"/>
    <w:rsid w:val="0039580D"/>
    <w:rPr>
      <w:i/>
    </w:rPr>
  </w:style>
  <w:style w:type="paragraph" w:styleId="8ParagrapheNum" w:customStyle="1">
    <w:name w:val="*8 Paragraphe Num"/>
    <w:basedOn w:val="7Sous-sectionNum"/>
    <w:rsid w:val="0039580D"/>
    <w:pPr>
      <w:outlineLvl w:val="7"/>
    </w:pPr>
  </w:style>
  <w:style w:type="paragraph" w:styleId="8ParagrapheNum0" w:customStyle="1">
    <w:name w:val="&quot;8 Paragraphe Num"/>
    <w:basedOn w:val="8ParagrapheNum"/>
    <w:next w:val="Normal"/>
    <w:rsid w:val="0039580D"/>
    <w:pPr>
      <w:outlineLvl w:val="9"/>
    </w:pPr>
    <w:rPr>
      <w:i/>
    </w:rPr>
  </w:style>
  <w:style w:type="paragraph" w:styleId="9ArticleNum0" w:customStyle="1">
    <w:name w:val="&quot;9 Article Num"/>
    <w:basedOn w:val="9ArticleNum"/>
    <w:next w:val="Normal"/>
    <w:rsid w:val="0039580D"/>
    <w:pPr>
      <w:spacing w:before="300" w:after="40"/>
      <w:outlineLvl w:val="9"/>
    </w:pPr>
    <w:rPr>
      <w:i/>
    </w:rPr>
  </w:style>
  <w:style w:type="paragraph" w:styleId="AmendementAuteurs" w:customStyle="1">
    <w:name w:val="* Amendement Auteurs"/>
    <w:basedOn w:val="Normal"/>
    <w:rsid w:val="00514A5C"/>
    <w:pPr>
      <w:spacing w:before="240" w:after="0"/>
      <w:ind w:firstLine="567"/>
    </w:pPr>
  </w:style>
  <w:style w:type="character" w:styleId="Amendementnumro" w:customStyle="1">
    <w:name w:val="* Amendement numéro"/>
    <w:rsid w:val="00514A5C"/>
    <w:rPr>
      <w:rFonts w:ascii="Arial" w:hAnsi="Arial"/>
      <w:b/>
      <w:sz w:val="22"/>
    </w:rPr>
  </w:style>
  <w:style w:type="paragraph" w:styleId="AmendementTexte" w:customStyle="1">
    <w:name w:val="* Amendement Texte"/>
    <w:basedOn w:val="Normal"/>
    <w:rsid w:val="00514A5C"/>
    <w:pPr>
      <w:spacing w:before="60" w:after="0"/>
      <w:ind w:left="227" w:firstLine="284"/>
    </w:pPr>
  </w:style>
  <w:style w:type="paragraph" w:styleId="Annconf107" w:customStyle="1">
    <w:name w:val="* Ann conf 107"/>
    <w:basedOn w:val="Normal"/>
    <w:rsid w:val="00514A5C"/>
    <w:pPr>
      <w:spacing w:after="60"/>
    </w:pPr>
    <w:rPr>
      <w:i/>
    </w:rPr>
  </w:style>
  <w:style w:type="paragraph" w:styleId="Annconfhoraire" w:customStyle="1">
    <w:name w:val="* Ann conf horaire"/>
    <w:basedOn w:val="Normal"/>
    <w:rsid w:val="00514A5C"/>
    <w:pPr>
      <w:spacing w:after="0"/>
      <w:ind w:left="4196"/>
    </w:pPr>
    <w:rPr>
      <w:i/>
    </w:rPr>
  </w:style>
  <w:style w:type="paragraph" w:styleId="Annconfinitiativeparl" w:customStyle="1">
    <w:name w:val="* Ann conf initiative parl"/>
    <w:basedOn w:val="Normal"/>
    <w:next w:val="Annconfhoraire"/>
    <w:rsid w:val="00514A5C"/>
    <w:pPr>
      <w:jc w:val="center"/>
    </w:pPr>
    <w:rPr>
      <w:i/>
      <w:sz w:val="20"/>
    </w:rPr>
  </w:style>
  <w:style w:type="paragraph" w:styleId="AnnConfRsultdate" w:customStyle="1">
    <w:name w:val="* Ann Conf Résult date"/>
    <w:basedOn w:val="Normal"/>
    <w:rsid w:val="00514A5C"/>
    <w:pPr>
      <w:spacing w:after="0"/>
      <w:ind w:left="227" w:firstLine="284"/>
    </w:pPr>
    <w:rPr>
      <w:b/>
    </w:rPr>
  </w:style>
  <w:style w:type="paragraph" w:styleId="AnnTexte" w:customStyle="1">
    <w:name w:val="* Ann Texte"/>
    <w:basedOn w:val="Normal"/>
    <w:rsid w:val="00514A5C"/>
    <w:pPr>
      <w:spacing w:after="0"/>
      <w:ind w:firstLine="567"/>
    </w:pPr>
  </w:style>
  <w:style w:type="paragraph" w:styleId="AnnDocE" w:customStyle="1">
    <w:name w:val="* Ann Doc E"/>
    <w:basedOn w:val="AnnTexte"/>
    <w:rsid w:val="00514A5C"/>
    <w:pPr>
      <w:spacing w:before="60"/>
      <w:ind w:left="851" w:hanging="851"/>
    </w:pPr>
  </w:style>
  <w:style w:type="paragraph" w:styleId="AnnRubriqueTitre" w:customStyle="1">
    <w:name w:val="* Ann Rubrique Titre"/>
    <w:basedOn w:val="Normal"/>
    <w:rsid w:val="00514A5C"/>
    <w:pPr>
      <w:spacing w:before="360"/>
      <w:jc w:val="center"/>
    </w:pPr>
    <w:rPr>
      <w:b/>
      <w:caps/>
    </w:rPr>
  </w:style>
  <w:style w:type="paragraph" w:styleId="AnnRubriqueSous-titre1" w:customStyle="1">
    <w:name w:val="* Ann Rubrique Sous-titre 1"/>
    <w:basedOn w:val="AnnRubriqueTitre"/>
    <w:rsid w:val="00514A5C"/>
    <w:pPr>
      <w:spacing w:before="60" w:after="0"/>
    </w:pPr>
    <w:rPr>
      <w:b w:val="0"/>
    </w:rPr>
  </w:style>
  <w:style w:type="paragraph" w:styleId="AnnRubriqueSous-titre2" w:customStyle="1">
    <w:name w:val="* Ann Rubrique Sous-titre 2"/>
    <w:basedOn w:val="AnnRubriqueSous-titre1"/>
    <w:next w:val="Normal"/>
    <w:rsid w:val="00514A5C"/>
    <w:pPr>
      <w:spacing w:before="480"/>
    </w:pPr>
  </w:style>
  <w:style w:type="paragraph" w:styleId="AnnRubriqueTitre2" w:customStyle="1">
    <w:name w:val="* Ann Rubrique Titre 2"/>
    <w:basedOn w:val="AnnTexte"/>
    <w:rsid w:val="00514A5C"/>
    <w:pPr>
      <w:spacing w:after="120"/>
      <w:ind w:firstLine="0"/>
      <w:jc w:val="center"/>
    </w:pPr>
    <w:rPr>
      <w:i/>
    </w:rPr>
  </w:style>
  <w:style w:type="paragraph" w:styleId="AnnRubriqueTitre3" w:customStyle="1">
    <w:name w:val="* Ann Rubrique Titre 3"/>
    <w:basedOn w:val="AnnRubriqueTitre2"/>
    <w:rsid w:val="00514A5C"/>
    <w:pPr>
      <w:spacing w:before="0" w:after="200"/>
    </w:pPr>
    <w:rPr>
      <w:i w:val="0"/>
    </w:rPr>
  </w:style>
  <w:style w:type="paragraph" w:styleId="AnnRubriqueTitre4" w:customStyle="1">
    <w:name w:val="* Ann Rubrique Titre 4"/>
    <w:basedOn w:val="Normal"/>
    <w:rsid w:val="00514A5C"/>
    <w:pPr>
      <w:spacing w:after="60"/>
      <w:jc w:val="center"/>
    </w:pPr>
    <w:rPr>
      <w:i/>
    </w:rPr>
  </w:style>
  <w:style w:type="paragraph" w:styleId="AnnTitre" w:customStyle="1">
    <w:name w:val="* Ann Titre"/>
    <w:basedOn w:val="Normal"/>
    <w:rsid w:val="00514A5C"/>
    <w:pPr>
      <w:spacing w:before="720" w:after="0"/>
      <w:jc w:val="center"/>
    </w:pPr>
    <w:rPr>
      <w:b/>
      <w:i/>
      <w:sz w:val="36"/>
    </w:rPr>
  </w:style>
  <w:style w:type="paragraph" w:styleId="Code" w:customStyle="1">
    <w:name w:val="* Code"/>
    <w:basedOn w:val="Normal"/>
    <w:rsid w:val="00514A5C"/>
    <w:pPr>
      <w:spacing w:before="240" w:after="240"/>
      <w:jc w:val="center"/>
    </w:pPr>
    <w:rPr>
      <w:i/>
    </w:rPr>
  </w:style>
  <w:style w:type="character" w:styleId="Erreur" w:customStyle="1">
    <w:name w:val="* Erreur"/>
    <w:rsid w:val="00514A5C"/>
    <w:rPr>
      <w:rFonts w:ascii="Times New Roman" w:hAnsi="Times New Roman"/>
      <w:b/>
      <w:sz w:val="24"/>
      <w:szCs w:val="24"/>
      <w:effect w:val="none"/>
    </w:rPr>
  </w:style>
  <w:style w:type="paragraph" w:styleId="MentionItal" w:customStyle="1">
    <w:name w:val="* Mention Ital"/>
    <w:basedOn w:val="Normal"/>
    <w:rsid w:val="00514A5C"/>
    <w:pPr>
      <w:spacing w:before="240" w:after="0"/>
      <w:ind w:firstLine="567"/>
    </w:pPr>
    <w:rPr>
      <w:i/>
    </w:rPr>
  </w:style>
  <w:style w:type="paragraph" w:styleId="3LivreNum0" w:customStyle="1">
    <w:name w:val="*3 Livre Num"/>
    <w:basedOn w:val="2PartieNum"/>
    <w:rsid w:val="0039580D"/>
    <w:pPr>
      <w:outlineLvl w:val="2"/>
    </w:pPr>
  </w:style>
  <w:style w:type="paragraph" w:styleId="4TitreNum0" w:customStyle="1">
    <w:name w:val="*4 Titre Num"/>
    <w:basedOn w:val="LoiTexte"/>
    <w:next w:val="4TitreIntit"/>
    <w:rsid w:val="0039580D"/>
    <w:pPr>
      <w:keepNext/>
      <w:spacing w:before="480"/>
      <w:ind w:firstLine="0"/>
      <w:jc w:val="center"/>
      <w:outlineLvl w:val="3"/>
    </w:pPr>
    <w:rPr>
      <w:caps/>
    </w:rPr>
  </w:style>
  <w:style w:type="character" w:styleId="Balisecaractre" w:customStyle="1">
    <w:name w:val="*Balise caractère"/>
    <w:rsid w:val="00514A5C"/>
    <w:rPr>
      <w:bCs/>
      <w:vanish/>
      <w:color w:val="FF0000"/>
    </w:rPr>
  </w:style>
  <w:style w:type="character" w:styleId="Pastille" w:customStyle="1">
    <w:name w:val="*Pastille"/>
    <w:basedOn w:val="DefaultParagraphFont"/>
    <w:rsid w:val="00514A5C"/>
    <w:rPr>
      <w:b/>
      <w:vanish/>
      <w:color w:val="0000FF"/>
      <w:sz w:val="24"/>
      <w:szCs w:val="24"/>
    </w:rPr>
  </w:style>
  <w:style w:type="character" w:styleId="PastilleBis" w:customStyle="1">
    <w:name w:val="*PastilleBis"/>
    <w:basedOn w:val="DefaultParagraphFont"/>
    <w:rsid w:val="00514A5C"/>
    <w:rPr>
      <w:b/>
      <w:vanish/>
      <w:color w:val="FF0000"/>
      <w:sz w:val="24"/>
      <w:szCs w:val="24"/>
    </w:rPr>
  </w:style>
  <w:style w:type="paragraph" w:styleId="PointSous-titre" w:customStyle="1">
    <w:name w:val="*Point Sous-titre"/>
    <w:basedOn w:val="Normal"/>
    <w:next w:val="Normal"/>
    <w:rsid w:val="00514A5C"/>
    <w:pPr>
      <w:spacing w:after="0"/>
      <w:jc w:val="center"/>
    </w:pPr>
    <w:rPr>
      <w:b/>
    </w:rPr>
  </w:style>
  <w:style w:type="paragraph" w:styleId="PointTitre" w:customStyle="1">
    <w:name w:val="*Point Titre"/>
    <w:basedOn w:val="Normal"/>
    <w:rsid w:val="00514A5C"/>
    <w:pPr>
      <w:spacing w:after="0"/>
      <w:jc w:val="center"/>
    </w:pPr>
    <w:rPr>
      <w:b/>
      <w:caps/>
    </w:rPr>
  </w:style>
  <w:style w:type="paragraph" w:styleId="SanceTitre" w:customStyle="1">
    <w:name w:val="*Séance Titre"/>
    <w:basedOn w:val="Normal"/>
    <w:next w:val="Normal"/>
    <w:rsid w:val="00514A5C"/>
    <w:pPr>
      <w:spacing w:after="0"/>
      <w:jc w:val="center"/>
    </w:pPr>
    <w:rPr>
      <w:b/>
      <w:sz w:val="36"/>
    </w:rPr>
  </w:style>
  <w:style w:type="paragraph" w:styleId="Sommairemaigrecaractre" w:customStyle="1">
    <w:name w:val="*Sommaire maigre caractère"/>
    <w:basedOn w:val="Normal"/>
    <w:next w:val="Normal"/>
    <w:rsid w:val="00514A5C"/>
    <w:pPr>
      <w:spacing w:after="0"/>
      <w:jc w:val="center"/>
    </w:pPr>
    <w:rPr>
      <w:rFonts w:ascii="Arial" w:hAnsi="Arial"/>
      <w:b/>
    </w:rPr>
  </w:style>
  <w:style w:type="paragraph" w:styleId="Sommairetitre" w:customStyle="1">
    <w:name w:val="*Sommaire titre"/>
    <w:basedOn w:val="Normal"/>
    <w:rsid w:val="00514A5C"/>
    <w:pPr>
      <w:spacing w:after="0"/>
      <w:jc w:val="center"/>
    </w:pPr>
    <w:rPr>
      <w:rFonts w:ascii="Arial" w:hAnsi="Arial"/>
      <w:b/>
    </w:rPr>
  </w:style>
  <w:style w:type="paragraph" w:styleId="TabNombre" w:customStyle="1">
    <w:name w:val="*TabNombre"/>
    <w:basedOn w:val="Normal"/>
    <w:rsid w:val="00514A5C"/>
    <w:pPr>
      <w:spacing w:after="0"/>
      <w:jc w:val="right"/>
    </w:pPr>
  </w:style>
  <w:style w:type="paragraph" w:styleId="TabTexte" w:customStyle="1">
    <w:name w:val="*TabTexte"/>
    <w:basedOn w:val="Normal"/>
    <w:rsid w:val="00514A5C"/>
    <w:pPr>
      <w:spacing w:after="0"/>
    </w:pPr>
  </w:style>
  <w:style w:type="paragraph" w:styleId="TabTitre" w:customStyle="1">
    <w:name w:val="*TabTitre"/>
    <w:basedOn w:val="Normal"/>
    <w:rsid w:val="00514A5C"/>
    <w:pPr>
      <w:spacing w:after="0"/>
      <w:jc w:val="center"/>
    </w:pPr>
    <w:rPr>
      <w:b/>
    </w:rPr>
  </w:style>
  <w:style w:type="paragraph" w:styleId="TexteArticle" w:customStyle="1">
    <w:name w:val="*Texte Article"/>
    <w:basedOn w:val="Normal"/>
    <w:next w:val="Normal"/>
    <w:rsid w:val="00514A5C"/>
    <w:pPr>
      <w:overflowPunct/>
      <w:autoSpaceDE/>
      <w:autoSpaceDN/>
      <w:adjustRightInd/>
      <w:spacing w:before="240" w:after="0" w:line="360" w:lineRule="auto"/>
      <w:ind w:firstLine="567"/>
      <w:textAlignment w:val="auto"/>
    </w:pPr>
    <w:rPr>
      <w:rFonts w:ascii="Garamond" w:hAnsi="Garamond"/>
      <w:color w:val="339966"/>
      <w:sz w:val="22"/>
    </w:rPr>
  </w:style>
  <w:style w:type="paragraph" w:styleId="Textenonpastill" w:customStyle="1">
    <w:name w:val="*Texte non pastillé"/>
    <w:basedOn w:val="LoiTexte"/>
    <w:next w:val="LoiTexte"/>
    <w:rsid w:val="00514A5C"/>
  </w:style>
  <w:style w:type="paragraph" w:styleId="Am" w:customStyle="1">
    <w:name w:val="Am"/>
    <w:next w:val="Normal"/>
    <w:autoRedefine/>
    <w:rsid w:val="00514A5C"/>
    <w:pPr>
      <w:spacing w:after="0" w:line="240" w:lineRule="auto"/>
      <w:jc w:val="center"/>
    </w:pPr>
    <w:rPr>
      <w:rFonts w:ascii="Times New Roman" w:hAnsi="Times New Roman" w:eastAsia="Times New Roman" w:cs="Times New Roman"/>
      <w:bCs/>
      <w:sz w:val="24"/>
      <w:szCs w:val="24"/>
      <w:lang w:eastAsia="fr-FR"/>
    </w:rPr>
  </w:style>
  <w:style w:type="paragraph" w:styleId="AmdAuteurs" w:customStyle="1">
    <w:name w:val="Amd Auteurs"/>
    <w:basedOn w:val="Normal"/>
    <w:rsid w:val="00514A5C"/>
    <w:pPr>
      <w:spacing w:after="0"/>
      <w:jc w:val="center"/>
    </w:pPr>
  </w:style>
  <w:style w:type="paragraph" w:styleId="AmdCode" w:customStyle="1">
    <w:name w:val="Amd Code"/>
    <w:basedOn w:val="Normal"/>
    <w:rsid w:val="00514A5C"/>
    <w:pPr>
      <w:spacing w:after="0"/>
      <w:jc w:val="center"/>
    </w:pPr>
    <w:rPr>
      <w:i/>
    </w:rPr>
  </w:style>
  <w:style w:type="character" w:styleId="AmdDateEnregistrement" w:customStyle="1">
    <w:name w:val="Amd Date Enregistrement"/>
    <w:basedOn w:val="DefaultParagraphFont"/>
    <w:rsid w:val="00514A5C"/>
  </w:style>
  <w:style w:type="character" w:styleId="AmdDlib" w:customStyle="1">
    <w:name w:val="Amd Délib"/>
    <w:rsid w:val="00514A5C"/>
    <w:rPr>
      <w:rFonts w:ascii="Times New Roman" w:hAnsi="Times New Roman"/>
      <w:vanish/>
      <w:sz w:val="24"/>
    </w:rPr>
  </w:style>
  <w:style w:type="paragraph" w:styleId="AmdDlibration" w:customStyle="1">
    <w:name w:val="Amd Délibération"/>
    <w:next w:val="Normal"/>
    <w:autoRedefine/>
    <w:rsid w:val="00514A5C"/>
    <w:pPr>
      <w:spacing w:after="0" w:line="240" w:lineRule="auto"/>
      <w:jc w:val="center"/>
    </w:pPr>
    <w:rPr>
      <w:rFonts w:ascii="Times New Roman" w:hAnsi="Times New Roman" w:eastAsia="Times New Roman" w:cs="Times New Roman"/>
      <w:bCs/>
      <w:sz w:val="24"/>
      <w:szCs w:val="24"/>
      <w:lang w:eastAsia="fr-FR"/>
    </w:rPr>
  </w:style>
  <w:style w:type="paragraph" w:styleId="AmdDispositifTexte" w:customStyle="1">
    <w:name w:val="Amd Dispositif Texte"/>
    <w:basedOn w:val="Normal"/>
    <w:rsid w:val="00514A5C"/>
    <w:pPr>
      <w:spacing w:before="240" w:after="0"/>
      <w:ind w:firstLine="851"/>
    </w:pPr>
  </w:style>
  <w:style w:type="paragraph" w:styleId="AmdDispositifTitre" w:customStyle="1">
    <w:name w:val="Amd Dispositif Titre"/>
    <w:basedOn w:val="Normal"/>
    <w:rsid w:val="00514A5C"/>
    <w:pPr>
      <w:spacing w:after="0"/>
      <w:jc w:val="center"/>
    </w:pPr>
    <w:rPr>
      <w:b/>
    </w:rPr>
  </w:style>
  <w:style w:type="character" w:styleId="AmdEnteteDroit" w:customStyle="1">
    <w:name w:val="Amd Entete Droit"/>
    <w:rsid w:val="00514A5C"/>
    <w:rPr>
      <w:rFonts w:ascii="Times New Roman" w:hAnsi="Times New Roman"/>
      <w:b/>
      <w:sz w:val="24"/>
    </w:rPr>
  </w:style>
  <w:style w:type="character" w:styleId="AmdEnteteGauche" w:customStyle="1">
    <w:name w:val="Amd Entete Gauche"/>
    <w:rsid w:val="00514A5C"/>
    <w:rPr>
      <w:rFonts w:ascii="Times New Roman" w:hAnsi="Times New Roman"/>
      <w:sz w:val="24"/>
    </w:rPr>
  </w:style>
  <w:style w:type="paragraph" w:styleId="AmdExposTexte" w:customStyle="1">
    <w:name w:val="Amd Exposé Texte"/>
    <w:basedOn w:val="Normal"/>
    <w:rsid w:val="00514A5C"/>
    <w:pPr>
      <w:spacing w:before="240" w:after="0"/>
      <w:ind w:firstLine="851"/>
    </w:pPr>
  </w:style>
  <w:style w:type="paragraph" w:styleId="AmdExposTitre" w:customStyle="1">
    <w:name w:val="Amd Exposé Titre"/>
    <w:basedOn w:val="Normal"/>
    <w:rsid w:val="00514A5C"/>
    <w:pPr>
      <w:spacing w:after="0"/>
      <w:jc w:val="center"/>
    </w:pPr>
    <w:rPr>
      <w:b/>
    </w:rPr>
  </w:style>
  <w:style w:type="paragraph" w:styleId="AmdIrrecevable" w:customStyle="1">
    <w:name w:val="Amd Irrecevable"/>
    <w:next w:val="Normal"/>
    <w:autoRedefine/>
    <w:rsid w:val="00514A5C"/>
    <w:pPr>
      <w:spacing w:after="0" w:line="240" w:lineRule="auto"/>
      <w:ind w:firstLine="680"/>
    </w:pPr>
    <w:rPr>
      <w:rFonts w:ascii="Times New Roman" w:hAnsi="Times New Roman" w:eastAsia="Times New Roman" w:cs="Times New Roman"/>
      <w:bCs/>
      <w:sz w:val="24"/>
      <w:szCs w:val="24"/>
      <w:lang w:eastAsia="fr-FR"/>
    </w:rPr>
  </w:style>
  <w:style w:type="character" w:styleId="AmdNomAuteur" w:customStyle="1">
    <w:name w:val="Amd Nom Auteur"/>
    <w:basedOn w:val="DefaultParagraphFont"/>
    <w:rsid w:val="00514A5C"/>
  </w:style>
  <w:style w:type="character" w:styleId="AmdNumroAmendement" w:customStyle="1">
    <w:name w:val="Amd Numéro Amendement"/>
    <w:rsid w:val="00514A5C"/>
    <w:rPr>
      <w:sz w:val="24"/>
    </w:rPr>
  </w:style>
  <w:style w:type="character" w:styleId="AmdNumroArticle" w:customStyle="1">
    <w:name w:val="Amd Numéro Article"/>
    <w:basedOn w:val="DefaultParagraphFont"/>
    <w:rsid w:val="00514A5C"/>
  </w:style>
  <w:style w:type="character" w:styleId="AmdNumroInitiative" w:customStyle="1">
    <w:name w:val="Amd Numéro Initiative"/>
    <w:rsid w:val="00514A5C"/>
    <w:rPr>
      <w:rFonts w:ascii="Times New Roman" w:hAnsi="Times New Roman"/>
      <w:sz w:val="24"/>
    </w:rPr>
  </w:style>
  <w:style w:type="character" w:styleId="AmdNumroPartie" w:customStyle="1">
    <w:name w:val="Amd Numéro Partie"/>
    <w:rsid w:val="00514A5C"/>
    <w:rPr>
      <w:rFonts w:ascii="Times New Roman" w:hAnsi="Times New Roman"/>
      <w:b/>
      <w:sz w:val="24"/>
    </w:rPr>
  </w:style>
  <w:style w:type="paragraph" w:styleId="AmdTitreAmendement" w:customStyle="1">
    <w:name w:val="Amd Titre Amendement"/>
    <w:basedOn w:val="Normal"/>
    <w:rsid w:val="00514A5C"/>
    <w:pPr>
      <w:tabs>
        <w:tab w:val="left" w:pos="1134"/>
        <w:tab w:val="center" w:pos="4252"/>
        <w:tab w:val="center" w:pos="7654"/>
        <w:tab w:val="right" w:pos="9071"/>
      </w:tabs>
      <w:spacing w:after="0"/>
      <w:jc w:val="center"/>
    </w:pPr>
    <w:rPr>
      <w:b/>
      <w:sz w:val="36"/>
    </w:rPr>
  </w:style>
  <w:style w:type="paragraph" w:styleId="AmdTitreInitiative" w:customStyle="1">
    <w:name w:val="Amd Titre Initiative"/>
    <w:basedOn w:val="Normal"/>
    <w:next w:val="AmdDlibration"/>
    <w:autoRedefine/>
    <w:rsid w:val="00514A5C"/>
    <w:pPr>
      <w:spacing w:after="0"/>
      <w:jc w:val="center"/>
    </w:pPr>
  </w:style>
  <w:style w:type="character" w:styleId="AmdTitreInitiativeBis" w:customStyle="1">
    <w:name w:val="Amd Titre Initiative Bis"/>
    <w:basedOn w:val="DefaultParagraphFont"/>
    <w:rsid w:val="00514A5C"/>
  </w:style>
  <w:style w:type="character" w:styleId="FootnoteReference">
    <w:name w:val="footnote reference"/>
    <w:basedOn w:val="DefaultParagraphFont"/>
    <w:semiHidden/>
    <w:rsid w:val="00514A5C"/>
    <w:rPr>
      <w:vertAlign w:val="superscript"/>
    </w:rPr>
  </w:style>
  <w:style w:type="paragraph" w:styleId="Article" w:customStyle="1">
    <w:name w:val="Article"/>
    <w:basedOn w:val="Normal"/>
    <w:next w:val="Normal"/>
    <w:rsid w:val="00514A5C"/>
    <w:pPr>
      <w:spacing w:before="240" w:after="240"/>
      <w:jc w:val="center"/>
    </w:pPr>
    <w:rPr>
      <w:b/>
      <w:bCs w:val="0"/>
      <w:sz w:val="28"/>
    </w:rPr>
  </w:style>
  <w:style w:type="paragraph" w:styleId="Chapitre" w:customStyle="1">
    <w:name w:val="Chapitre"/>
    <w:basedOn w:val="Article"/>
    <w:next w:val="Normal"/>
    <w:rsid w:val="00514A5C"/>
    <w:pPr>
      <w:spacing w:before="120" w:after="120"/>
    </w:pPr>
    <w:rPr>
      <w:b w:val="0"/>
      <w:smallCaps/>
    </w:rPr>
  </w:style>
  <w:style w:type="paragraph" w:styleId="Date">
    <w:name w:val="Date"/>
    <w:basedOn w:val="Normal"/>
    <w:next w:val="Normal"/>
    <w:link w:val="DateChar"/>
    <w:rsid w:val="00514A5C"/>
  </w:style>
  <w:style w:type="character" w:styleId="DateChar" w:customStyle="1">
    <w:name w:val="Date Char"/>
    <w:basedOn w:val="DefaultParagraphFont"/>
    <w:link w:val="Date"/>
    <w:rsid w:val="00514A5C"/>
    <w:rPr>
      <w:rFonts w:ascii="Times New Roman" w:hAnsi="Times New Roman" w:cs="Times New Roman"/>
      <w:bCs/>
      <w:sz w:val="24"/>
      <w:szCs w:val="24"/>
    </w:rPr>
  </w:style>
  <w:style w:type="paragraph" w:styleId="Dlibr" w:customStyle="1">
    <w:name w:val="Délibéré"/>
    <w:basedOn w:val="Normal"/>
    <w:next w:val="Normal"/>
    <w:rsid w:val="00514A5C"/>
    <w:pPr>
      <w:spacing w:before="480" w:after="240"/>
      <w:ind w:firstLine="510"/>
    </w:pPr>
    <w:rPr>
      <w:i/>
      <w:iCs/>
      <w:sz w:val="28"/>
    </w:rPr>
  </w:style>
  <w:style w:type="paragraph" w:styleId="droite" w:customStyle="1">
    <w:name w:val="droite"/>
    <w:basedOn w:val="Normal"/>
    <w:rsid w:val="00514A5C"/>
    <w:pPr>
      <w:jc w:val="right"/>
    </w:pPr>
  </w:style>
  <w:style w:type="table" w:styleId="TableGrid">
    <w:name w:val="Table Grid"/>
    <w:basedOn w:val="TableNormal"/>
    <w:rsid w:val="00514A5C"/>
    <w:pPr>
      <w:spacing w:after="0" w:line="240" w:lineRule="auto"/>
    </w:pPr>
    <w:rPr>
      <w:rFonts w:ascii="CG Times (W1)" w:hAnsi="CG Times (W1)" w:eastAsia="Times New Roman" w:cs="Times New Roman"/>
      <w:bCs/>
      <w:sz w:val="20"/>
      <w:szCs w:val="24"/>
      <w:lang w:eastAsia="fr-F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ntitulChapitre" w:customStyle="1">
    <w:name w:val="Intitulé Chapitre"/>
    <w:basedOn w:val="Article"/>
    <w:next w:val="Normal"/>
    <w:rsid w:val="00514A5C"/>
    <w:pPr>
      <w:spacing w:before="120"/>
    </w:pPr>
    <w:rPr>
      <w:bCs/>
    </w:rPr>
  </w:style>
  <w:style w:type="paragraph" w:styleId="IntitulSection" w:customStyle="1">
    <w:name w:val="Intitulé Section"/>
    <w:basedOn w:val="IntitulChapitre"/>
    <w:next w:val="Normal"/>
    <w:rsid w:val="00514A5C"/>
  </w:style>
  <w:style w:type="paragraph" w:styleId="IntitulSous-section" w:customStyle="1">
    <w:name w:val="Intitulé Sous-section"/>
    <w:basedOn w:val="IntitulChapitre"/>
    <w:next w:val="Normal"/>
    <w:rsid w:val="00514A5C"/>
    <w:rPr>
      <w:b w:val="0"/>
      <w:bCs w:val="0"/>
    </w:rPr>
  </w:style>
  <w:style w:type="paragraph" w:styleId="INTITULETITRE" w:customStyle="1">
    <w:name w:val="INTITULE TITRE"/>
    <w:basedOn w:val="Article"/>
    <w:next w:val="Normal"/>
    <w:rsid w:val="00514A5C"/>
    <w:pPr>
      <w:spacing w:before="0" w:after="600"/>
    </w:pPr>
    <w:rPr>
      <w:bCs/>
      <w:caps/>
    </w:rPr>
  </w:style>
  <w:style w:type="paragraph" w:styleId="Caption">
    <w:name w:val="caption"/>
    <w:basedOn w:val="Normal"/>
    <w:next w:val="Normal"/>
    <w:qFormat/>
    <w:rsid w:val="00514A5C"/>
    <w:pPr>
      <w:spacing w:before="2520" w:after="0"/>
      <w:jc w:val="center"/>
    </w:pPr>
    <w:rPr>
      <w:b/>
      <w:bCs w:val="0"/>
      <w:caps/>
      <w:sz w:val="48"/>
    </w:rPr>
  </w:style>
  <w:style w:type="character" w:styleId="NormalC" w:customStyle="1">
    <w:name w:val="NormalC"/>
    <w:rsid w:val="00514A5C"/>
    <w:rPr>
      <w:rFonts w:ascii="Times New Roman" w:hAnsi="Times New Roman"/>
      <w:sz w:val="24"/>
    </w:rPr>
  </w:style>
  <w:style w:type="paragraph" w:styleId="FootnoteText">
    <w:name w:val="footnote text"/>
    <w:basedOn w:val="Normal"/>
    <w:link w:val="FootnoteTextChar"/>
    <w:semiHidden/>
    <w:rsid w:val="00514A5C"/>
    <w:pPr>
      <w:ind w:firstLine="510"/>
    </w:pPr>
  </w:style>
  <w:style w:type="character" w:styleId="FootnoteTextChar" w:customStyle="1">
    <w:name w:val="Footnote Text Char"/>
    <w:basedOn w:val="DefaultParagraphFont"/>
    <w:link w:val="FootnoteText"/>
    <w:semiHidden/>
    <w:rsid w:val="00514A5C"/>
    <w:rPr>
      <w:rFonts w:ascii="Times New Roman" w:hAnsi="Times New Roman" w:cs="Times New Roman"/>
      <w:bCs/>
      <w:sz w:val="24"/>
      <w:szCs w:val="24"/>
    </w:rPr>
  </w:style>
  <w:style w:type="paragraph" w:styleId="Pastille0" w:customStyle="1">
    <w:name w:val="Pastille"/>
    <w:basedOn w:val="Normal"/>
    <w:rsid w:val="00514A5C"/>
    <w:pPr>
      <w:spacing w:after="0"/>
    </w:pPr>
    <w:rPr>
      <w:rFonts w:ascii="Numero" w:hAnsi="Numero"/>
      <w:sz w:val="28"/>
    </w:rPr>
  </w:style>
  <w:style w:type="paragraph" w:styleId="Prsident" w:customStyle="1">
    <w:name w:val="Président"/>
    <w:basedOn w:val="Normal"/>
    <w:next w:val="Normal"/>
    <w:rsid w:val="00514A5C"/>
    <w:pPr>
      <w:tabs>
        <w:tab w:val="center" w:pos="5670"/>
      </w:tabs>
      <w:spacing w:before="360" w:after="0"/>
    </w:pPr>
    <w:rPr>
      <w:i/>
      <w:iCs/>
      <w:sz w:val="28"/>
    </w:rPr>
  </w:style>
  <w:style w:type="paragraph" w:styleId="Projet" w:customStyle="1">
    <w:name w:val="Projet"/>
    <w:basedOn w:val="Title"/>
    <w:rsid w:val="00514A5C"/>
    <w:pPr>
      <w:spacing w:after="0"/>
    </w:pPr>
    <w:rPr>
      <w:i/>
    </w:rPr>
  </w:style>
  <w:style w:type="paragraph" w:styleId="Question" w:customStyle="1">
    <w:name w:val="Question"/>
    <w:basedOn w:val="Normal"/>
    <w:rsid w:val="00514A5C"/>
    <w:rPr>
      <w:sz w:val="36"/>
    </w:rPr>
  </w:style>
  <w:style w:type="paragraph" w:styleId="BodyTextIndent">
    <w:name w:val="Body Text Indent"/>
    <w:basedOn w:val="Normal"/>
    <w:link w:val="BodyTextIndentChar"/>
    <w:rsid w:val="00514A5C"/>
    <w:pPr>
      <w:ind w:firstLine="540"/>
    </w:pPr>
  </w:style>
  <w:style w:type="character" w:styleId="BodyTextIndentChar" w:customStyle="1">
    <w:name w:val="Body Text Indent Char"/>
    <w:basedOn w:val="DefaultParagraphFont"/>
    <w:link w:val="BodyTextIndent"/>
    <w:rsid w:val="00514A5C"/>
    <w:rPr>
      <w:rFonts w:ascii="Times New Roman" w:hAnsi="Times New Roman" w:cs="Times New Roman"/>
      <w:bCs/>
      <w:sz w:val="24"/>
      <w:szCs w:val="24"/>
    </w:rPr>
  </w:style>
  <w:style w:type="paragraph" w:styleId="Section" w:customStyle="1">
    <w:name w:val="Section"/>
    <w:basedOn w:val="Chapitre"/>
    <w:next w:val="IntitulSection"/>
    <w:rsid w:val="00514A5C"/>
    <w:rPr>
      <w:smallCaps w:val="0"/>
    </w:rPr>
  </w:style>
  <w:style w:type="paragraph" w:styleId="SignaturePrsident" w:customStyle="1">
    <w:name w:val="Signature Président"/>
    <w:basedOn w:val="Prsident"/>
    <w:next w:val="Normal"/>
    <w:rsid w:val="00514A5C"/>
    <w:pPr>
      <w:spacing w:before="120"/>
    </w:pPr>
  </w:style>
  <w:style w:type="paragraph" w:styleId="Sous-section" w:customStyle="1">
    <w:name w:val="Sous-section"/>
    <w:basedOn w:val="Section"/>
    <w:next w:val="IntitulSous-section"/>
    <w:rsid w:val="00514A5C"/>
  </w:style>
  <w:style w:type="paragraph" w:styleId="Style1" w:customStyle="1">
    <w:name w:val="Style1"/>
    <w:basedOn w:val="Normal"/>
    <w:rsid w:val="00514A5C"/>
    <w:pPr>
      <w:jc w:val="center"/>
    </w:pPr>
  </w:style>
  <w:style w:type="paragraph" w:styleId="Texte" w:customStyle="1">
    <w:name w:val="Texte"/>
    <w:basedOn w:val="Normal"/>
    <w:rsid w:val="00514A5C"/>
    <w:pPr>
      <w:tabs>
        <w:tab w:val="right" w:leader="dot" w:pos="7371"/>
      </w:tabs>
      <w:spacing w:before="0" w:after="240"/>
      <w:ind w:firstLine="510"/>
    </w:pPr>
    <w:rPr>
      <w:sz w:val="28"/>
    </w:rPr>
  </w:style>
  <w:style w:type="paragraph" w:styleId="BalloonText">
    <w:name w:val="Balloon Text"/>
    <w:basedOn w:val="Normal"/>
    <w:link w:val="BalloonTextChar"/>
    <w:semiHidden/>
    <w:rsid w:val="00514A5C"/>
    <w:rPr>
      <w:rFonts w:ascii="Tahoma" w:hAnsi="Tahoma" w:cs="Tahoma"/>
      <w:sz w:val="16"/>
      <w:szCs w:val="16"/>
    </w:rPr>
  </w:style>
  <w:style w:type="character" w:styleId="BalloonTextChar" w:customStyle="1">
    <w:name w:val="Balloon Text Char"/>
    <w:basedOn w:val="DefaultParagraphFont"/>
    <w:link w:val="BalloonText"/>
    <w:semiHidden/>
    <w:rsid w:val="00514A5C"/>
    <w:rPr>
      <w:rFonts w:ascii="Tahoma" w:hAnsi="Tahoma" w:cs="Tahoma"/>
      <w:bCs/>
      <w:sz w:val="16"/>
      <w:szCs w:val="16"/>
    </w:rPr>
  </w:style>
  <w:style w:type="paragraph" w:styleId="TITRE" w:customStyle="1">
    <w:name w:val="TITRE"/>
    <w:basedOn w:val="Normal"/>
    <w:next w:val="INTITULETITRE"/>
    <w:rsid w:val="00514A5C"/>
    <w:pPr>
      <w:spacing w:before="480" w:after="240"/>
      <w:jc w:val="center"/>
    </w:pPr>
    <w:rPr>
      <w:caps/>
      <w:sz w:val="28"/>
    </w:rPr>
  </w:style>
  <w:style w:type="paragraph" w:styleId="Titre0" w:customStyle="1">
    <w:name w:val="Titre_"/>
    <w:basedOn w:val="Title"/>
    <w:rsid w:val="00514A5C"/>
    <w:rPr>
      <w:u w:val="single"/>
    </w:rPr>
  </w:style>
  <w:style w:type="paragraph" w:styleId="Titre1" w:customStyle="1">
    <w:name w:val="Titre1"/>
    <w:basedOn w:val="Title"/>
    <w:rsid w:val="00514A5C"/>
    <w:pPr>
      <w:tabs>
        <w:tab w:val="left" w:pos="2268"/>
        <w:tab w:val="left" w:pos="6237"/>
      </w:tabs>
      <w:spacing w:before="480" w:after="480"/>
    </w:pPr>
    <w:rPr>
      <w:b/>
      <w:sz w:val="36"/>
    </w:rPr>
  </w:style>
  <w:style w:type="paragraph" w:styleId="TITRE4" w:customStyle="1">
    <w:name w:val="TITRE4"/>
    <w:basedOn w:val="Heading4"/>
    <w:rsid w:val="00514A5C"/>
    <w:pPr>
      <w:tabs>
        <w:tab w:val="left" w:pos="142"/>
        <w:tab w:val="right" w:pos="9498"/>
      </w:tabs>
      <w:spacing w:before="0" w:after="240"/>
      <w:ind w:left="-142" w:right="-534"/>
      <w:outlineLvl w:val="9"/>
    </w:pPr>
    <w:rPr>
      <w:rFonts w:ascii="CG TIMES (WN)" w:hAnsi="CG TIMES (WN)"/>
      <w:bCs w:val="0"/>
      <w:sz w:val="24"/>
    </w:rPr>
  </w:style>
  <w:style w:type="paragraph" w:styleId="Titre7" w:customStyle="1">
    <w:name w:val="Titre7"/>
    <w:basedOn w:val="Normal"/>
    <w:rsid w:val="00514A5C"/>
    <w:pPr>
      <w:tabs>
        <w:tab w:val="left" w:pos="2977"/>
        <w:tab w:val="right" w:pos="9498"/>
      </w:tabs>
      <w:spacing w:before="480" w:after="480"/>
      <w:ind w:left="-142" w:right="-534"/>
    </w:pPr>
    <w:rPr>
      <w:b/>
      <w:sz w:val="36"/>
    </w:rPr>
  </w:style>
  <w:style w:type="paragraph" w:styleId="Titre8" w:customStyle="1">
    <w:name w:val="Titre8"/>
    <w:basedOn w:val="Title"/>
    <w:rsid w:val="00514A5C"/>
    <w:pPr>
      <w:tabs>
        <w:tab w:val="left" w:pos="568"/>
      </w:tabs>
      <w:ind w:left="2127" w:right="1875"/>
    </w:pPr>
  </w:style>
  <w:style w:type="paragraph" w:styleId="Trait" w:customStyle="1">
    <w:name w:val="Trait"/>
    <w:basedOn w:val="Date"/>
    <w:rsid w:val="00514A5C"/>
    <w:pPr>
      <w:pBdr>
        <w:bottom w:val="single" w:color="auto" w:sz="12" w:space="1"/>
        <w:between w:val="single" w:color="auto" w:sz="12" w:space="1"/>
      </w:pBdr>
      <w:tabs>
        <w:tab w:val="left" w:pos="142"/>
        <w:tab w:val="right" w:pos="9498"/>
      </w:tabs>
      <w:ind w:left="-142" w:right="-534"/>
      <w:jc w:val="center"/>
    </w:pPr>
  </w:style>
  <w:style w:type="character" w:styleId="Hyperlink">
    <w:name w:val="Hyperlink"/>
    <w:basedOn w:val="DefaultParagraphFont"/>
    <w:uiPriority w:val="99"/>
    <w:unhideWhenUsed/>
    <w:rsid w:val="006F659F"/>
    <w:rPr>
      <w:color w:val="0000FF" w:themeColor="hyperlink"/>
      <w:u w:val="single"/>
    </w:rPr>
  </w:style>
  <w:style w:type="character" w:styleId="UnresolvedMention">
    <w:name w:val="Unresolved Mention"/>
    <w:basedOn w:val="DefaultParagraphFont"/>
    <w:uiPriority w:val="99"/>
    <w:semiHidden/>
    <w:unhideWhenUsed/>
    <w:rsid w:val="006F659F"/>
    <w:rPr>
      <w:color w:val="605E5C"/>
      <w:shd w:val="clear" w:color="auto" w:fill="E1DFDD"/>
    </w:rPr>
  </w:style>
  <w:style w:type="character" w:styleId="FollowedHyperlink">
    <w:name w:val="FollowedHyperlink"/>
    <w:basedOn w:val="DefaultParagraphFont"/>
    <w:uiPriority w:val="99"/>
    <w:semiHidden/>
    <w:unhideWhenUsed/>
    <w:rsid w:val="006F659F"/>
    <w:rPr>
      <w:color w:val="800080" w:themeColor="followedHyperlink"/>
      <w:u w:val="single"/>
    </w:rPr>
  </w:style>
  <w:style w:type="paragraph" w:styleId="FinalLine" w:customStyle="1">
    <w:name w:val="Final Line"/>
    <w:basedOn w:val="Normal"/>
    <w:next w:val="Normal"/>
    <w:rsid w:val="006F659F"/>
    <w:pPr>
      <w:pBdr>
        <w:bottom w:val="single" w:color="000000" w:sz="4" w:space="0"/>
      </w:pBdr>
      <w:overflowPunct/>
      <w:autoSpaceDE/>
      <w:autoSpaceDN/>
      <w:adjustRightInd/>
      <w:spacing w:before="360" w:line="360" w:lineRule="auto"/>
      <w:ind w:left="3400" w:right="3400"/>
      <w:jc w:val="center"/>
      <w:textAlignment w:val="auto"/>
    </w:pPr>
    <w:rPr>
      <w:b/>
      <w:bCs w:val="0"/>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e5d5b54727194685" Type="http://schemas.openxmlformats.org/officeDocument/2006/relationships/header" Target="/word/header7.xml"/><Relationship Id="R69ffbd7a97824522" Type="http://schemas.openxmlformats.org/officeDocument/2006/relationships/settings" Target="/word/settings.xml"/><Relationship Id="Ra879aed7bdd14ce3" Type="http://schemas.openxmlformats.org/officeDocument/2006/relationships/footnotes" Target="/word/footnotes.xml"/><Relationship Id="R4023b946ae5d4361" Type="http://schemas.openxmlformats.org/officeDocument/2006/relationships/endnotes" Target="/word/endnotes.xml"/><Relationship Id="R03f96922804d49eb" Type="http://schemas.openxmlformats.org/officeDocument/2006/relationships/header" Target="/word/header12.xml"/><Relationship Id="R4001c772a7f94503" Type="http://schemas.openxmlformats.org/officeDocument/2006/relationships/footer" Target="/word/footer11.xml"/><Relationship Id="rId3" Type="http://schemas.openxmlformats.org/officeDocument/2006/relationships/customXml" Target="../customXml/item3.xml"/><Relationship Id="R14f75f1d216845dd" Type="http://schemas.openxmlformats.org/officeDocument/2006/relationships/header" Target="/word/header9.xml"/><Relationship Id="Ra8ebc23d8b864aa5" Type="http://schemas.openxmlformats.org/officeDocument/2006/relationships/footer" Target="/word/footer10.xml"/><Relationship Id="Rc1ee15fdfc3b43ae" Type="http://schemas.openxmlformats.org/officeDocument/2006/relationships/webSettings" Target="/word/webSettings.xml"/><Relationship Id="Rb07f802587f94dc4" Type="http://schemas.openxmlformats.org/officeDocument/2006/relationships/image" Target="/media/image.bin"/><Relationship Id="R7a4595c6c7dd4569" Type="http://schemas.openxmlformats.org/officeDocument/2006/relationships/header" Target="/word/header3.xml"/><Relationship Id="R82279fc31ae24ec8" Type="http://schemas.openxmlformats.org/officeDocument/2006/relationships/footer" Target="/word/footer5.xml"/><Relationship Id="Rb63c97aa7f2a4d49" Type="http://schemas.openxmlformats.org/officeDocument/2006/relationships/footer" Target="/word/footer12.xml"/><Relationship Id="rId2" Type="http://schemas.openxmlformats.org/officeDocument/2006/relationships/customXml" Target="../customXml/item2.xml"/><Relationship Id="Rd79ecc46937245fa" Type="http://schemas.openxmlformats.org/officeDocument/2006/relationships/footer" Target="/word/footer3.xml"/><Relationship Id="R44c40b0d8865496f" Type="http://schemas.openxmlformats.org/officeDocument/2006/relationships/header" Target="/word/header6.xml"/><Relationship Id="Red3f2049301f41e7" Type="http://schemas.openxmlformats.org/officeDocument/2006/relationships/footer" Target="/word/footer8.xml"/><Relationship Id="rId1" Type="http://schemas.openxmlformats.org/officeDocument/2006/relationships/customXml" Target="../customXml/item1.xml"/><Relationship Id="Ra54eb71675d549fe" Type="http://schemas.openxmlformats.org/officeDocument/2006/relationships/header" Target="/word/header2.xml"/><Relationship Id="R16770d1f5a0e4c99" Type="http://schemas.openxmlformats.org/officeDocument/2006/relationships/footer" Target="/word/footer1.xml"/><Relationship Id="Rea3e130937614e15" Type="http://schemas.openxmlformats.org/officeDocument/2006/relationships/header" Target="/word/header4.xml"/><Relationship Id="Ra5e5da1bc34f4c74" Type="http://schemas.openxmlformats.org/officeDocument/2006/relationships/header" Target="/word/header8.xml"/><Relationship Id="Rad6e1fd0198740bb" Type="http://schemas.openxmlformats.org/officeDocument/2006/relationships/header" Target="/word/header11.xml"/><Relationship Id="Re65fb53875aa4052" Type="http://schemas.openxmlformats.org/officeDocument/2006/relationships/styles" Target="/word/styles.xml"/><Relationship Id="R857178d9d21e43b0" Type="http://schemas.openxmlformats.org/officeDocument/2006/relationships/header" Target="/word/header1.xml"/><Relationship Id="R7beb73e741054143" Type="http://schemas.openxmlformats.org/officeDocument/2006/relationships/header" Target="/word/header5.xml"/><Relationship Id="Rd812d3930a0a4b1a" Type="http://schemas.openxmlformats.org/officeDocument/2006/relationships/header" Target="/word/header10.xml"/><Relationship Id="R240c458a98ac423f" Type="http://schemas.openxmlformats.org/officeDocument/2006/relationships/glossaryDocument" Target="/word/glossary/document.xml"/><Relationship Id="Rdd0178f2abaa4aed" Type="http://schemas.openxmlformats.org/officeDocument/2006/relationships/theme" Target="/word/theme/theme1.xml"/><Relationship Id="Rfd738f6c948f4fc6" Type="http://schemas.openxmlformats.org/officeDocument/2006/relationships/fontTable" Target="/word/fontTable.xml"/><Relationship Id="Ra8194f5da9224935" Type="http://schemas.openxmlformats.org/officeDocument/2006/relationships/footer" Target="/word/footer2.xml"/><Relationship Id="R3dd4f80c6e354e02" Type="http://schemas.openxmlformats.org/officeDocument/2006/relationships/footer" Target="/word/footer7.xml"/><Relationship Id="Rb19d7468ebeb46a6" Type="http://schemas.openxmlformats.org/officeDocument/2006/relationships/footer" Target="/word/footer9.xml"/><Relationship Id="R90efcf40d32d4526" Type="http://schemas.openxmlformats.org/officeDocument/2006/relationships/footer" Target="/word/footer4.xml"/><Relationship Id="R315fed6e11dc4f63" Type="http://schemas.openxmlformats.org/officeDocument/2006/relationships/footer" Target="/word/footer6.xml"/></Relationships>
</file>

<file path=word/_rels/footnotes.xml.rels>&#65279;<?xml version="1.0" encoding="utf-8"?><Relationships xmlns="http://schemas.openxmlformats.org/package/2006/relationships"><Relationship Type="http://schemas.openxmlformats.org/officeDocument/2006/relationships/hyperlink" Target="https://secure.ipex.eu/IPEXL-WEB/document/COM-2026-0011" TargetMode="External" Id="rId1" /><Relationship Type="http://schemas.openxmlformats.org/officeDocument/2006/relationships/hyperlink" Target="https://secure.ipex.eu/IPEXL-WEB/document/COM-2026-0013" TargetMode="External" Id="rId2" /></Relationships>
</file>

<file path=word/glossary/_rels/document.xml.rels>&#65279;<?xml version="1.0" encoding="utf-8"?><Relationships xmlns="http://schemas.openxmlformats.org/package/2006/relationships"><Relationship Type="http://schemas.openxmlformats.org/officeDocument/2006/relationships/styles" Target="/word/glossary/styles2.xml" Id="Rc6b3036e947d4060" /><Relationship Type="http://schemas.openxmlformats.org/officeDocument/2006/relationships/fontTable" Target="/word/glossary/fontTable2.xml" Id="Raf0dd262db704e93" /><Relationship Type="http://schemas.openxmlformats.org/officeDocument/2006/relationships/settings" Target="/word/glossary/settings2.xml" Id="Rf6fc50929f124830" /><Relationship Type="http://schemas.openxmlformats.org/officeDocument/2006/relationships/webSettings" Target="/word/glossary/webSettings2.xml" Id="R186e40dd1e334e3a"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5910FF-910B-4DC6-AE25-3C1FA6BA7069}"/>
</file>

<file path=customXml/itemProps2.xml><?xml version="1.0" encoding="utf-8"?>
<ds:datastoreItem xmlns:ds="http://schemas.openxmlformats.org/officeDocument/2006/customXml" ds:itemID="{6C9D850C-0510-4324-8E37-A4C350A1E744}"/>
</file>

<file path=customXml/itemProps3.xml><?xml version="1.0" encoding="utf-8"?>
<ds:datastoreItem xmlns:ds="http://schemas.openxmlformats.org/officeDocument/2006/customXml" ds:itemID="{3FE4532C-CCDC-44C6-8F52-F724ED428D61}"/>
</file>

<file path=docProps/app.xml><?xml version="1.0" encoding="utf-8"?>
<Properties xmlns="http://schemas.openxmlformats.org/officeDocument/2006/extended-properties" xmlns:vt="http://schemas.openxmlformats.org/officeDocument/2006/docPropsVTypes">
  <Template>Normal.dotm</Template>
  <TotalTime>13</TotalTime>
  <Pages>1</Pages>
  <Words>57</Words>
  <Characters>329</Characters>
  <Application>Microsoft Office Word</Application>
  <DocSecurity>0</DocSecurity>
  <Lines>2</Lines>
  <Paragraphs>1</Paragraphs>
  <ScaleCrop>false</ScaleCrop>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Natalie%20CHAILLOUX</dc:creator>
  <cp:keywords/>
  <dc:description/>
  <cp:lastModifiedBy>Natalie%20CHAILLOUX</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2026-05-19T12:48:03Z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1.29.0 (CoverpageUpdate)</vt:lpwstr>
  </property>
  <property fmtid="{D5CDD505-2E9C-101B-9397-08002B2CF9AE}" pid="10" name="ContentTypeId">
    <vt:lpwstr>0x010100BA35A70D7A9DA44587CF3FC6B64A4D5A</vt:lpwstr>
  </property>
</Properties>
</file>