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c292c2d1d6104ffe" /><Relationship Type="http://schemas.openxmlformats.org/package/2006/relationships/metadata/core-properties" Target="/docProps/core.xml" Id="R54d4624015834c45" /><Relationship Type="http://schemas.openxmlformats.org/officeDocument/2006/relationships/extended-properties" Target="/docProps/app.xml" Id="Re273750f2ede40cd" /><Relationship Type="http://schemas.openxmlformats.org/officeDocument/2006/relationships/custom-properties" Target="/docProps/custom.xml" Id="Re05bc4932b784fb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c8e051ba722f4b7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 July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11261</w:t>
                </w:r>
                <w:r>
                  <w:rPr>
                    <w:bCs/>
                    <w:lang w:val="en-US"/>
                  </w:rPr>
                  <w:t xml:space="preserve">/1</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JAI 924</w:t>
                </w:r>
              </w:p>
              <w:p>
                <w:pPr>
                  <w:pStyle w:val="TBEntRefer"/>
                  <w:tabs>
                    <w:tab w:val="left" w:pos="2265"/>
                  </w:tabs>
                </w:pPr>
                <w:r>
                  <w:t xml:space="preserve">ENFOPOL 246</w:t>
                </w:r>
              </w:p>
              <w:p>
                <w:pPr>
                  <w:pStyle w:val="TBEntRefer"/>
                  <w:tabs>
                    <w:tab w:val="left" w:pos="2265"/>
                  </w:tabs>
                </w:pPr>
                <w:r>
                  <w:t xml:space="preserve">CRIMORG 143</w:t>
                </w:r>
              </w:p>
              <w:p>
                <w:pPr>
                  <w:pStyle w:val="TBEntRefer"/>
                  <w:tabs>
                    <w:tab w:val="left" w:pos="2265"/>
                  </w:tabs>
                </w:pPr>
                <w:r>
                  <w:t xml:space="preserve">IXIM 150</w:t>
                </w:r>
              </w:p>
              <w:p>
                <w:pPr>
                  <w:pStyle w:val="TBEntRefer"/>
                  <w:tabs>
                    <w:tab w:val="left" w:pos="2265"/>
                  </w:tabs>
                </w:pPr>
                <w:r>
                  <w:t xml:space="preserve">DATAPROTECT 223</w:t>
                </w:r>
              </w:p>
              <w:p>
                <w:pPr>
                  <w:pStyle w:val="TBEntRefer"/>
                  <w:tabs>
                    <w:tab w:val="left" w:pos="2265"/>
                  </w:tabs>
                </w:pPr>
                <w:r>
                  <w:t xml:space="preserve">CYBER 326</w:t>
                </w:r>
              </w:p>
              <w:p>
                <w:pPr>
                  <w:pStyle w:val="TBEntRefer"/>
                  <w:tabs>
                    <w:tab w:val="left" w:pos="2265"/>
                  </w:tabs>
                </w:pPr>
                <w:r>
                  <w:t xml:space="preserve">COPEN 253</w:t>
                </w:r>
              </w:p>
              <w:p>
                <w:pPr>
                  <w:pStyle w:val="TBEntRefer"/>
                  <w:tabs>
                    <w:tab w:val="left" w:pos="2265"/>
                  </w:tabs>
                </w:pPr>
                <w:r>
                  <w:t xml:space="preserve">FREMP 230</w:t>
                </w:r>
              </w:p>
              <w:p>
                <w:pPr>
                  <w:pStyle w:val="TBEntRefer"/>
                  <w:tabs>
                    <w:tab w:val="left" w:pos="2265"/>
                  </w:tabs>
                </w:pPr>
                <w:r>
                  <w:t xml:space="preserve">TELECOM 361</w:t>
                </w:r>
              </w:p>
              <w:p>
                <w:pPr>
                  <w:pStyle w:val="TBEntRefer"/>
                  <w:tabs>
                    <w:tab w:val="left" w:pos="2265"/>
                  </w:tabs>
                </w:pPr>
                <w:r>
                  <w:t xml:space="preserve">COMPET 894</w:t>
                </w:r>
              </w:p>
              <w:p>
                <w:pPr>
                  <w:pStyle w:val="TBEntRefer"/>
                  <w:tabs>
                    <w:tab w:val="left" w:pos="2265"/>
                  </w:tabs>
                </w:pPr>
                <w:r>
                  <w:t xml:space="preserve">MI 721</w:t>
                </w:r>
              </w:p>
              <w:p>
                <w:pPr>
                  <w:pStyle w:val="TBEntRefer"/>
                  <w:tabs>
                    <w:tab w:val="left" w:pos="2265"/>
                  </w:tabs>
                </w:pPr>
                <w:r>
                  <w:t xml:space="preserve">CONSOM 221</w:t>
                </w:r>
              </w:p>
              <w:p>
                <w:pPr>
                  <w:pStyle w:val="TBEntRefer"/>
                  <w:tabs>
                    <w:tab w:val="left" w:pos="2265"/>
                  </w:tabs>
                </w:pPr>
                <w:r>
                  <w:t xml:space="preserve">DIGIT 185</w:t>
                </w:r>
              </w:p>
              <w:p>
                <w:pPr>
                  <w:pStyle w:val="TBEntRefer"/>
                  <w:tabs>
                    <w:tab w:val="left" w:pos="2265"/>
                  </w:tabs>
                </w:pPr>
                <w:r>
                  <w:t xml:space="preserve">CODEC 1341</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2025/0429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w:t>
                </w:r>
              </w:p>
              <w:p>
                <w:pPr>
                  <w:pStyle w:val="TBSubjectText"/>
                </w:pPr>
                <w:r>
                  <w:t xml:space="preserve">– Statement of the Council's reasons</w:t>
                </w:r>
              </w:p>
              <w:p>
                <w:pPr>
                  <w:pStyle w:val="TBSubjectText"/>
                </w:pPr>
                <w:r>
                  <w:t xml:space="preserve">– Adopted by the Council on 2 July 2026</w:t>
                </w:r>
              </w:p>
            </w:tc>
          </w:tr>
        </w:tbl>
        <w:p w:rsidRPr="002D3C08" w:rsidR="002D3C08" w:rsidP="002D3C08" w:rsidRDefault="002D3C08" w14:paraId="2DF89B2C" w14:textId="77777777">
          <w:pPr>
            <w:spacing w:before="20" w:after="240" w:line="20" w:lineRule="exact"/>
            <w:rPr>
              <w:sz w:val="2"/>
              <w:szCs w:val="2"/>
              <w:lang w:val="fr-FR"/>
            </w:rPr>
          </w:pPr>
        </w:p>
      </w:sdtContent>
    </w:sdt>
    <w:p w:rsidR="00C5160D" w:rsidRDefault="00C5160D" w14:paraId="5F9D30CA" w14:textId="77777777">
      <w:pPr>
        <w:sectPr w:rsidR="00C5160D" w:rsidSect="009C6417">
          <w:headerReference w:type="even" r:id="R655244ee0c484b32"/>
          <w:headerReference w:type="default" r:id="Re6d56d1c71e84b0e"/>
          <w:footerReference w:type="even" r:id="R8d75563483bb45c0"/>
          <w:footerReference w:type="default" r:id="Rc46a5379420d4df4"/>
          <w:headerReference w:type="first" r:id="Rde78a60ee9604b82"/>
          <w:footerReference w:type="first" r:id="R2c8510bec81f4cbd"/>
          <w:pgSz w:w="11907" w:h="16840" w:code="9"/>
          <w:pgMar w:top="624" w:right="1134" w:bottom="1134" w:left="1134" w:header="567" w:footer="567" w:gutter="0"/>
          <w:pgNumType w:start="1"/>
          <w:cols w:space="720"/>
          <w:titlePg/>
          <w:docGrid w:linePitch="360"/>
          <w:pgSz w:w="11907" w:h="16840" w:code="9"/>
          <w:pgSz w:w="11907" w:h="16840" w:code="9"/>
          <w:pgSz w:w="11907" w:h="16840" w:code="9"/>
          <w:pgSz w:w="11907" w:h="16840" w:code="9"/>
          <w:pgSz w:w="11907" w:h="16840" w:code="9"/>
          <w:pgSz w:w="11907" w:h="16840" w:code="9"/>
        </w:sectPr>
      </w:pPr>
    </w:p>
    <w:p w:rsidR="00C5160D" w:rsidP="00C5160D" w:rsidRDefault="00C5160D" w14:paraId="6203E1C6" w14:textId="77777777">
      <w:pPr>
        <w:pStyle w:val="HeadingIVX"/>
      </w:pPr>
      <w:r>
        <w:lastRenderedPageBreak/>
        <w:t>INTRODUCTION</w:t>
      </w:r>
    </w:p>
    <w:p w:rsidRPr="0013628D" w:rsidR="00C5160D" w:rsidP="00C5160D" w:rsidRDefault="00C5160D" w14:paraId="49F94C96" w14:textId="77777777">
      <w:pPr>
        <w:pStyle w:val="Point1231"/>
        <w:rPr>
          <w:kern w:val="2"/>
        </w:rPr>
      </w:pPr>
      <w:bookmarkStart w:name="_Hlk233702141" w:id="2"/>
      <w:r w:rsidRPr="0013628D">
        <w:t>Voluntary detection activities by providers of number-independent interpersonal communications services have played a valuable role in enabling the identification and rescue of victims of online child sexual abuse. Until 20 December 2020, the processing of personal data by providers by means of voluntary measures for the purpose of detecting online child sexual abuse on their services and reporting it and removing online child sexual abuse material from their services was governed solely by Regulation (EU) 2016/679</w:t>
      </w:r>
      <w:r>
        <w:rPr>
          <w:rStyle w:val="FootnoteReference"/>
          <w:rFonts w:eastAsia="Calibri"/>
          <w:szCs w:val="24"/>
        </w:rPr>
        <w:footnoteReference w:id="2"/>
      </w:r>
      <w:r w:rsidRPr="0013628D">
        <w:t>. Directive (EU) 2018/1972</w:t>
      </w:r>
      <w:r>
        <w:rPr>
          <w:rStyle w:val="FootnoteReference"/>
          <w:rFonts w:eastAsia="Calibri"/>
          <w:szCs w:val="24"/>
        </w:rPr>
        <w:footnoteReference w:id="3"/>
      </w:r>
      <w:r w:rsidRPr="0013628D">
        <w:t>, which was to be transposed by 20 December 2020, brought providers within the scope of Directive 2002/58/EC</w:t>
      </w:r>
      <w:r>
        <w:rPr>
          <w:rStyle w:val="FootnoteReference"/>
          <w:rFonts w:eastAsia="Calibri"/>
          <w:szCs w:val="24"/>
        </w:rPr>
        <w:footnoteReference w:id="4"/>
      </w:r>
      <w:r w:rsidRPr="0013628D">
        <w:t xml:space="preserve"> (‘</w:t>
      </w:r>
      <w:proofErr w:type="spellStart"/>
      <w:r w:rsidRPr="0013628D">
        <w:t>ePrivacy</w:t>
      </w:r>
      <w:proofErr w:type="spellEnd"/>
      <w:r w:rsidRPr="0013628D">
        <w:t xml:space="preserve"> Directive’). In the absence of Union or national legislation restricting the scope of the rights and obligations under the </w:t>
      </w:r>
      <w:proofErr w:type="spellStart"/>
      <w:r w:rsidRPr="0013628D">
        <w:t>ePrivacy</w:t>
      </w:r>
      <w:proofErr w:type="spellEnd"/>
      <w:r w:rsidRPr="0013628D">
        <w:t xml:space="preserve"> Directive, providers could therefore </w:t>
      </w:r>
      <w:bookmarkStart w:name="_Hlk233479700" w:id="3"/>
      <w:r w:rsidRPr="0013628D">
        <w:t xml:space="preserve">no longer </w:t>
      </w:r>
      <w:r>
        <w:t xml:space="preserve">rely on Regulation (EU) 2016/679 to </w:t>
      </w:r>
      <w:r w:rsidRPr="0013628D">
        <w:t xml:space="preserve">continue </w:t>
      </w:r>
      <w:r>
        <w:t xml:space="preserve">to </w:t>
      </w:r>
      <w:r w:rsidRPr="0013628D">
        <w:t xml:space="preserve">carry out voluntary measures to detect </w:t>
      </w:r>
      <w:r>
        <w:t xml:space="preserve">and report </w:t>
      </w:r>
      <w:r w:rsidRPr="0013628D">
        <w:t>online child sexual abuse on their services and to remove online child sexual abuse material from their services</w:t>
      </w:r>
      <w:bookmarkEnd w:id="3"/>
      <w:r w:rsidRPr="0013628D">
        <w:t xml:space="preserve"> beyond 20 December 2020.</w:t>
      </w:r>
    </w:p>
    <w:p w:rsidR="00C5160D" w:rsidP="00C5160D" w:rsidRDefault="00C5160D" w14:paraId="7BFBE04B" w14:textId="77777777">
      <w:pPr>
        <w:spacing w:before="0" w:after="200" w:line="276" w:lineRule="auto"/>
      </w:pPr>
      <w:r>
        <w:br w:type="page"/>
      </w:r>
    </w:p>
    <w:p w:rsidR="00C5160D" w:rsidP="00C5160D" w:rsidRDefault="00C5160D" w14:paraId="08D89A3B" w14:textId="77777777">
      <w:pPr>
        <w:pStyle w:val="Point1231"/>
      </w:pPr>
      <w:r>
        <w:lastRenderedPageBreak/>
        <w:t xml:space="preserve">To address this issue </w:t>
      </w:r>
      <w:r w:rsidRPr="00191602">
        <w:t>pending the adoption of a long-term legal framework addressing the prevention of and combating online child sexual abuse</w:t>
      </w:r>
      <w:r>
        <w:t xml:space="preserve">, the co-legislators adopted </w:t>
      </w:r>
      <w:r w:rsidRPr="00191602">
        <w:t>Regulation (EU) 2021/1232</w:t>
      </w:r>
      <w:r>
        <w:rPr>
          <w:rStyle w:val="FootnoteReference"/>
          <w:rFonts w:eastAsia="Calibri"/>
          <w:szCs w:val="24"/>
        </w:rPr>
        <w:footnoteReference w:id="5"/>
      </w:r>
      <w:r>
        <w:t xml:space="preserve"> (‘the CSA Interim Regulation’), which started to apply on 3 August 2021 and</w:t>
      </w:r>
      <w:r w:rsidRPr="00191602">
        <w:t xml:space="preserve"> provided for a temporary </w:t>
      </w:r>
      <w:r>
        <w:t xml:space="preserve">derogation from certain provisions of the </w:t>
      </w:r>
      <w:proofErr w:type="spellStart"/>
      <w:r>
        <w:t>ePrivacy</w:t>
      </w:r>
      <w:proofErr w:type="spellEnd"/>
      <w:r>
        <w:t xml:space="preserve"> Directive for certain providers</w:t>
      </w:r>
      <w:r w:rsidRPr="00191602">
        <w:t xml:space="preserve"> as regards the use of technologies for the purpose of combating online child sexual abuse. </w:t>
      </w:r>
      <w:r>
        <w:t>The CSA Interim</w:t>
      </w:r>
      <w:r w:rsidRPr="004D137E">
        <w:t xml:space="preserve"> Regulation </w:t>
      </w:r>
      <w:r>
        <w:t xml:space="preserve">did not provide a legal ground for the processing of personal data for these activities but </w:t>
      </w:r>
      <w:r w:rsidRPr="004D137E">
        <w:t>la</w:t>
      </w:r>
      <w:r>
        <w:t>id</w:t>
      </w:r>
      <w:r w:rsidRPr="004D137E">
        <w:t xml:space="preserve"> down additional safeguards</w:t>
      </w:r>
      <w:r>
        <w:t xml:space="preserve"> to </w:t>
      </w:r>
      <w:r w:rsidRPr="004D137E">
        <w:t>be respected by providers if they wish to rely on it.</w:t>
      </w:r>
    </w:p>
    <w:p w:rsidRPr="00892A37" w:rsidR="00C5160D" w:rsidP="00C5160D" w:rsidRDefault="00C5160D" w14:paraId="78A17C02" w14:textId="77777777">
      <w:pPr>
        <w:pStyle w:val="Point1231"/>
      </w:pPr>
      <w:r>
        <w:t>On 11 May 2022, the Commission proposed</w:t>
      </w:r>
      <w:r w:rsidRPr="00AE1E03">
        <w:t xml:space="preserve"> a Regulation of the European Parliament and of the Council laying down rules to prevent and combat child sexual abuse</w:t>
      </w:r>
      <w:r>
        <w:t xml:space="preserve"> (‘the long-term legal framework’)</w:t>
      </w:r>
      <w:r w:rsidRPr="004F19C9">
        <w:rPr>
          <w:rStyle w:val="FootnoteReference"/>
          <w:rFonts w:eastAsia="Calibri"/>
          <w:szCs w:val="24"/>
        </w:rPr>
        <w:t xml:space="preserve"> </w:t>
      </w:r>
      <w:r>
        <w:rPr>
          <w:rStyle w:val="FootnoteReference"/>
          <w:rFonts w:eastAsia="Calibri"/>
          <w:szCs w:val="24"/>
        </w:rPr>
        <w:footnoteReference w:id="6"/>
      </w:r>
      <w:r>
        <w:t xml:space="preserve"> which</w:t>
      </w:r>
      <w:r w:rsidRPr="00AE1E03">
        <w:t xml:space="preserve"> aims to provide </w:t>
      </w:r>
      <w:r>
        <w:t>a</w:t>
      </w:r>
      <w:r w:rsidRPr="00AE1E03">
        <w:t xml:space="preserve"> long-term legal framework</w:t>
      </w:r>
      <w:r>
        <w:t xml:space="preserve"> for preventing and combating child sexual abuse online</w:t>
      </w:r>
      <w:r w:rsidRPr="00AE1E03">
        <w:t>. The interinstitutional negotiations on that proposal are still ongoing</w:t>
      </w:r>
      <w:r>
        <w:t>.</w:t>
      </w:r>
    </w:p>
    <w:p w:rsidRPr="00892A37" w:rsidR="00C5160D" w:rsidP="00C5160D" w:rsidRDefault="00C5160D" w14:paraId="661F49DE" w14:textId="77777777">
      <w:pPr>
        <w:pStyle w:val="Point1231"/>
        <w:rPr>
          <w:noProof/>
        </w:rPr>
      </w:pPr>
      <w:r w:rsidRPr="00B8581E">
        <w:t>In April 2024, the CSA Interim Regulation was amended by Regulation (EU) 2024/1307</w:t>
      </w:r>
      <w:r>
        <w:rPr>
          <w:rStyle w:val="FootnoteReference"/>
          <w:rFonts w:eastAsia="Calibri"/>
          <w:szCs w:val="24"/>
        </w:rPr>
        <w:footnoteReference w:id="7"/>
      </w:r>
      <w:r w:rsidRPr="00B8581E">
        <w:t>, that extended the period of application to 3 April 2026, pending the conclusion of the negotiations on the long-term legal framewor</w:t>
      </w:r>
      <w:r>
        <w:t>k.</w:t>
      </w:r>
    </w:p>
    <w:p w:rsidR="00C5160D" w:rsidP="00C5160D" w:rsidRDefault="00C5160D" w14:paraId="5961AE47" w14:textId="77777777">
      <w:pPr>
        <w:pStyle w:val="Point1231"/>
      </w:pPr>
      <w:r w:rsidRPr="00B73A02">
        <w:t>On 19 December 2025</w:t>
      </w:r>
      <w:r>
        <w:t>,</w:t>
      </w:r>
      <w:r w:rsidRPr="00B73A02">
        <w:t xml:space="preserve"> the </w:t>
      </w:r>
      <w:r w:rsidRPr="00CF0D47">
        <w:rPr>
          <w:u w:val="single"/>
        </w:rPr>
        <w:t>Commission</w:t>
      </w:r>
      <w:r w:rsidRPr="00B73A02">
        <w:t xml:space="preserve"> proposed </w:t>
      </w:r>
      <w:r>
        <w:t xml:space="preserve">a Regulation </w:t>
      </w:r>
      <w:r w:rsidRPr="00353E8B">
        <w:t>amending Regulation (EU)</w:t>
      </w:r>
      <w:r>
        <w:t xml:space="preserve"> </w:t>
      </w:r>
      <w:r w:rsidRPr="00353E8B">
        <w:t xml:space="preserve">2021/1232 as regards the extension of its period of application </w:t>
      </w:r>
      <w:r w:rsidRPr="00B73A02">
        <w:t xml:space="preserve">to extend the period of application of </w:t>
      </w:r>
      <w:r>
        <w:t xml:space="preserve">the </w:t>
      </w:r>
      <w:r w:rsidRPr="0060289B">
        <w:t>CSA Interim Regulation</w:t>
      </w:r>
      <w:r>
        <w:t xml:space="preserve"> </w:t>
      </w:r>
      <w:r w:rsidRPr="00B73A02">
        <w:t xml:space="preserve">by two years (‘the extension proposal’). </w:t>
      </w:r>
    </w:p>
    <w:p w:rsidR="00C5160D" w:rsidP="00C5160D" w:rsidRDefault="00C5160D" w14:paraId="1367B176" w14:textId="77777777">
      <w:pPr>
        <w:spacing w:before="0" w:after="200" w:line="276" w:lineRule="auto"/>
      </w:pPr>
      <w:r>
        <w:br w:type="page"/>
      </w:r>
    </w:p>
    <w:p w:rsidRPr="00A93926" w:rsidR="00C5160D" w:rsidP="00C5160D" w:rsidRDefault="00C5160D" w14:paraId="0C0FC347" w14:textId="77777777">
      <w:pPr>
        <w:pStyle w:val="Point1231"/>
      </w:pPr>
      <w:r w:rsidRPr="00A93926">
        <w:lastRenderedPageBreak/>
        <w:t xml:space="preserve">The draft Regulation is based on </w:t>
      </w:r>
      <w:r w:rsidRPr="00CF0D47">
        <w:rPr>
          <w:u w:val="single"/>
        </w:rPr>
        <w:t>Articles 16</w:t>
      </w:r>
      <w:r>
        <w:rPr>
          <w:u w:val="single"/>
        </w:rPr>
        <w:t>(2),</w:t>
      </w:r>
      <w:r w:rsidRPr="00CF0D47">
        <w:rPr>
          <w:u w:val="single"/>
        </w:rPr>
        <w:t xml:space="preserve"> </w:t>
      </w:r>
      <w:r>
        <w:rPr>
          <w:u w:val="single"/>
        </w:rPr>
        <w:t>in conjunction with Article</w:t>
      </w:r>
      <w:r w:rsidRPr="00CF0D47">
        <w:rPr>
          <w:u w:val="single"/>
        </w:rPr>
        <w:t xml:space="preserve"> 114</w:t>
      </w:r>
      <w:r>
        <w:rPr>
          <w:u w:val="single"/>
        </w:rPr>
        <w:t xml:space="preserve">(1) </w:t>
      </w:r>
      <w:r w:rsidRPr="00CF0D47">
        <w:rPr>
          <w:u w:val="single"/>
        </w:rPr>
        <w:t>of the Treaty on the Functioning of the European Union</w:t>
      </w:r>
      <w:r w:rsidRPr="00A93926">
        <w:t xml:space="preserve"> (TFEU) (ordinary legislative procedure).</w:t>
      </w:r>
    </w:p>
    <w:p w:rsidR="00C5160D" w:rsidP="00C5160D" w:rsidRDefault="00C5160D" w14:paraId="53C3323D" w14:textId="77777777">
      <w:pPr>
        <w:pStyle w:val="Point1231"/>
      </w:pPr>
      <w:r w:rsidRPr="00A93926">
        <w:t xml:space="preserve">The opinion of the </w:t>
      </w:r>
      <w:r w:rsidRPr="00CF0D47">
        <w:rPr>
          <w:u w:val="single"/>
        </w:rPr>
        <w:t>European Economic and Social Committee</w:t>
      </w:r>
      <w:r w:rsidRPr="00A93926">
        <w:t xml:space="preserve"> was </w:t>
      </w:r>
      <w:r>
        <w:t>delivered</w:t>
      </w:r>
      <w:r w:rsidRPr="00A93926">
        <w:t xml:space="preserve"> on 21</w:t>
      </w:r>
      <w:r>
        <w:t> </w:t>
      </w:r>
      <w:r w:rsidRPr="00A93926">
        <w:t>January 2026.</w:t>
      </w:r>
    </w:p>
    <w:p w:rsidR="00C5160D" w:rsidP="00C5160D" w:rsidRDefault="00C5160D" w14:paraId="026B37E3" w14:textId="77777777">
      <w:pPr>
        <w:pStyle w:val="Point1231"/>
      </w:pPr>
      <w:r w:rsidRPr="00B73A02">
        <w:t xml:space="preserve">The </w:t>
      </w:r>
      <w:r w:rsidRPr="00CF0D47">
        <w:rPr>
          <w:u w:val="single"/>
        </w:rPr>
        <w:t>Permanent Representatives Committee</w:t>
      </w:r>
      <w:r w:rsidRPr="00B73A02">
        <w:t xml:space="preserve"> reached a mandate for negotiations with the European Parliament on 28 January 2026</w:t>
      </w:r>
      <w:r w:rsidRPr="00B8581E">
        <w:rPr>
          <w:b/>
          <w:vertAlign w:val="superscript"/>
        </w:rPr>
        <w:footnoteReference w:id="8"/>
      </w:r>
      <w:r w:rsidRPr="00B73A02">
        <w:t xml:space="preserve">, essentially accepting the Commission’s proposal to extend the period of application of </w:t>
      </w:r>
      <w:r w:rsidRPr="0060289B">
        <w:t xml:space="preserve">the CSA Interim Regulation </w:t>
      </w:r>
      <w:r w:rsidRPr="00B73A02">
        <w:t>for a period of two years until 3</w:t>
      </w:r>
      <w:r>
        <w:t> </w:t>
      </w:r>
      <w:r w:rsidRPr="00B73A02">
        <w:t xml:space="preserve">April 2028. </w:t>
      </w:r>
    </w:p>
    <w:p w:rsidRPr="00A93926" w:rsidR="00C5160D" w:rsidP="00C5160D" w:rsidRDefault="00C5160D" w14:paraId="664BBE41" w14:textId="77777777">
      <w:pPr>
        <w:pStyle w:val="Point1231"/>
        <w:rPr>
          <w:rFonts w:eastAsia="Calibri"/>
        </w:rPr>
      </w:pPr>
      <w:r w:rsidRPr="00A93926">
        <w:t xml:space="preserve">In the </w:t>
      </w:r>
      <w:r w:rsidRPr="00CF0D47">
        <w:rPr>
          <w:u w:val="single"/>
        </w:rPr>
        <w:t>European Parliament</w:t>
      </w:r>
      <w:r w:rsidRPr="00A93926">
        <w:t xml:space="preserve">, the Committee on Civil Liberties, Justice and Home Affairs (LIBE) has the lead responsibility. Birgit Sippel (S&amp;D, DE) was appointed rapporteur. </w:t>
      </w:r>
      <w:r w:rsidRPr="00B73A02">
        <w:t>On 11</w:t>
      </w:r>
      <w:r>
        <w:t> </w:t>
      </w:r>
      <w:r w:rsidRPr="00B73A02">
        <w:t xml:space="preserve">March 2026, the plenary of the </w:t>
      </w:r>
      <w:r w:rsidRPr="00CB4869">
        <w:rPr>
          <w:rFonts w:eastAsia="Calibri"/>
        </w:rPr>
        <w:t>European</w:t>
      </w:r>
      <w:r w:rsidRPr="00B73A02">
        <w:t xml:space="preserve"> Parliament approved a mandate for interinstitutional negotiations, which introduced amendments to the Commission’s proposal</w:t>
      </w:r>
      <w:r>
        <w:t xml:space="preserve"> which significantly limited the scope of the derogation</w:t>
      </w:r>
      <w:r w:rsidRPr="00B73A02">
        <w:t xml:space="preserve">. </w:t>
      </w:r>
    </w:p>
    <w:p w:rsidR="00C5160D" w:rsidP="00C5160D" w:rsidRDefault="00C5160D" w14:paraId="02CEA5B3" w14:textId="77777777">
      <w:pPr>
        <w:pStyle w:val="Point1231"/>
      </w:pPr>
      <w:r w:rsidRPr="00B73A02">
        <w:t>Following</w:t>
      </w:r>
      <w:r>
        <w:t xml:space="preserve"> </w:t>
      </w:r>
      <w:r w:rsidRPr="00CF0D47">
        <w:rPr>
          <w:u w:val="single"/>
        </w:rPr>
        <w:t>interinstitutional negotiations</w:t>
      </w:r>
      <w:r>
        <w:t xml:space="preserve"> in</w:t>
      </w:r>
      <w:r w:rsidRPr="00B73A02">
        <w:t xml:space="preserve"> two trilogues (on 12 March 2026 and 16</w:t>
      </w:r>
      <w:r>
        <w:t> </w:t>
      </w:r>
      <w:r w:rsidRPr="00B73A02">
        <w:t xml:space="preserve">March 2026), the co-legislators were not able to reach an agreement on the extension proposal. </w:t>
      </w:r>
    </w:p>
    <w:p w:rsidRPr="00A93926" w:rsidR="00C5160D" w:rsidP="00C5160D" w:rsidRDefault="00C5160D" w14:paraId="4CB78597" w14:textId="77777777">
      <w:pPr>
        <w:pStyle w:val="Point1231"/>
      </w:pPr>
      <w:r w:rsidRPr="00B73A02">
        <w:t xml:space="preserve">On 26 March 2026, the </w:t>
      </w:r>
      <w:r>
        <w:t xml:space="preserve">plenary of the </w:t>
      </w:r>
      <w:r w:rsidRPr="00CF0D47">
        <w:rPr>
          <w:u w:val="single"/>
        </w:rPr>
        <w:t>European Parliament</w:t>
      </w:r>
      <w:r w:rsidRPr="00B73A02">
        <w:t xml:space="preserve"> rejected the extension proposal</w:t>
      </w:r>
      <w:r>
        <w:t xml:space="preserve"> at first reading</w:t>
      </w:r>
      <w:r>
        <w:rPr>
          <w:rStyle w:val="FootnoteReference"/>
          <w:rFonts w:eastAsia="Calibri"/>
          <w:szCs w:val="24"/>
        </w:rPr>
        <w:footnoteReference w:id="9"/>
      </w:r>
      <w:r w:rsidRPr="00B73A02">
        <w:t xml:space="preserve">. </w:t>
      </w:r>
      <w:r>
        <w:t xml:space="preserve">The CSA Interim </w:t>
      </w:r>
      <w:r w:rsidRPr="00B73A02">
        <w:t xml:space="preserve">Regulation </w:t>
      </w:r>
      <w:r>
        <w:t>therefore</w:t>
      </w:r>
      <w:r w:rsidRPr="00B73A02">
        <w:t xml:space="preserve"> expired</w:t>
      </w:r>
      <w:r>
        <w:t xml:space="preserve"> on 3 April 2026, with the consequence that, as of that date, providers can no longer</w:t>
      </w:r>
      <w:r w:rsidRPr="004D0C82">
        <w:t xml:space="preserve"> </w:t>
      </w:r>
      <w:r>
        <w:t>rely on Regulation (EU) 2016/679 to</w:t>
      </w:r>
      <w:r w:rsidRPr="004D0C82" w:rsidDel="00FC2A2B">
        <w:t xml:space="preserve"> </w:t>
      </w:r>
      <w:r w:rsidRPr="004D0C82">
        <w:t>continue carrying out voluntary measures to detect and report online child sexual abuse on their services and to remove online child sexual abuse material from their services</w:t>
      </w:r>
      <w:r>
        <w:t>.</w:t>
      </w:r>
    </w:p>
    <w:p w:rsidR="00C5160D" w:rsidP="00C5160D" w:rsidRDefault="00C5160D" w14:paraId="378CC93A" w14:textId="77777777">
      <w:pPr>
        <w:spacing w:before="0" w:after="200" w:line="276" w:lineRule="auto"/>
      </w:pPr>
      <w:r>
        <w:br w:type="page"/>
      </w:r>
    </w:p>
    <w:p w:rsidR="00C5160D" w:rsidP="00C5160D" w:rsidRDefault="00C5160D" w14:paraId="2F10789C" w14:textId="77777777">
      <w:pPr>
        <w:pStyle w:val="Point1231"/>
      </w:pPr>
      <w:r w:rsidRPr="00A93926">
        <w:lastRenderedPageBreak/>
        <w:t xml:space="preserve">On 18 June 2026, the </w:t>
      </w:r>
      <w:r w:rsidRPr="00CF0D47">
        <w:rPr>
          <w:u w:val="single"/>
        </w:rPr>
        <w:t>President of the European Parliament</w:t>
      </w:r>
      <w:r w:rsidRPr="00A93926">
        <w:t xml:space="preserve"> said in her address to the European Council that it was time to move on with the proposal for the CSA Interim Regulation and to look at how to find political agreement </w:t>
      </w:r>
      <w:r>
        <w:t>at</w:t>
      </w:r>
      <w:r w:rsidRPr="00A93926">
        <w:t xml:space="preserve"> second reading.</w:t>
      </w:r>
    </w:p>
    <w:p w:rsidRPr="000C5660" w:rsidR="00C5160D" w:rsidP="00C5160D" w:rsidRDefault="00C5160D" w14:paraId="25EFB78A" w14:textId="77777777">
      <w:pPr>
        <w:pStyle w:val="Point1231"/>
      </w:pPr>
      <w:r w:rsidRPr="000C5660">
        <w:t xml:space="preserve">On 25 June 2026, the </w:t>
      </w:r>
      <w:r w:rsidRPr="000C5660">
        <w:rPr>
          <w:u w:val="single"/>
        </w:rPr>
        <w:t>European Parliament’s rapporteur</w:t>
      </w:r>
      <w:r w:rsidRPr="000C5660">
        <w:t xml:space="preserve"> of th</w:t>
      </w:r>
      <w:r>
        <w:t>e file sent a letter to the Presidency of the Council emphasising the temporary nature of the derogation under the CSA Interim Regulation</w:t>
      </w:r>
      <w:r w:rsidRPr="000C5660">
        <w:t xml:space="preserve"> and </w:t>
      </w:r>
      <w:r>
        <w:t xml:space="preserve">urging the Council </w:t>
      </w:r>
      <w:r w:rsidRPr="000C5660">
        <w:t xml:space="preserve">to direct </w:t>
      </w:r>
      <w:r>
        <w:t>the</w:t>
      </w:r>
      <w:r w:rsidRPr="000C5660">
        <w:t xml:space="preserve"> efforts toward the development of the long-term legal framework</w:t>
      </w:r>
      <w:r>
        <w:t>.</w:t>
      </w:r>
    </w:p>
    <w:p w:rsidR="00C5160D" w:rsidP="00C5160D" w:rsidRDefault="00C5160D" w14:paraId="7860EBD1" w14:textId="77777777">
      <w:pPr>
        <w:pStyle w:val="Point1231"/>
      </w:pPr>
      <w:r>
        <w:t xml:space="preserve">On 26 June 2026, the </w:t>
      </w:r>
      <w:r w:rsidRPr="000C5660">
        <w:rPr>
          <w:u w:val="single"/>
        </w:rPr>
        <w:t>Permanent Representatives Committee</w:t>
      </w:r>
      <w:r>
        <w:t xml:space="preserve"> provided guidance to the Presidency and agreed to proceed with the adoption of a Council position at first reading as a matter of urgency.</w:t>
      </w:r>
    </w:p>
    <w:p w:rsidRPr="00354CF2" w:rsidR="00C5160D" w:rsidP="00C5160D" w:rsidRDefault="00C5160D" w14:paraId="3943A417" w14:textId="0D912D18">
      <w:pPr>
        <w:pStyle w:val="Point1231"/>
      </w:pPr>
      <w:r w:rsidRPr="00323F6E">
        <w:t xml:space="preserve">Following legal/linguistic revision, the Council adopted its position at first reading on </w:t>
      </w:r>
      <w:r w:rsidRPr="00C5160D">
        <w:t>2</w:t>
      </w:r>
      <w:r>
        <w:t> </w:t>
      </w:r>
      <w:r w:rsidRPr="00C5160D">
        <w:t>July</w:t>
      </w:r>
      <w:r>
        <w:t> 2026</w:t>
      </w:r>
      <w:r w:rsidRPr="00EB42BE">
        <w:t>.</w:t>
      </w:r>
      <w:bookmarkEnd w:id="2"/>
    </w:p>
    <w:p w:rsidRPr="00354CF2" w:rsidR="00C5160D" w:rsidP="00C5160D" w:rsidRDefault="00C5160D" w14:paraId="72FAE73C" w14:textId="77777777">
      <w:pPr>
        <w:pStyle w:val="HeadingIVX"/>
      </w:pPr>
      <w:r w:rsidRPr="00354CF2">
        <w:t xml:space="preserve">REASONS FOR THE COUNCIL'S POSITION AT FIRST READING </w:t>
      </w:r>
    </w:p>
    <w:p w:rsidR="00C5160D" w:rsidP="00C5160D" w:rsidRDefault="00C5160D" w14:paraId="1E85E3AE" w14:textId="18D43287">
      <w:pPr>
        <w:pStyle w:val="Point1231"/>
      </w:pPr>
      <w:r>
        <w:t xml:space="preserve"> The Council regrets that it was not possible to reach political agreement with the European Parliament on the extension of the CSA Interim Regulation at first reading. However, given the importance of avoiding a prolonged legal gap in the fight against online child sexual abuse and the fact that the interinstitutional </w:t>
      </w:r>
      <w:r>
        <w:t xml:space="preserve"> </w:t>
      </w:r>
      <w:r>
        <w:t xml:space="preserve"> on the long-term legal framework are still ongoing, </w:t>
      </w:r>
      <w:r w:rsidRPr="00AE1E03">
        <w:t xml:space="preserve">the Council decided to adopt </w:t>
      </w:r>
      <w:r>
        <w:t>a</w:t>
      </w:r>
      <w:r w:rsidRPr="00AE1E03">
        <w:t xml:space="preserve"> position at first reading under Article 294(5) TFEU and to communicate it to the European Parliament together with the present statement of reasons.</w:t>
      </w:r>
      <w:r>
        <w:t xml:space="preserve"> </w:t>
      </w:r>
    </w:p>
    <w:p w:rsidR="00C5160D" w:rsidP="00C5160D" w:rsidRDefault="00C5160D" w14:paraId="117C5FDB" w14:textId="77777777">
      <w:pPr>
        <w:spacing w:before="0" w:after="200" w:line="276" w:lineRule="auto"/>
      </w:pPr>
      <w:r>
        <w:br w:type="page"/>
      </w:r>
    </w:p>
    <w:p w:rsidR="00C5160D" w:rsidP="00C5160D" w:rsidRDefault="00C5160D" w14:paraId="6B761FA2" w14:textId="77777777">
      <w:pPr>
        <w:pStyle w:val="Point1231"/>
      </w:pPr>
      <w:r>
        <w:lastRenderedPageBreak/>
        <w:t xml:space="preserve">Since the Commission proposal </w:t>
      </w:r>
      <w:r w:rsidRPr="00D3762C">
        <w:t>for a Regulation amending Regulation (EU) 2021/1232 as regards the extension of its period of application</w:t>
      </w:r>
      <w:r>
        <w:t xml:space="preserve"> provided for an extension of a regulation that has expired and therefore cannot be extended anymore, the Council intends to adopt the entire text of the expired </w:t>
      </w:r>
      <w:r w:rsidRPr="0060289B">
        <w:t xml:space="preserve">CSA Interim Regulation </w:t>
      </w:r>
      <w:r>
        <w:t>in its most recent version as a new self-standing Regulation, with adaptations of dates and deletions of irrelevant provisions under the title “</w:t>
      </w:r>
      <w:r w:rsidRPr="00353E8B">
        <w:rPr>
          <w:u w:val="single"/>
        </w:rPr>
        <w:t>Regulation of the European Parliament and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w:t>
      </w:r>
      <w:r>
        <w:t>.”</w:t>
      </w:r>
    </w:p>
    <w:p w:rsidR="00C5160D" w:rsidP="00C5160D" w:rsidRDefault="00C5160D" w14:paraId="2DA88A35" w14:textId="77777777">
      <w:pPr>
        <w:pStyle w:val="Point1231"/>
      </w:pPr>
      <w:r w:rsidRPr="00962F49">
        <w:t xml:space="preserve">Given the importance of effectively combatting child sexual abuse online and pending the adoption and application of the long-term legal framework, it is necessary to allow for a temporary derogation from Articles 5(1) and 6(1) of Directive 2002/58/EC in compliance with the conditions set out in this Regulation. Given the particular circumstances, the period of application of this Regulation should be limited </w:t>
      </w:r>
      <w:r>
        <w:t xml:space="preserve">until 3 April 2028 </w:t>
      </w:r>
      <w:r w:rsidRPr="00962F49">
        <w:t>to allow for the necessary time for the long-term legal framework to be adopted and to enter into application.</w:t>
      </w:r>
    </w:p>
    <w:p w:rsidR="00C5160D" w:rsidP="00C5160D" w:rsidRDefault="00C5160D" w14:paraId="35CACC93" w14:textId="77777777">
      <w:pPr>
        <w:pStyle w:val="Point1231"/>
      </w:pPr>
      <w:r w:rsidRPr="00962F49">
        <w:t xml:space="preserve">Considering the need to ensure, in a timely manner, legal certainty given the expiration of </w:t>
      </w:r>
      <w:r w:rsidRPr="0060289B">
        <w:t>the CSA Interim Regulation</w:t>
      </w:r>
      <w:r w:rsidRPr="00962F49">
        <w:t>, it is appropriate to provide that this Regulation should enter into force as soon as possible.</w:t>
      </w:r>
    </w:p>
    <w:p w:rsidR="00C5160D" w:rsidP="00C5160D" w:rsidRDefault="00C5160D" w14:paraId="4016FB85" w14:textId="77777777">
      <w:pPr>
        <w:pStyle w:val="Point1231"/>
      </w:pPr>
      <w:r w:rsidRPr="00983106">
        <w:t xml:space="preserve">The Council's position </w:t>
      </w:r>
      <w:r>
        <w:t xml:space="preserve">at first reading follows </w:t>
      </w:r>
      <w:r w:rsidRPr="00983106">
        <w:t>the main objective of the Commission</w:t>
      </w:r>
      <w:r>
        <w:t>’s extension</w:t>
      </w:r>
      <w:r w:rsidRPr="00983106">
        <w:t xml:space="preserve"> proposal</w:t>
      </w:r>
      <w:r>
        <w:t xml:space="preserve"> to continue </w:t>
      </w:r>
      <w:r w:rsidRPr="00983106">
        <w:t>effectively combatting child sexual abuse online pending the adoption and application of the long-term legal framework</w:t>
      </w:r>
      <w:r>
        <w:t>.</w:t>
      </w:r>
    </w:p>
    <w:p w:rsidR="00C5160D" w:rsidP="00C5160D" w:rsidRDefault="00C5160D" w14:paraId="4CBBE82B" w14:textId="77777777">
      <w:pPr>
        <w:spacing w:before="0" w:after="200" w:line="276" w:lineRule="auto"/>
        <w:rPr>
          <w:b/>
          <w:caps/>
          <w:u w:val="single"/>
        </w:rPr>
      </w:pPr>
      <w:r>
        <w:br w:type="page"/>
      </w:r>
    </w:p>
    <w:p w:rsidR="00C5160D" w:rsidP="00C5160D" w:rsidRDefault="00C5160D" w14:paraId="5FC6A511" w14:textId="77777777">
      <w:pPr>
        <w:pStyle w:val="HeadingIVX"/>
      </w:pPr>
      <w:r>
        <w:lastRenderedPageBreak/>
        <w:t>CONCLUSION</w:t>
      </w:r>
    </w:p>
    <w:p w:rsidRPr="00354CF2" w:rsidR="00C5160D" w:rsidP="00C5160D" w:rsidRDefault="00C5160D" w14:paraId="62B76925" w14:textId="77777777">
      <w:pPr>
        <w:pStyle w:val="Point1231"/>
      </w:pPr>
      <w:r>
        <w:t xml:space="preserve"> </w:t>
      </w:r>
      <w:r w:rsidRPr="00AE1E03">
        <w:t xml:space="preserve">The Council’s position at first reading </w:t>
      </w:r>
      <w:r>
        <w:t>aims at</w:t>
      </w:r>
      <w:r w:rsidRPr="00AE1E03">
        <w:t xml:space="preserve"> the </w:t>
      </w:r>
      <w:r>
        <w:t xml:space="preserve">swift </w:t>
      </w:r>
      <w:r w:rsidRPr="00AE1E03">
        <w:t xml:space="preserve">closing of the legal </w:t>
      </w:r>
      <w:r>
        <w:t>gap created by the expiry of the CSA Interim Regulation, by</w:t>
      </w:r>
      <w:r w:rsidRPr="00AE1E03">
        <w:t xml:space="preserve"> allowing </w:t>
      </w:r>
      <w:r>
        <w:t xml:space="preserve">for a temporary and conditional derogation from Directive 2002/58/EC of </w:t>
      </w:r>
      <w:r w:rsidRPr="00AE1E03">
        <w:t>certain voluntary measures for the detection of online child sexual abuse</w:t>
      </w:r>
      <w:r>
        <w:t>. The Council’s position aims at ensuring that these voluntary measures that are taken for the protection of children online can continue until a long-term framework for such protection is implemented</w:t>
      </w:r>
      <w:r w:rsidRPr="00AE1E03">
        <w:t xml:space="preserve">. </w:t>
      </w:r>
    </w:p>
    <w:p w:rsidR="006377A2" w:rsidRDefault="006377A2" w14:paraId="74A34DB7" w14:textId="77777777">
      <w:pPr>
        <w:pStyle w:val="FinalLine"/>
      </w:pPr>
    </w:p>
    <w:sectPr w:rsidR="006377A2" w:rsidSect="009C6417">
      <w:headerReference w:type="even" r:id="Ra6c52868e80942a7"/>
      <w:headerReference w:type="default" r:id="Rcc853572a5254ea6"/>
      <w:footerReference w:type="even" r:id="Ra9230cc2811a4cc4"/>
      <w:headerReference w:type="first" r:id="R7383059f59c84821"/>
      <w:footerReference w:type="first" r:id="R0197014cc77741ac"/>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77A2" w:rsidRDefault="006377A2" w14:paraId="74A34DC0"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160D" w:rsidRDefault="00C5160D" w14:paraId="5F60C5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C5160D" w:rsidTr="00D94637" w14:paraId="09A26880" w14:textId="77777777">
      <w:trPr>
        <w:jc w:val="center"/>
      </w:trPr>
      <w:tc>
        <w:tcPr>
          <w:tcW w:w="5000" w:type="pct"/>
          <w:gridSpan w:val="7"/>
          <w:shd w:val="clear" w:color="auto" w:fill="auto"/>
          <w:tcMar>
            <w:top w:w="57" w:type="dxa"/>
          </w:tcMar>
        </w:tcPr>
        <w:p w:rsidRPr="00D94637" w:rsidR="00C5160D" w:rsidP="00D94637" w:rsidRDefault="00C5160D" w14:paraId="331361F9" w14:textId="77777777">
          <w:pPr>
            <w:pStyle w:val="FooterText"/>
            <w:pBdr>
              <w:top w:val="single" w:color="auto" w:sz="4" w:space="1"/>
            </w:pBdr>
            <w:spacing w:before="200"/>
            <w:rPr>
              <w:sz w:val="2"/>
              <w:szCs w:val="2"/>
            </w:rPr>
          </w:pPr>
        </w:p>
      </w:tc>
    </w:tr>
    <w:tr w:rsidRPr="00B310DC" w:rsidR="00C5160D" w:rsidTr="00842D7E" w14:paraId="149D94DF" w14:textId="77777777">
      <w:trPr>
        <w:jc w:val="center"/>
      </w:trPr>
      <w:tc>
        <w:tcPr>
          <w:tcW w:w="2500" w:type="pct"/>
          <w:gridSpan w:val="2"/>
          <w:shd w:val="clear" w:color="auto" w:fill="auto"/>
          <w:tcMar>
            <w:top w:w="0" w:type="dxa"/>
          </w:tcMar>
        </w:tcPr>
        <w:p w:rsidRPr="00AD7BF2" w:rsidR="00C5160D" w:rsidP="004F54B2" w:rsidRDefault="00C5160D" w14:paraId="368F9E37" w14:textId="77777777">
          <w:pPr>
            <w:pStyle w:val="FooterText"/>
          </w:pPr>
          <w:r>
            <w:t>11261/26</w:t>
          </w:r>
          <w:r w:rsidRPr="002511D8">
            <w:t xml:space="preserve"> </w:t>
          </w:r>
          <w:r>
            <w:t>ADD 1</w:t>
          </w:r>
        </w:p>
      </w:tc>
      <w:tc>
        <w:tcPr>
          <w:tcW w:w="625" w:type="pct"/>
          <w:shd w:val="clear" w:color="auto" w:fill="auto"/>
          <w:tcMar>
            <w:top w:w="0" w:type="dxa"/>
          </w:tcMar>
        </w:tcPr>
        <w:p w:rsidRPr="00AD7BF2" w:rsidR="00C5160D" w:rsidP="00D94637" w:rsidRDefault="00C5160D" w14:paraId="3EB561CC" w14:textId="77777777">
          <w:pPr>
            <w:pStyle w:val="FooterText"/>
            <w:jc w:val="center"/>
          </w:pPr>
        </w:p>
      </w:tc>
      <w:tc>
        <w:tcPr>
          <w:tcW w:w="1286" w:type="pct"/>
          <w:gridSpan w:val="3"/>
          <w:shd w:val="clear" w:color="auto" w:fill="auto"/>
          <w:tcMar>
            <w:top w:w="0" w:type="dxa"/>
          </w:tcMar>
        </w:tcPr>
        <w:p w:rsidRPr="002511D8" w:rsidR="00C5160D" w:rsidP="00D94637" w:rsidRDefault="00C5160D" w14:paraId="4F75A354" w14:textId="77777777">
          <w:pPr>
            <w:pStyle w:val="FooterText"/>
            <w:jc w:val="center"/>
          </w:pPr>
        </w:p>
      </w:tc>
      <w:tc>
        <w:tcPr>
          <w:tcW w:w="589" w:type="pct"/>
          <w:shd w:val="clear" w:color="auto" w:fill="auto"/>
          <w:tcMar>
            <w:top w:w="0" w:type="dxa"/>
          </w:tcMar>
        </w:tcPr>
        <w:p w:rsidRPr="00B310DC" w:rsidR="00C5160D" w:rsidP="00D94637" w:rsidRDefault="00C5160D" w14:paraId="6F07ADA5"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C5160D" w:rsidTr="00430704" w14:paraId="7E70DF9F" w14:textId="77777777">
      <w:trPr>
        <w:jc w:val="center"/>
      </w:trPr>
      <w:tc>
        <w:tcPr>
          <w:tcW w:w="1774" w:type="pct"/>
          <w:shd w:val="clear" w:color="auto" w:fill="auto"/>
        </w:tcPr>
        <w:p w:rsidRPr="00AD7BF2" w:rsidR="00C5160D" w:rsidP="00D94637" w:rsidRDefault="00C5160D" w14:paraId="7C64E149" w14:textId="77777777">
          <w:pPr>
            <w:pStyle w:val="FooterText"/>
            <w:spacing w:before="40"/>
          </w:pPr>
        </w:p>
      </w:tc>
      <w:tc>
        <w:tcPr>
          <w:tcW w:w="1455" w:type="pct"/>
          <w:gridSpan w:val="3"/>
          <w:shd w:val="clear" w:color="auto" w:fill="auto"/>
        </w:tcPr>
        <w:p w:rsidRPr="00AD7BF2" w:rsidR="00C5160D" w:rsidP="00D204D6" w:rsidRDefault="00C5160D" w14:paraId="4523A927" w14:textId="77777777">
          <w:pPr>
            <w:pStyle w:val="FooterText"/>
            <w:spacing w:before="40"/>
            <w:jc w:val="center"/>
          </w:pPr>
          <w:r>
            <w:t>JAI.1</w:t>
          </w:r>
        </w:p>
      </w:tc>
      <w:tc>
        <w:tcPr>
          <w:tcW w:w="742" w:type="pct"/>
          <w:shd w:val="clear" w:color="auto" w:fill="auto"/>
        </w:tcPr>
        <w:p w:rsidRPr="00D94637" w:rsidR="00C5160D" w:rsidP="002F0099" w:rsidRDefault="00C5160D" w14:paraId="041D0BEC" w14:textId="77777777">
          <w:pPr>
            <w:pStyle w:val="FooterText"/>
            <w:jc w:val="center"/>
            <w:rPr>
              <w:b/>
              <w:position w:val="-4"/>
              <w:sz w:val="36"/>
            </w:rPr>
          </w:pPr>
        </w:p>
      </w:tc>
      <w:tc>
        <w:tcPr>
          <w:tcW w:w="1029" w:type="pct"/>
          <w:gridSpan w:val="2"/>
          <w:shd w:val="clear" w:color="auto" w:fill="auto"/>
        </w:tcPr>
        <w:p w:rsidRPr="00695BAF" w:rsidR="00C5160D" w:rsidP="00D94637" w:rsidRDefault="00C5160D" w14:paraId="695F0C89" w14:textId="77777777">
          <w:pPr>
            <w:pStyle w:val="FooterText"/>
            <w:jc w:val="right"/>
            <w:rPr>
              <w:caps/>
              <w:spacing w:val="-20"/>
              <w:sz w:val="16"/>
            </w:rPr>
          </w:pPr>
          <w:r>
            <w:rPr>
              <w:b/>
              <w:caps/>
              <w:spacing w:val="-20"/>
              <w:position w:val="-4"/>
              <w:sz w:val="36"/>
            </w:rPr>
            <w:t>EN</w:t>
          </w:r>
        </w:p>
      </w:tc>
    </w:tr>
  </w:tbl>
  <w:p w:rsidR="00C5160D" w:rsidRDefault="00C5160D" w14:paraId="4B3FE0A1"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74A34DBA" w14:textId="77777777">
      <w:r>
        <w:separator/>
      </w:r>
    </w:p>
  </w:footnote>
  <w:footnote w:type="continuationSeparator" w:id="0">
    <w:p w:rsidR="00144FF1" w:rsidP="00A43C50" w:rsidRDefault="00144FF1" w14:paraId="74A34DBB" w14:textId="77777777">
      <w:r>
        <w:continuationSeparator/>
      </w:r>
    </w:p>
  </w:footnote>
  <w:footnote w:id="2">
    <w:p w:rsidRPr="00790C67" w:rsidR="00C5160D" w:rsidP="00C5160D" w:rsidRDefault="00C5160D" w14:paraId="7191EC8D" w14:textId="77777777">
      <w:pPr>
        <w:pStyle w:val="FootnoteText"/>
        <w:ind w:left="567" w:hanging="567"/>
        <w:rPr>
          <w:szCs w:val="24"/>
        </w:rPr>
      </w:pPr>
      <w:r w:rsidRPr="00790C67">
        <w:rPr>
          <w:rStyle w:val="FootnoteReference"/>
          <w:szCs w:val="24"/>
        </w:rPr>
        <w:footnoteRef/>
      </w:r>
      <w:r w:rsidRPr="00790C67">
        <w:rPr>
          <w:szCs w:val="24"/>
        </w:rPr>
        <w:t xml:space="preserve"> </w:t>
      </w:r>
      <w:r w:rsidRPr="00790C67">
        <w:rPr>
          <w:szCs w:val="24"/>
        </w:rP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pp. 1–88.</w:t>
      </w:r>
    </w:p>
  </w:footnote>
  <w:footnote w:id="3">
    <w:p w:rsidRPr="00790C67" w:rsidR="00C5160D" w:rsidP="00C5160D" w:rsidRDefault="00C5160D" w14:paraId="062CDFC0" w14:textId="77777777">
      <w:pPr>
        <w:pStyle w:val="FootnoteText"/>
        <w:ind w:left="567" w:hanging="567"/>
        <w:rPr>
          <w:szCs w:val="24"/>
        </w:rPr>
      </w:pPr>
      <w:r w:rsidRPr="00790C67">
        <w:rPr>
          <w:rStyle w:val="FootnoteReference"/>
          <w:szCs w:val="24"/>
        </w:rPr>
        <w:footnoteRef/>
      </w:r>
      <w:r w:rsidRPr="00790C67">
        <w:rPr>
          <w:szCs w:val="24"/>
        </w:rPr>
        <w:t xml:space="preserve"> </w:t>
      </w:r>
      <w:r w:rsidRPr="00790C67">
        <w:rPr>
          <w:szCs w:val="24"/>
        </w:rPr>
        <w:tab/>
        <w:t>Directive (EU) 2018/1972 of the European Parliament and of the Council of 11 December 2018 establishing the European Electronic Communications Code (Recast), OJ L 321, 17.12.2018, pp. 36–214.</w:t>
      </w:r>
    </w:p>
  </w:footnote>
  <w:footnote w:id="4">
    <w:p w:rsidR="00C5160D" w:rsidP="00C5160D" w:rsidRDefault="00C5160D" w14:paraId="02908C6A" w14:textId="77777777">
      <w:pPr>
        <w:pStyle w:val="FootnoteText"/>
        <w:ind w:left="567" w:hanging="567"/>
      </w:pPr>
      <w:r w:rsidRPr="00790C67">
        <w:rPr>
          <w:rStyle w:val="FootnoteReference"/>
          <w:szCs w:val="24"/>
        </w:rPr>
        <w:footnoteRef/>
      </w:r>
      <w:r w:rsidRPr="00790C67">
        <w:rPr>
          <w:szCs w:val="24"/>
        </w:rPr>
        <w:t xml:space="preserve"> </w:t>
      </w:r>
      <w:r w:rsidRPr="00790C67">
        <w:rPr>
          <w:szCs w:val="24"/>
        </w:rPr>
        <w:tab/>
        <w:t>Directive 2002/58/EC of the European Parliament and of the Council of 12 July 2002 concerning the processing of personal data and the protection of privacy in the electronic communications sector (Directive on privacy and electronic communications), OJ L 201, 31.7.2002, pp. 37–47.</w:t>
      </w:r>
    </w:p>
  </w:footnote>
  <w:footnote w:id="5">
    <w:p w:rsidRPr="00790C67" w:rsidR="00C5160D" w:rsidP="00C5160D" w:rsidRDefault="00C5160D" w14:paraId="7E6772CE" w14:textId="77777777">
      <w:pPr>
        <w:pStyle w:val="FootnoteText"/>
        <w:ind w:left="567" w:hanging="567"/>
        <w:rPr>
          <w:szCs w:val="24"/>
        </w:rPr>
      </w:pPr>
      <w:r w:rsidRPr="00790C67">
        <w:rPr>
          <w:rStyle w:val="FootnoteReference"/>
          <w:szCs w:val="24"/>
        </w:rPr>
        <w:footnoteRef/>
      </w:r>
      <w:r w:rsidRPr="00790C67">
        <w:rPr>
          <w:szCs w:val="24"/>
        </w:rPr>
        <w:t xml:space="preserve"> </w:t>
      </w:r>
      <w:r w:rsidRPr="00790C67">
        <w:rPr>
          <w:szCs w:val="24"/>
        </w:rPr>
        <w:tab/>
        <w:t>Regulation (EU) 2021/1232 of the European Parliament and of the Council of 14 July 2021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 OJ L 274, 30.7.2021, pp. 41–51.</w:t>
      </w:r>
    </w:p>
  </w:footnote>
  <w:footnote w:id="6">
    <w:p w:rsidRPr="00790C67" w:rsidR="00C5160D" w:rsidP="00C5160D" w:rsidRDefault="00C5160D" w14:paraId="61AC40CC" w14:textId="77777777">
      <w:pPr>
        <w:pStyle w:val="FootnoteText"/>
        <w:ind w:left="567" w:hanging="567"/>
        <w:rPr>
          <w:szCs w:val="24"/>
        </w:rPr>
      </w:pPr>
      <w:r w:rsidRPr="00790C67">
        <w:rPr>
          <w:rStyle w:val="FootnoteReference"/>
          <w:szCs w:val="24"/>
        </w:rPr>
        <w:footnoteRef/>
      </w:r>
      <w:r w:rsidRPr="00790C67">
        <w:rPr>
          <w:szCs w:val="24"/>
        </w:rPr>
        <w:t xml:space="preserve"> </w:t>
      </w:r>
      <w:r>
        <w:rPr>
          <w:szCs w:val="24"/>
        </w:rPr>
        <w:tab/>
      </w:r>
      <w:r w:rsidRPr="00790C67">
        <w:rPr>
          <w:szCs w:val="24"/>
        </w:rPr>
        <w:t>9068/22.</w:t>
      </w:r>
    </w:p>
  </w:footnote>
  <w:footnote w:id="7">
    <w:p w:rsidRPr="00790C67" w:rsidR="00C5160D" w:rsidP="00C5160D" w:rsidRDefault="00C5160D" w14:paraId="283EBB89" w14:textId="77777777">
      <w:pPr>
        <w:pStyle w:val="FootnoteText"/>
        <w:ind w:left="567" w:hanging="567"/>
        <w:rPr>
          <w:szCs w:val="24"/>
        </w:rPr>
      </w:pPr>
      <w:r w:rsidRPr="00790C67">
        <w:rPr>
          <w:rStyle w:val="FootnoteReference"/>
          <w:szCs w:val="24"/>
        </w:rPr>
        <w:footnoteRef/>
      </w:r>
      <w:r w:rsidRPr="00790C67">
        <w:rPr>
          <w:szCs w:val="24"/>
        </w:rPr>
        <w:t xml:space="preserve"> </w:t>
      </w:r>
      <w:r w:rsidRPr="00790C67">
        <w:rPr>
          <w:szCs w:val="24"/>
        </w:rPr>
        <w:tab/>
        <w:t>Regulation (EU) 2024/1307 of the European Parliament and of the Council of 29 April 2024 amending Regulation (EU) 2021/1232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 OJ L, 2024/1307, 14.5.2024.</w:t>
      </w:r>
    </w:p>
  </w:footnote>
  <w:footnote w:id="8">
    <w:p w:rsidR="00C5160D" w:rsidP="00C5160D" w:rsidRDefault="00C5160D" w14:paraId="09AD400E" w14:textId="77777777">
      <w:pPr>
        <w:pStyle w:val="FootnoteText"/>
        <w:ind w:left="567" w:hanging="567"/>
      </w:pPr>
      <w:r w:rsidRPr="00E02726">
        <w:rPr>
          <w:rStyle w:val="FootnoteReference"/>
          <w:szCs w:val="24"/>
        </w:rPr>
        <w:footnoteRef/>
      </w:r>
      <w:r w:rsidRPr="00E02726">
        <w:rPr>
          <w:szCs w:val="24"/>
        </w:rPr>
        <w:t xml:space="preserve"> </w:t>
      </w:r>
      <w:r w:rsidRPr="00790C67">
        <w:rPr>
          <w:szCs w:val="24"/>
        </w:rPr>
        <w:tab/>
        <w:t>5</w:t>
      </w:r>
      <w:r>
        <w:rPr>
          <w:szCs w:val="24"/>
        </w:rPr>
        <w:t>761</w:t>
      </w:r>
      <w:r w:rsidRPr="00790C67">
        <w:rPr>
          <w:szCs w:val="24"/>
        </w:rPr>
        <w:t>/26.</w:t>
      </w:r>
    </w:p>
  </w:footnote>
  <w:footnote w:id="9">
    <w:p w:rsidRPr="0030611C" w:rsidR="00C5160D" w:rsidP="00C5160D" w:rsidRDefault="00C5160D" w14:paraId="567EFEEC" w14:textId="77777777">
      <w:pPr>
        <w:pStyle w:val="FootnoteText"/>
        <w:ind w:left="567" w:hanging="567"/>
        <w:rPr>
          <w:szCs w:val="24"/>
        </w:rPr>
      </w:pPr>
      <w:r w:rsidRPr="00233C02">
        <w:rPr>
          <w:rStyle w:val="FootnoteReference"/>
          <w:szCs w:val="24"/>
        </w:rPr>
        <w:footnoteRef/>
      </w:r>
      <w:r w:rsidRPr="00233C02">
        <w:rPr>
          <w:szCs w:val="24"/>
        </w:rPr>
        <w:t xml:space="preserve"> </w:t>
      </w:r>
      <w:r>
        <w:rPr>
          <w:szCs w:val="24"/>
        </w:rPr>
        <w:tab/>
      </w:r>
      <w:r w:rsidRPr="0030611C">
        <w:rPr>
          <w:szCs w:val="24"/>
        </w:rPr>
        <w:t>7630/26.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77A2" w:rsidRDefault="006377A2" w14:paraId="74A34DBE"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160D" w:rsidRDefault="00C5160D" w14:paraId="61069985"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160D" w:rsidRDefault="00C5160D" w14:paraId="5D2F42CB" w14:textId="77777777">
    <w:pPr>
      <w:pStyle w:val="HeaderCouncil"/>
    </w:pPr>
    <w:r>
      <w:t> </w:t>
    </w:r>
  </w:p>
</w:hdr>
</file>

<file path=word/numbering.xml><?xml version="1.0" encoding="utf-8"?>
<w:numbering xmlns:w15="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7-02&lt;/text&gt;&#13;&#10;  &lt;/metadata&gt;&#13;&#10;  &lt;metadata key=&quot;md_Prefix&quot;&gt;&#13;&#10;    &lt;text&gt;&lt;/text&gt;&#13;&#10;  &lt;/metadata&gt;&#13;&#10;  &lt;metadata key=&quot;md_DocumentNumber&quot;&gt;&#13;&#10;    &lt;text&gt;11261&lt;/text&gt;&#13;&#10;  &lt;/metadata&gt;&#13;&#10;  &lt;metadata key=&quot;md_YearDocumentNumber&quot;&gt;&#13;&#10;    &lt;text&gt;2026&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JAI 924&lt;/text&gt;&#13;&#10;      &lt;text&gt;ENFOPOL 246&lt;/text&gt;&#13;&#10;      &lt;text&gt;CRIMORG 143&lt;/text&gt;&#13;&#10;      &lt;text&gt;IXIM 150&lt;/text&gt;&#13;&#10;      &lt;text&gt;DATAPROTECT 223&lt;/text&gt;&#13;&#10;      &lt;text&gt;CYBER 326&lt;/text&gt;&#13;&#10;      &lt;text&gt;COPEN 253&lt;/text&gt;&#13;&#10;      &lt;text&gt;FREMP 230&lt;/text&gt;&#13;&#10;      &lt;text&gt;TELECOM 361&lt;/text&gt;&#13;&#10;      &lt;text&gt;COMPET 894&lt;/text&gt;&#13;&#10;      &lt;text&gt;MI 721&lt;/text&gt;&#13;&#10;      &lt;text&gt;CONSOM 221&lt;/text&gt;&#13;&#10;      &lt;text&gt;DIGIT 185&lt;/text&gt;&#13;&#10;      &lt;text&gt;CODEC 1341&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5/0429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amp;#8239;REGULATION OF THE EUROPEAN PARLIAMENT AND OF THE COUNCIL&amp;#8239;on a temporary derogation from certain provisions of Directive 2002/58/EC as regards the use of technologies by providers of number-independent interpersonal communications services for the processing of personal and other data for the purpose of combating online child sexual abuse &amp;#8211; Statement of the Council's reasons &amp;#8211; Adopted by the Council on 2 July 2026&quot;&gt;&amp;lt;FlowDocument xmlns=&quot;http://schemas.microsoft.com/winfx/2006/xaml/presentation&quot;&amp;gt;&amp;lt;Paragraph&amp;gt;Position of the Council at first reading with a view to the adoption of a&amp;#8239;REGULATION OF THE EUROPEAN PARLIAMENT AND OF THE COUNCIL&amp;#8239;on a temporary derogation from certain provisions of Directive 2002/58/EC as regards the use of technologies by providers of number-independent interpersonal communications services for the processing of personal and other data for the purpose of combating online child sexual abuse&amp;lt;/Paragraph&amp;gt;&amp;lt;Paragraph&amp;gt;&amp;#8211; Statement of the Council's reasons&amp;lt;/Paragraph&amp;gt;&amp;lt;Paragraph&amp;gt;&amp;#8211; Adopted by the Council on 2 July 2026&amp;lt;/Paragraph&amp;gt;&amp;lt;/FlowDocument&amp;gt;&lt;/xaml&gt;&#13;&#10;  &lt;/metadata&gt;&#13;&#10;  &lt;metadata key=&quot;md_SubjectFootnote&quot;&gt;&#13;&#10;    &lt;text&gt;&lt;/text&gt;&#13;&#10;  &lt;/metadata&gt;&#13;&#10;  &lt;metadata key=&quot;md_DG&quot;&gt;&#13;&#10;    &lt;text&gt;GIP.INST.00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9C6417"/>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a5832979842f4d6c" Type="http://schemas.openxmlformats.org/officeDocument/2006/relationships/webSettings" Target="/word/webSettings.xml"/><Relationship Id="R410562cf88484170" Type="http://schemas.openxmlformats.org/officeDocument/2006/relationships/theme" Target="/word/theme/theme1.xml"/><Relationship Id="R31e353a5dc224035" Type="http://schemas.openxmlformats.org/officeDocument/2006/relationships/styles" Target="/word/styles.xml"/><Relationship Id="R655244ee0c484b32" Type="http://schemas.openxmlformats.org/officeDocument/2006/relationships/header" Target="/word/header4.xml"/><Relationship Id="R2c8510bec81f4cbd" Type="http://schemas.openxmlformats.org/officeDocument/2006/relationships/footer" Target="/word/footer6.xml"/><Relationship Id="Ra6125341fe2845ca" Type="http://schemas.openxmlformats.org/officeDocument/2006/relationships/footer" Target="/word/footer3.xml"/><Relationship Id="R7383059f59c84821" Type="http://schemas.openxmlformats.org/officeDocument/2006/relationships/header" Target="/word/header9.xml"/><Relationship Id="R076b220b89d64b66" Type="http://schemas.openxmlformats.org/officeDocument/2006/relationships/glossaryDocument" Target="/word/glossary/document.xml"/><Relationship Id="rId3" Type="http://schemas.openxmlformats.org/officeDocument/2006/relationships/customXml" Target="../customXml/item3.xml"/><Relationship Id="R8a973d14cd5e4e59" Type="http://schemas.openxmlformats.org/officeDocument/2006/relationships/footer" Target="/word/footer1.xml"/><Relationship Id="Rc46a5379420d4df4" Type="http://schemas.openxmlformats.org/officeDocument/2006/relationships/footer" Target="/word/footer5.xml"/><Relationship Id="Ra9230cc2811a4cc4" Type="http://schemas.openxmlformats.org/officeDocument/2006/relationships/footer" Target="/word/footer8.xml"/><Relationship Id="Rc1c6eeaecd6e4365" Type="http://schemas.openxmlformats.org/officeDocument/2006/relationships/footer" Target="/word/footer2.xml"/><Relationship Id="Rde78a60ee9604b82" Type="http://schemas.openxmlformats.org/officeDocument/2006/relationships/header" Target="/word/header6.xml"/><Relationship Id="rId2" Type="http://schemas.openxmlformats.org/officeDocument/2006/relationships/customXml" Target="../customXml/item2.xml"/><Relationship Id="R435c63edc2f3422e" Type="http://schemas.openxmlformats.org/officeDocument/2006/relationships/fontTable" Target="/word/fontTable.xml"/><Relationship Id="R1315ff86eb5d4a32" Type="http://schemas.openxmlformats.org/officeDocument/2006/relationships/header" Target="/word/header2.xml"/><Relationship Id="Ra6c52868e80942a7" Type="http://schemas.openxmlformats.org/officeDocument/2006/relationships/header" Target="/word/header7.xml"/><Relationship Id="rId1" Type="http://schemas.openxmlformats.org/officeDocument/2006/relationships/customXml" Target="../customXml/item1.xml"/><Relationship Id="R2956d2526edf4f1f" Type="http://schemas.openxmlformats.org/officeDocument/2006/relationships/footnotes" Target="/word/footnotes.xml"/><Relationship Id="Re1614326695e45ae" Type="http://schemas.openxmlformats.org/officeDocument/2006/relationships/header" Target="/word/header1.xml"/><Relationship Id="R0197014cc77741ac" Type="http://schemas.openxmlformats.org/officeDocument/2006/relationships/footer" Target="/word/footer9.xml"/><Relationship Id="R3d6f0aa948a64e78" Type="http://schemas.openxmlformats.org/officeDocument/2006/relationships/settings" Target="/word/settings.xml"/><Relationship Id="Re6d56d1c71e84b0e" Type="http://schemas.openxmlformats.org/officeDocument/2006/relationships/header" Target="/word/header5.xml"/><Relationship Id="R8ff526cf20264d91" Type="http://schemas.openxmlformats.org/officeDocument/2006/relationships/endnotes" Target="/word/endnotes.xml"/><Relationship Id="R07dfc2298c03432f" Type="http://schemas.openxmlformats.org/officeDocument/2006/relationships/numbering" Target="/word/numbering.xml"/><Relationship Id="Rc8e051ba722f4b71" Type="http://schemas.openxmlformats.org/officeDocument/2006/relationships/image" Target="/media/image.bin"/><Relationship Id="Rfd10f9d9653c436b" Type="http://schemas.openxmlformats.org/officeDocument/2006/relationships/header" Target="/word/header3.xml"/><Relationship Id="R8d75563483bb45c0" Type="http://schemas.openxmlformats.org/officeDocument/2006/relationships/footer" Target="/word/footer4.xml"/><Relationship Id="Rcc853572a5254ea6" Type="http://schemas.openxmlformats.org/officeDocument/2006/relationships/header" Target="/word/header8.xml"/></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744ac46b5e8e4d73" /><Relationship Type="http://schemas.openxmlformats.org/officeDocument/2006/relationships/fontTable" Target="/word/glossary/fontTable2.xml" Id="R13246e38386643c2" /><Relationship Type="http://schemas.openxmlformats.org/officeDocument/2006/relationships/settings" Target="/word/glossary/settings2.xml" Id="Rb402830e975c4971" /><Relationship Type="http://schemas.openxmlformats.org/officeDocument/2006/relationships/webSettings" Target="/word/glossary/webSettings2.xml" Id="R08b558dea4e74312"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DF1154-2B54-4A4C-A3EB-CE2AC2D9D590}"/>
</file>

<file path=customXml/itemProps2.xml><?xml version="1.0" encoding="utf-8"?>
<ds:datastoreItem xmlns:ds="http://schemas.openxmlformats.org/officeDocument/2006/customXml" ds:itemID="{6B40D2E6-E9E4-499D-BA38-1F4F577897B4}"/>
</file>

<file path=customXml/itemProps3.xml><?xml version="1.0" encoding="utf-8"?>
<ds:datastoreItem xmlns:ds="http://schemas.openxmlformats.org/officeDocument/2006/customXml" ds:itemID="{01B8F03F-2D95-46C1-94DF-196C4505BF94}"/>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Konstantinos%20CHANTZARAS</dc:creator>
  <cp:keywords/>
  <dc:description/>
  <cp:lastModifiedBy>Konstantinos%20CHANTZARAS</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2026-07-02T13:14:03Z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0x0101007818E9B9B6B6C74E848735DCDD5F12C9</vt:lpwstr>
  </property>
</Properties>
</file>