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563257308"/>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7E732E" w:rsidRPr="005F5A6B" w14:paraId="2A5C0F88" w14:textId="77777777" w:rsidTr="00EE7DE6">
            <w:trPr>
              <w:cantSplit/>
              <w:trHeight w:val="510"/>
              <w:jc w:val="center"/>
            </w:trPr>
            <w:tc>
              <w:tcPr>
                <w:tcW w:w="11344" w:type="dxa"/>
                <w:gridSpan w:val="6"/>
                <w:vAlign w:val="bottom"/>
              </w:tcPr>
              <w:p w14:paraId="6960319C" w14:textId="615B987E" w:rsidR="007E732E" w:rsidRPr="005F5A6B" w:rsidRDefault="007E732E" w:rsidP="00EE7DE6">
                <w:pPr>
                  <w:pStyle w:val="TBNormalTechnicalBlock"/>
                  <w:jc w:val="right"/>
                  <w:rPr>
                    <w:b w:val="0"/>
                    <w:bCs/>
                  </w:rPr>
                </w:pPr>
              </w:p>
            </w:tc>
          </w:tr>
          <w:tr w:rsidR="007E732E" w:rsidRPr="006720F9" w14:paraId="45B63EDB" w14:textId="77777777" w:rsidTr="00296074">
            <w:trPr>
              <w:cantSplit/>
              <w:trHeight w:val="567"/>
              <w:jc w:val="center"/>
            </w:trPr>
            <w:tc>
              <w:tcPr>
                <w:tcW w:w="1820" w:type="dxa"/>
                <w:gridSpan w:val="2"/>
                <w:vAlign w:val="bottom"/>
              </w:tcPr>
              <w:p w14:paraId="28CC906D" w14:textId="77777777" w:rsidR="007E732E" w:rsidRPr="006C5D93" w:rsidRDefault="007E732E" w:rsidP="003C6CD1">
                <w:pPr>
                  <w:pStyle w:val="TBEntInstit"/>
                </w:pPr>
                <w:r w:rsidRPr="006C5D93">
                  <w:rPr>
                    <w:noProof/>
                  </w:rPr>
                  <w:drawing>
                    <wp:inline distT="0" distB="0" distL="0" distR="0" wp14:anchorId="57620B71" wp14:editId="675DD54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4ACD6C08" w14:textId="77777777" w:rsidR="007E732E" w:rsidRPr="008414C3" w:rsidRDefault="007E732E" w:rsidP="005125B1">
                <w:pPr>
                  <w:pStyle w:val="TBInstitution"/>
                </w:pPr>
                <w:r>
                  <w:t>Consiliul</w:t>
                </w:r>
                <w:r>
                  <w:br/>
                  <w:t>Uniunii Europene</w:t>
                </w:r>
              </w:p>
            </w:tc>
          </w:tr>
          <w:tr w:rsidR="007E732E" w:rsidRPr="006720F9" w14:paraId="25A76350" w14:textId="77777777" w:rsidTr="00D5364D">
            <w:trPr>
              <w:gridBefore w:val="2"/>
              <w:wBefore w:w="1820" w:type="dxa"/>
              <w:cantSplit/>
              <w:trHeight w:val="1191"/>
              <w:jc w:val="center"/>
            </w:trPr>
            <w:tc>
              <w:tcPr>
                <w:tcW w:w="4558" w:type="dxa"/>
                <w:gridSpan w:val="2"/>
                <w:tcMar>
                  <w:top w:w="28" w:type="dxa"/>
                  <w:left w:w="85" w:type="dxa"/>
                </w:tcMar>
              </w:tcPr>
              <w:p w14:paraId="7B962A20" w14:textId="77777777" w:rsidR="007E732E" w:rsidRPr="00327887" w:rsidRDefault="007E732E" w:rsidP="00762DBC">
                <w:pPr>
                  <w:pStyle w:val="TBInstitutionSubwordmark"/>
                </w:pPr>
              </w:p>
            </w:tc>
            <w:tc>
              <w:tcPr>
                <w:tcW w:w="147" w:type="dxa"/>
                <w:vAlign w:val="bottom"/>
              </w:tcPr>
              <w:p w14:paraId="4ADB1445" w14:textId="77777777" w:rsidR="007E732E" w:rsidRPr="00093255" w:rsidRDefault="007E732E" w:rsidP="00D5364D">
                <w:pPr>
                  <w:pStyle w:val="TBNormalTechnicalBlock"/>
                  <w:jc w:val="right"/>
                  <w:rPr>
                    <w:b w:val="0"/>
                    <w:bCs/>
                  </w:rPr>
                </w:pPr>
              </w:p>
            </w:tc>
            <w:tc>
              <w:tcPr>
                <w:tcW w:w="4819" w:type="dxa"/>
                <w:vMerge w:val="restart"/>
                <w:tcMar>
                  <w:top w:w="0" w:type="dxa"/>
                </w:tcMar>
              </w:tcPr>
              <w:p w14:paraId="51A584A4" w14:textId="77777777" w:rsidR="007E732E" w:rsidRPr="0012121B" w:rsidRDefault="007E732E" w:rsidP="001A5B8F">
                <w:pPr>
                  <w:pStyle w:val="TBNormalTechnicalBlock"/>
                </w:pPr>
                <w:r>
                  <w:t>Bruxelles, 2 iulie 2026</w:t>
                </w:r>
              </w:p>
              <w:p w14:paraId="55DE5ECB" w14:textId="77777777" w:rsidR="007E732E" w:rsidRPr="00871A20" w:rsidRDefault="007E732E" w:rsidP="009024D2">
                <w:pPr>
                  <w:pStyle w:val="TBNormalTechnicalBlock"/>
                  <w:rPr>
                    <w:bCs/>
                  </w:rPr>
                </w:pPr>
                <w:r w:rsidRPr="00E60683">
                  <w:rPr>
                    <w:bCs/>
                  </w:rPr>
                  <w:t xml:space="preserve">(OR. </w:t>
                </w:r>
                <w:r>
                  <w:rPr>
                    <w:bCs/>
                  </w:rPr>
                  <w:t>en</w:t>
                </w:r>
                <w:r w:rsidRPr="00871A20">
                  <w:rPr>
                    <w:bCs/>
                  </w:rPr>
                  <w:t>)</w:t>
                </w:r>
              </w:p>
              <w:p w14:paraId="4EE77C12" w14:textId="77777777" w:rsidR="007E732E" w:rsidRPr="00871A20" w:rsidRDefault="007E732E" w:rsidP="00871A20">
                <w:pPr>
                  <w:pStyle w:val="TBNormalTechnicalBlock"/>
                  <w:jc w:val="right"/>
                </w:pPr>
              </w:p>
              <w:p w14:paraId="218F8EB7" w14:textId="77777777" w:rsidR="007E732E" w:rsidRPr="00871A20" w:rsidRDefault="007E732E" w:rsidP="00871A20">
                <w:pPr>
                  <w:pStyle w:val="TBNormalTechnicalBlock"/>
                  <w:jc w:val="right"/>
                </w:pPr>
              </w:p>
              <w:p w14:paraId="1B62C399" w14:textId="77777777" w:rsidR="007E732E" w:rsidRPr="007E732E" w:rsidRDefault="007E732E" w:rsidP="009024D2">
                <w:pPr>
                  <w:pStyle w:val="TBNormalTechnicalBlock"/>
                  <w:rPr>
                    <w:bCs/>
                    <w:lang w:val="fr-BE"/>
                  </w:rPr>
                </w:pPr>
                <w:r w:rsidRPr="007E732E">
                  <w:rPr>
                    <w:bCs/>
                    <w:lang w:val="fr-BE"/>
                  </w:rPr>
                  <w:t>11261/1/26</w:t>
                </w:r>
              </w:p>
              <w:p w14:paraId="36F67224" w14:textId="77777777" w:rsidR="007E732E" w:rsidRPr="007E732E" w:rsidRDefault="007E732E" w:rsidP="009024D2">
                <w:pPr>
                  <w:pStyle w:val="TBNormalTechnicalBlock"/>
                  <w:rPr>
                    <w:lang w:val="fr-BE"/>
                  </w:rPr>
                </w:pPr>
                <w:r w:rsidRPr="007E732E">
                  <w:rPr>
                    <w:lang w:val="fr-BE"/>
                  </w:rPr>
                  <w:t>REV 1 ADD 1</w:t>
                </w:r>
              </w:p>
              <w:p w14:paraId="27859357" w14:textId="77777777" w:rsidR="007E732E" w:rsidRPr="007E732E" w:rsidRDefault="007E732E" w:rsidP="00871A20">
                <w:pPr>
                  <w:pStyle w:val="TBNormalTechnicalBlock"/>
                  <w:jc w:val="right"/>
                  <w:rPr>
                    <w:lang w:val="fr-BE"/>
                  </w:rPr>
                </w:pPr>
              </w:p>
              <w:p w14:paraId="4A72364A" w14:textId="77777777" w:rsidR="007E732E" w:rsidRDefault="007E732E" w:rsidP="009024D2">
                <w:pPr>
                  <w:pStyle w:val="TBNormalTechnicalBlock"/>
                </w:pPr>
              </w:p>
              <w:p w14:paraId="1A998BE1" w14:textId="77777777" w:rsidR="007E732E" w:rsidRDefault="007E732E" w:rsidP="00871A20">
                <w:pPr>
                  <w:pStyle w:val="TBNormalTechnicalBlock"/>
                  <w:jc w:val="right"/>
                </w:pPr>
              </w:p>
              <w:p w14:paraId="0F97E5CC" w14:textId="77777777" w:rsidR="007E732E" w:rsidRDefault="007E732E">
                <w:pPr>
                  <w:pStyle w:val="TBEntRefer"/>
                  <w:tabs>
                    <w:tab w:val="left" w:pos="2265"/>
                  </w:tabs>
                </w:pPr>
                <w:r>
                  <w:t>JAI 924</w:t>
                </w:r>
              </w:p>
              <w:p w14:paraId="51577948" w14:textId="77777777" w:rsidR="007E732E" w:rsidRDefault="007E732E">
                <w:pPr>
                  <w:pStyle w:val="TBEntRefer"/>
                  <w:tabs>
                    <w:tab w:val="left" w:pos="2265"/>
                  </w:tabs>
                </w:pPr>
                <w:r>
                  <w:t>ENFOPOL 246</w:t>
                </w:r>
              </w:p>
              <w:p w14:paraId="23D4A583" w14:textId="77777777" w:rsidR="007E732E" w:rsidRDefault="007E732E">
                <w:pPr>
                  <w:pStyle w:val="TBEntRefer"/>
                  <w:tabs>
                    <w:tab w:val="left" w:pos="2265"/>
                  </w:tabs>
                </w:pPr>
                <w:r>
                  <w:t>CRIMORG 143</w:t>
                </w:r>
              </w:p>
              <w:p w14:paraId="2FDE4AB6" w14:textId="77777777" w:rsidR="007E732E" w:rsidRDefault="007E732E">
                <w:pPr>
                  <w:pStyle w:val="TBEntRefer"/>
                  <w:tabs>
                    <w:tab w:val="left" w:pos="2265"/>
                  </w:tabs>
                </w:pPr>
                <w:r>
                  <w:t>IXIM 150</w:t>
                </w:r>
              </w:p>
              <w:p w14:paraId="7DE503D3" w14:textId="77777777" w:rsidR="007E732E" w:rsidRDefault="007E732E">
                <w:pPr>
                  <w:pStyle w:val="TBEntRefer"/>
                  <w:tabs>
                    <w:tab w:val="left" w:pos="2265"/>
                  </w:tabs>
                </w:pPr>
                <w:r>
                  <w:t>DATAPROTECT 223</w:t>
                </w:r>
              </w:p>
              <w:p w14:paraId="55D0C271" w14:textId="77777777" w:rsidR="007E732E" w:rsidRDefault="007E732E">
                <w:pPr>
                  <w:pStyle w:val="TBEntRefer"/>
                  <w:tabs>
                    <w:tab w:val="left" w:pos="2265"/>
                  </w:tabs>
                </w:pPr>
                <w:r>
                  <w:t>CYBER 326</w:t>
                </w:r>
              </w:p>
              <w:p w14:paraId="44C04E94" w14:textId="77777777" w:rsidR="007E732E" w:rsidRDefault="007E732E">
                <w:pPr>
                  <w:pStyle w:val="TBEntRefer"/>
                  <w:tabs>
                    <w:tab w:val="left" w:pos="2265"/>
                  </w:tabs>
                </w:pPr>
                <w:r>
                  <w:t>COPEN 253</w:t>
                </w:r>
              </w:p>
              <w:p w14:paraId="20936254" w14:textId="77777777" w:rsidR="007E732E" w:rsidRDefault="007E732E">
                <w:pPr>
                  <w:pStyle w:val="TBEntRefer"/>
                  <w:tabs>
                    <w:tab w:val="left" w:pos="2265"/>
                  </w:tabs>
                </w:pPr>
                <w:r>
                  <w:t>FREMP 230</w:t>
                </w:r>
              </w:p>
              <w:p w14:paraId="512FECD5" w14:textId="77777777" w:rsidR="007E732E" w:rsidRDefault="007E732E">
                <w:pPr>
                  <w:pStyle w:val="TBEntRefer"/>
                  <w:tabs>
                    <w:tab w:val="left" w:pos="2265"/>
                  </w:tabs>
                </w:pPr>
                <w:r>
                  <w:t>TELECOM 361</w:t>
                </w:r>
              </w:p>
              <w:p w14:paraId="369D89B0" w14:textId="77777777" w:rsidR="007E732E" w:rsidRDefault="007E732E">
                <w:pPr>
                  <w:pStyle w:val="TBEntRefer"/>
                  <w:tabs>
                    <w:tab w:val="left" w:pos="2265"/>
                  </w:tabs>
                </w:pPr>
                <w:r>
                  <w:t>COMPET 894</w:t>
                </w:r>
              </w:p>
              <w:p w14:paraId="54B7E467" w14:textId="77777777" w:rsidR="007E732E" w:rsidRDefault="007E732E">
                <w:pPr>
                  <w:pStyle w:val="TBEntRefer"/>
                  <w:tabs>
                    <w:tab w:val="left" w:pos="2265"/>
                  </w:tabs>
                </w:pPr>
                <w:r>
                  <w:t>MI 721</w:t>
                </w:r>
              </w:p>
              <w:p w14:paraId="2DC2177D" w14:textId="77777777" w:rsidR="007E732E" w:rsidRDefault="007E732E">
                <w:pPr>
                  <w:pStyle w:val="TBEntRefer"/>
                  <w:tabs>
                    <w:tab w:val="left" w:pos="2265"/>
                  </w:tabs>
                </w:pPr>
                <w:r>
                  <w:t>CONSOM 221</w:t>
                </w:r>
              </w:p>
              <w:p w14:paraId="0A0BE89C" w14:textId="77777777" w:rsidR="007E732E" w:rsidRDefault="007E732E">
                <w:pPr>
                  <w:pStyle w:val="TBEntRefer"/>
                  <w:tabs>
                    <w:tab w:val="left" w:pos="2265"/>
                  </w:tabs>
                </w:pPr>
                <w:r>
                  <w:t>DIGIT 185</w:t>
                </w:r>
              </w:p>
              <w:p w14:paraId="05E7661E" w14:textId="77777777" w:rsidR="007E732E" w:rsidRDefault="007E732E">
                <w:pPr>
                  <w:pStyle w:val="TBEntRefer"/>
                  <w:tabs>
                    <w:tab w:val="left" w:pos="2265"/>
                  </w:tabs>
                </w:pPr>
                <w:r>
                  <w:t>CODEC 1341</w:t>
                </w:r>
              </w:p>
              <w:p w14:paraId="19453E47" w14:textId="77777777" w:rsidR="007E732E" w:rsidRPr="00073AB8" w:rsidRDefault="007E732E" w:rsidP="00DF51D5">
                <w:pPr>
                  <w:pStyle w:val="TBEntRefer"/>
                  <w:tabs>
                    <w:tab w:val="left" w:pos="2262"/>
                  </w:tabs>
                  <w:rPr>
                    <w:sz w:val="4"/>
                    <w:szCs w:val="4"/>
                  </w:rPr>
                </w:pPr>
              </w:p>
              <w:p w14:paraId="1072F82C" w14:textId="77777777" w:rsidR="007E732E" w:rsidRPr="00AF13E4" w:rsidRDefault="007E732E" w:rsidP="00AF13E4">
                <w:pPr>
                  <w:pStyle w:val="TBDistrbMarkers"/>
                </w:pPr>
                <w:r>
                  <w:t>PARLNAT</w:t>
                </w:r>
              </w:p>
            </w:tc>
          </w:tr>
          <w:tr w:rsidR="007E732E" w:rsidRPr="006720F9" w14:paraId="25C52B70" w14:textId="77777777" w:rsidTr="00EE7DE6">
            <w:trPr>
              <w:gridBefore w:val="1"/>
              <w:wBefore w:w="850" w:type="dxa"/>
              <w:cantSplit/>
              <w:trHeight w:val="837"/>
              <w:jc w:val="center"/>
            </w:trPr>
            <w:tc>
              <w:tcPr>
                <w:tcW w:w="3832" w:type="dxa"/>
                <w:gridSpan w:val="2"/>
                <w:vAlign w:val="center"/>
              </w:tcPr>
              <w:p w14:paraId="2199B7CD" w14:textId="77777777" w:rsidR="007E732E" w:rsidRDefault="007E732E">
                <w:pPr>
                  <w:pStyle w:val="TBEntReferNew"/>
                  <w:pBdr>
                    <w:top w:val="double" w:sz="6" w:space="2" w:color="auto"/>
                    <w:bottom w:val="double" w:sz="6" w:space="2" w:color="auto"/>
                  </w:pBdr>
                  <w:rPr>
                    <w:sz w:val="23"/>
                    <w:szCs w:val="23"/>
                  </w:rPr>
                </w:pPr>
                <w:r>
                  <w:rPr>
                    <w:sz w:val="23"/>
                    <w:szCs w:val="23"/>
                  </w:rPr>
                  <w:t>Dosar interinstituțional:</w:t>
                </w:r>
              </w:p>
              <w:p w14:paraId="212CEEBE" w14:textId="77777777" w:rsidR="007E732E" w:rsidRDefault="007E732E">
                <w:pPr>
                  <w:pStyle w:val="TBEntReferNew"/>
                  <w:pBdr>
                    <w:top w:val="double" w:sz="6" w:space="2" w:color="auto"/>
                    <w:bottom w:val="double" w:sz="6" w:space="2" w:color="auto"/>
                  </w:pBdr>
                  <w:rPr>
                    <w:sz w:val="23"/>
                    <w:szCs w:val="23"/>
                  </w:rPr>
                </w:pPr>
                <w:r>
                  <w:rPr>
                    <w:sz w:val="23"/>
                    <w:szCs w:val="23"/>
                  </w:rPr>
                  <w:t>2025/0429 (COD)</w:t>
                </w:r>
              </w:p>
            </w:tc>
            <w:tc>
              <w:tcPr>
                <w:tcW w:w="1843" w:type="dxa"/>
                <w:gridSpan w:val="2"/>
                <w:vMerge w:val="restart"/>
                <w:vAlign w:val="bottom"/>
              </w:tcPr>
              <w:p w14:paraId="53CFBC80" w14:textId="77777777" w:rsidR="007E732E" w:rsidRPr="008F6E25" w:rsidRDefault="007E732E" w:rsidP="00EE7DE6">
                <w:pPr>
                  <w:pStyle w:val="TBNormalTechnicalBlock"/>
                  <w:jc w:val="right"/>
                  <w:rPr>
                    <w:b w:val="0"/>
                    <w:bCs/>
                  </w:rPr>
                </w:pPr>
              </w:p>
            </w:tc>
            <w:tc>
              <w:tcPr>
                <w:tcW w:w="4819" w:type="dxa"/>
                <w:vMerge/>
              </w:tcPr>
              <w:p w14:paraId="637F4D4B" w14:textId="77777777" w:rsidR="007E732E" w:rsidRPr="00F26BF3" w:rsidRDefault="007E732E">
                <w:pPr>
                  <w:pStyle w:val="TBEntRefer"/>
                  <w:rPr>
                    <w:szCs w:val="23"/>
                  </w:rPr>
                </w:pPr>
              </w:p>
            </w:tc>
          </w:tr>
          <w:tr w:rsidR="007E732E" w:rsidRPr="007D65B2" w14:paraId="50C25C57" w14:textId="77777777" w:rsidTr="00327887">
            <w:trPr>
              <w:gridBefore w:val="1"/>
              <w:wBefore w:w="850" w:type="dxa"/>
              <w:cantSplit/>
              <w:trHeight w:val="998"/>
              <w:jc w:val="center"/>
            </w:trPr>
            <w:tc>
              <w:tcPr>
                <w:tcW w:w="3832" w:type="dxa"/>
                <w:gridSpan w:val="2"/>
                <w:vAlign w:val="center"/>
              </w:tcPr>
              <w:p w14:paraId="18201E76" w14:textId="77777777" w:rsidR="007E732E" w:rsidRPr="007D65B2" w:rsidRDefault="007E732E" w:rsidP="0058695F">
                <w:pPr>
                  <w:pStyle w:val="TBSousEmbargo"/>
                </w:pPr>
              </w:p>
            </w:tc>
            <w:tc>
              <w:tcPr>
                <w:tcW w:w="1843" w:type="dxa"/>
                <w:gridSpan w:val="2"/>
                <w:vMerge/>
                <w:vAlign w:val="center"/>
              </w:tcPr>
              <w:p w14:paraId="233D663E" w14:textId="77777777" w:rsidR="007E732E" w:rsidRPr="008F6E25" w:rsidRDefault="007E732E" w:rsidP="008F6E25">
                <w:pPr>
                  <w:pStyle w:val="TBNormalTechnicalBlock"/>
                  <w:rPr>
                    <w:b w:val="0"/>
                    <w:bCs/>
                  </w:rPr>
                </w:pPr>
              </w:p>
            </w:tc>
            <w:tc>
              <w:tcPr>
                <w:tcW w:w="4819" w:type="dxa"/>
                <w:vMerge/>
              </w:tcPr>
              <w:p w14:paraId="0588160B" w14:textId="77777777" w:rsidR="007E732E" w:rsidRPr="007D65B2" w:rsidRDefault="007E732E">
                <w:pPr>
                  <w:pStyle w:val="TBEntRefer"/>
                  <w:rPr>
                    <w:szCs w:val="23"/>
                  </w:rPr>
                </w:pPr>
              </w:p>
            </w:tc>
          </w:tr>
        </w:tbl>
        <w:p w14:paraId="4B5D6639" w14:textId="77777777" w:rsidR="007E732E" w:rsidRPr="007D65B2" w:rsidRDefault="007E732E"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7E732E" w:rsidRPr="008C093D" w14:paraId="596AD624" w14:textId="77777777" w:rsidTr="000E0DFC">
            <w:trPr>
              <w:jc w:val="center"/>
            </w:trPr>
            <w:tc>
              <w:tcPr>
                <w:tcW w:w="9640" w:type="dxa"/>
                <w:gridSpan w:val="2"/>
              </w:tcPr>
              <w:p w14:paraId="592772C5" w14:textId="77777777" w:rsidR="007E732E" w:rsidRPr="008C093D" w:rsidRDefault="007E732E" w:rsidP="004F2640">
                <w:pPr>
                  <w:pStyle w:val="TBHeadingTable"/>
                </w:pPr>
                <w:r>
                  <w:t>EXPUNERE DE MOTIVE A CONSILIULUI</w:t>
                </w:r>
              </w:p>
            </w:tc>
          </w:tr>
          <w:tr w:rsidR="007E732E" w:rsidRPr="00F13D39" w14:paraId="5FFFA245" w14:textId="77777777" w:rsidTr="00B511A2">
            <w:trPr>
              <w:jc w:val="center"/>
            </w:trPr>
            <w:tc>
              <w:tcPr>
                <w:tcW w:w="1985" w:type="dxa"/>
                <w:tcBorders>
                  <w:top w:val="single" w:sz="4" w:space="0" w:color="auto"/>
                  <w:bottom w:val="single" w:sz="4" w:space="0" w:color="auto"/>
                </w:tcBorders>
              </w:tcPr>
              <w:p w14:paraId="72A61677" w14:textId="77777777" w:rsidR="007E732E" w:rsidRPr="00F13D39" w:rsidRDefault="007E732E" w:rsidP="00F13D39">
                <w:pPr>
                  <w:pStyle w:val="TBSubjectTable"/>
                </w:pPr>
                <w:r>
                  <w:t>Subiect:</w:t>
                </w:r>
              </w:p>
            </w:tc>
            <w:tc>
              <w:tcPr>
                <w:tcW w:w="7660" w:type="dxa"/>
                <w:tcBorders>
                  <w:top w:val="single" w:sz="4" w:space="0" w:color="auto"/>
                  <w:bottom w:val="single" w:sz="4" w:space="0" w:color="auto"/>
                </w:tcBorders>
              </w:tcPr>
              <w:p w14:paraId="68B8C8F1" w14:textId="77777777" w:rsidR="007E732E" w:rsidRDefault="007E732E">
                <w:pPr>
                  <w:pStyle w:val="TBSubjectText"/>
                </w:pPr>
                <w:bookmarkStart w:id="0" w:name="SplitParasInCell_1"/>
                <w:bookmarkEnd w:id="0"/>
                <w:r>
                  <w:t>Poziția în primă lectură a Consiliului în vederea adoptării unui REGULAMENT AL PARLAMENTULUI EUROPEAN ȘI AL CONSILIULUI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p>
              <w:p w14:paraId="1401AD2E" w14:textId="77777777" w:rsidR="007E732E" w:rsidRDefault="007E732E">
                <w:pPr>
                  <w:pStyle w:val="TBSubjectText"/>
                </w:pPr>
                <w:r>
                  <w:t>– Expunere de motive a Consiliului</w:t>
                </w:r>
              </w:p>
              <w:p w14:paraId="1F5D7935" w14:textId="77777777" w:rsidR="007E732E" w:rsidRDefault="007E732E">
                <w:pPr>
                  <w:pStyle w:val="TBSubjectText"/>
                </w:pPr>
                <w:r>
                  <w:t>– Adoptată de Consiliu la 2 iulie 2026</w:t>
                </w:r>
              </w:p>
            </w:tc>
          </w:tr>
        </w:tbl>
        <w:p w14:paraId="6D011DDC" w14:textId="77777777" w:rsidR="007E732E" w:rsidRPr="00F751C6" w:rsidRDefault="00CD6B36" w:rsidP="00F751C6">
          <w:pPr>
            <w:spacing w:before="20" w:after="240" w:line="20" w:lineRule="exact"/>
            <w:rPr>
              <w:sz w:val="2"/>
              <w:szCs w:val="2"/>
            </w:rPr>
          </w:pPr>
        </w:p>
      </w:sdtContent>
    </w:sdt>
    <w:p w14:paraId="37C7E9CF" w14:textId="77777777" w:rsidR="007F0905" w:rsidRPr="007E732E" w:rsidRDefault="007F0905">
      <w:pPr>
        <w:sectPr w:rsidR="007F0905" w:rsidRPr="007E732E" w:rsidSect="007E732E">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pPr>
      <w:bookmarkStart w:id="2" w:name="DQC_RangeToBeChecked"/>
    </w:p>
    <w:p w14:paraId="0B616CF7" w14:textId="77777777" w:rsidR="007F0905" w:rsidRPr="007E732E" w:rsidRDefault="007F0905" w:rsidP="00C5160D">
      <w:pPr>
        <w:pStyle w:val="HeadingIVX"/>
      </w:pPr>
      <w:r w:rsidRPr="007E732E">
        <w:lastRenderedPageBreak/>
        <w:t>INTRODUCERE</w:t>
      </w:r>
    </w:p>
    <w:p w14:paraId="339DED23" w14:textId="77777777" w:rsidR="007F0905" w:rsidRPr="007E732E" w:rsidRDefault="007F0905" w:rsidP="00C5160D">
      <w:pPr>
        <w:pStyle w:val="Point1231"/>
        <w:rPr>
          <w:kern w:val="2"/>
        </w:rPr>
      </w:pPr>
      <w:r w:rsidRPr="007E732E">
        <w:t>Activitățile de detectare desfășurate voluntar de furnizorii de servicii de comunicații interpersonale care nu se bazează pe numere au jucat un rol însemnat în facilitarea identificării și a salvării victimelor abuzului sexual online asupra copiilor. Până la data de 20 decembrie 2020, Regulamentul (UE) 2016/679</w:t>
      </w:r>
      <w:r w:rsidRPr="007E732E">
        <w:rPr>
          <w:rStyle w:val="FootnoteReference"/>
          <w:rFonts w:eastAsia="Calibri"/>
          <w:szCs w:val="24"/>
        </w:rPr>
        <w:footnoteReference w:id="1"/>
      </w:r>
      <w:r w:rsidRPr="007E732E">
        <w:t xml:space="preserve"> era singurul act care reglementa prelucrarea datelor cu caracter personal de către furnizori prin intermediul unor măsuri voluntare în scopul detectării în serviciile lor a abuzului sexual online asupra copiilor și al raportării acestuia și în scopul eliminării din serviciile lor a materialelor care conțin abuzuri sexuale online asupra copiilor. Directiva (UE) 2018/1972</w:t>
      </w:r>
      <w:r w:rsidRPr="007E732E">
        <w:rPr>
          <w:rStyle w:val="FootnoteReference"/>
          <w:rFonts w:eastAsia="Calibri"/>
          <w:szCs w:val="24"/>
        </w:rPr>
        <w:footnoteReference w:id="2"/>
      </w:r>
      <w:r w:rsidRPr="007E732E">
        <w:t>, care a avut ca termen de transpunere data de 20 decembrie 2020, a introdus furnizorii în domeniul de aplicare al Directivei 2002/58/CE</w:t>
      </w:r>
      <w:r w:rsidRPr="007E732E">
        <w:rPr>
          <w:rStyle w:val="FootnoteReference"/>
          <w:rFonts w:eastAsia="Calibri"/>
          <w:szCs w:val="24"/>
        </w:rPr>
        <w:footnoteReference w:id="3"/>
      </w:r>
      <w:r w:rsidRPr="007E732E">
        <w:t xml:space="preserve"> („Directiva asupra confidențialității și comunicațiilor electronice”). Prin urmare, în absența unei legislații a Uniunii sau a unei legislații naționale care să limiteze domeniul de aplicare al drepturilor și obligațiilor prevăzute în Directiva asupra confidențialității și comunicațiilor electronice, furnizorii nu s-au mai putut baza pe Regulamentul (UE) 2016/679 pentru a continua să aplice după data de 20 decembrie 2020 măsuri voluntare în scopul detectării în serviciile lor a abuzului sexual online asupra copiilor și al raportării acestuia și în scopul eliminării din serviciile lor a materialelor care conțin abuzuri sexuale online asupra copiilor.</w:t>
      </w:r>
    </w:p>
    <w:p w14:paraId="4C9F3467" w14:textId="77777777" w:rsidR="007F0905" w:rsidRPr="007E732E" w:rsidRDefault="007F0905" w:rsidP="00C5160D">
      <w:pPr>
        <w:spacing w:before="0" w:after="200" w:line="276" w:lineRule="auto"/>
      </w:pPr>
      <w:r w:rsidRPr="007E732E">
        <w:br w:type="page"/>
      </w:r>
    </w:p>
    <w:p w14:paraId="12AA2159" w14:textId="77777777" w:rsidR="007F0905" w:rsidRPr="00CD6B36" w:rsidRDefault="007F0905" w:rsidP="00CD6B36">
      <w:pPr>
        <w:pStyle w:val="Point1231"/>
        <w:spacing w:line="348" w:lineRule="auto"/>
        <w:rPr>
          <w:spacing w:val="-4"/>
        </w:rPr>
      </w:pPr>
      <w:r w:rsidRPr="00CD6B36">
        <w:rPr>
          <w:spacing w:val="-4"/>
        </w:rPr>
        <w:lastRenderedPageBreak/>
        <w:t>Pentru a remedia acest aspect până la adoptarea unui cadru juridic pe termen lung care să reglementeze prevenirea și combaterea abuzului sexual online asupra copiilor, colegiuitorii au adoptat Regulamentul (UE) 2021/1232</w:t>
      </w:r>
      <w:r w:rsidRPr="00CD6B36">
        <w:rPr>
          <w:rStyle w:val="FootnoteReference"/>
          <w:rFonts w:eastAsia="Calibri"/>
          <w:spacing w:val="-4"/>
          <w:szCs w:val="24"/>
        </w:rPr>
        <w:footnoteReference w:id="4"/>
      </w:r>
      <w:r w:rsidRPr="00CD6B36">
        <w:rPr>
          <w:spacing w:val="-4"/>
        </w:rPr>
        <w:t xml:space="preserve"> („Regulamentul provizoriu privind abuzul sexual asupra copiilor”), care a început să se aplice de la 3 august 2021 și a introdus o derogare temporară pentru anumiți furnizori de la anumite dispoziții ale Directivei asupra confidențialității și comunicațiilor electronice în ceea ce privește utilizarea tehnologiilor în scopul combaterii abuzului sexual online asupra copiilor. Regulamentul provizoriu privind abuzul sexual asupra copiilor nu a oferit un temei juridic pentru prelucrarea datelor cu caracter personal pentru aceste activități, dar a stabilit garanții suplimentare de respectat de către furnizori dacă doresc să se bazeze pe acest regulament.</w:t>
      </w:r>
    </w:p>
    <w:p w14:paraId="23CE0337" w14:textId="77777777" w:rsidR="007F0905" w:rsidRPr="007E732E" w:rsidRDefault="007F0905" w:rsidP="00CD6B36">
      <w:pPr>
        <w:pStyle w:val="Point1231"/>
        <w:spacing w:line="348" w:lineRule="auto"/>
      </w:pPr>
      <w:r w:rsidRPr="007E732E">
        <w:t>La 11 mai 2022, Comisia a propus un regulament al Parlamentului European și al Consiliului de stabilire a normelor de prevenire și combatere a abuzului sexual asupra copiilor (denumit în continuare „cadrul juridic pe termen lung”)</w:t>
      </w:r>
      <w:r w:rsidRPr="007E732E">
        <w:rPr>
          <w:rStyle w:val="FootnoteReference"/>
          <w:rFonts w:eastAsia="Calibri"/>
          <w:szCs w:val="24"/>
        </w:rPr>
        <w:footnoteReference w:id="5"/>
      </w:r>
      <w:r w:rsidRPr="007E732E">
        <w:t>, care urmărește să ofere un cadru juridic pe termen lung pentru prevenirea și combaterea abuzului sexual online asupra copiilor. Negocierile interinstituționale cu privire la această propunere sunt încă în curs de desfășurare.</w:t>
      </w:r>
    </w:p>
    <w:p w14:paraId="315E0B14" w14:textId="77777777" w:rsidR="007F0905" w:rsidRPr="00CD6B36" w:rsidRDefault="007F0905" w:rsidP="00CD6B36">
      <w:pPr>
        <w:pStyle w:val="Point1231"/>
        <w:spacing w:line="348" w:lineRule="auto"/>
        <w:rPr>
          <w:noProof/>
        </w:rPr>
      </w:pPr>
      <w:r w:rsidRPr="00CD6B36">
        <w:t>În aprilie 2024, Regulamentul provizoriu privind abuzul sexual asupra copiilor a fost modificat prin Regulamentul (UE) 2024/1307</w:t>
      </w:r>
      <w:r w:rsidRPr="00CD6B36">
        <w:rPr>
          <w:rStyle w:val="FootnoteReference"/>
          <w:rFonts w:eastAsia="Calibri"/>
          <w:szCs w:val="24"/>
        </w:rPr>
        <w:footnoteReference w:id="6"/>
      </w:r>
      <w:r w:rsidRPr="00CD6B36">
        <w:t>, care a prelungit perioada de aplicare până la 3 aprilie 2026, în așteptarea încheierii negocierilor referitoare la cadrul juridic pe termen lung.</w:t>
      </w:r>
    </w:p>
    <w:p w14:paraId="7FDBDDA5" w14:textId="77777777" w:rsidR="007F0905" w:rsidRPr="00CD6B36" w:rsidRDefault="007F0905" w:rsidP="00CD6B36">
      <w:pPr>
        <w:pStyle w:val="Point1231"/>
        <w:spacing w:line="348" w:lineRule="auto"/>
        <w:rPr>
          <w:spacing w:val="-4"/>
        </w:rPr>
      </w:pPr>
      <w:r w:rsidRPr="00CD6B36">
        <w:rPr>
          <w:spacing w:val="-4"/>
        </w:rPr>
        <w:t xml:space="preserve">La 19 decembrie 2025, </w:t>
      </w:r>
      <w:r w:rsidRPr="00CD6B36">
        <w:rPr>
          <w:spacing w:val="-4"/>
          <w:u w:val="single"/>
        </w:rPr>
        <w:t>Comisia</w:t>
      </w:r>
      <w:r w:rsidRPr="00CD6B36">
        <w:rPr>
          <w:spacing w:val="-4"/>
        </w:rPr>
        <w:t xml:space="preserve"> a propus un regulament de modificare a Regulamentului (UE) 2021/1232 pentru a prelungi cu doi ani perioada de aplicare a Regulamentului provizoriu privind abuzul sexual asupra copiilor („propunerea de prelungire”).</w:t>
      </w:r>
    </w:p>
    <w:p w14:paraId="2B7CC4FC" w14:textId="77777777" w:rsidR="007F0905" w:rsidRPr="007E732E" w:rsidRDefault="007F0905" w:rsidP="00C5160D">
      <w:pPr>
        <w:pStyle w:val="Point1231"/>
      </w:pPr>
      <w:r w:rsidRPr="007E732E">
        <w:lastRenderedPageBreak/>
        <w:t xml:space="preserve">Proiectul de regulament are ca temei juridic </w:t>
      </w:r>
      <w:r w:rsidRPr="007E732E">
        <w:rPr>
          <w:u w:val="single"/>
        </w:rPr>
        <w:t>articolul 16 alineatul (2), coroborat cu articolul 114 alineatul (1) din Tratatul privind funcționarea Uniunii Europene</w:t>
      </w:r>
      <w:r w:rsidRPr="007E732E">
        <w:t xml:space="preserve"> (TFUE) (procedura legislativă ordinară).</w:t>
      </w:r>
    </w:p>
    <w:p w14:paraId="6C9DBB21" w14:textId="77777777" w:rsidR="007F0905" w:rsidRPr="007E732E" w:rsidRDefault="007F0905" w:rsidP="00C5160D">
      <w:pPr>
        <w:pStyle w:val="Point1231"/>
      </w:pPr>
      <w:r w:rsidRPr="007E732E">
        <w:t xml:space="preserve">Avizul </w:t>
      </w:r>
      <w:r w:rsidRPr="007E732E">
        <w:rPr>
          <w:u w:val="single"/>
        </w:rPr>
        <w:t>Comitetului Economic și Social European</w:t>
      </w:r>
      <w:r w:rsidRPr="007E732E">
        <w:t xml:space="preserve"> a fost prezentat la 21 ianuarie 2026.</w:t>
      </w:r>
    </w:p>
    <w:p w14:paraId="7A20DB0B" w14:textId="77777777" w:rsidR="007F0905" w:rsidRPr="007E732E" w:rsidRDefault="007F0905" w:rsidP="00C5160D">
      <w:pPr>
        <w:pStyle w:val="Point1231"/>
      </w:pPr>
      <w:r w:rsidRPr="007E732E">
        <w:rPr>
          <w:u w:val="single"/>
        </w:rPr>
        <w:t>Comitetul Reprezentanților Permanenți</w:t>
      </w:r>
      <w:r w:rsidRPr="007E732E">
        <w:t xml:space="preserve"> a ajuns la un mandat de negociere cu Parlamentul European la 28 ianuarie 2026</w:t>
      </w:r>
      <w:r w:rsidRPr="007E732E">
        <w:rPr>
          <w:b/>
          <w:vertAlign w:val="superscript"/>
        </w:rPr>
        <w:footnoteReference w:id="7"/>
      </w:r>
      <w:r w:rsidRPr="007E732E">
        <w:t>, acceptând în esență propunerea Comisiei de a prelungi cu doi ani perioada de aplicare a Regulamentului provizoriu privind abuzul sexual asupra copiilor, până la 3 aprilie 2028.</w:t>
      </w:r>
    </w:p>
    <w:p w14:paraId="59803127" w14:textId="77777777" w:rsidR="007F0905" w:rsidRPr="007E732E" w:rsidRDefault="007F0905" w:rsidP="00C5160D">
      <w:pPr>
        <w:pStyle w:val="Point1231"/>
        <w:rPr>
          <w:rFonts w:eastAsia="Calibri"/>
        </w:rPr>
      </w:pPr>
      <w:r w:rsidRPr="007E732E">
        <w:t xml:space="preserve">La </w:t>
      </w:r>
      <w:r w:rsidRPr="007E732E">
        <w:rPr>
          <w:u w:val="single"/>
        </w:rPr>
        <w:t>Parlamentul European,</w:t>
      </w:r>
      <w:r w:rsidRPr="007E732E">
        <w:t xml:space="preserve"> responsabilitatea principală revine Comisiei pentru libertăți civile, justiție și afaceri interne (LIBE). Birgit Sippel (S&amp;D, DE) a fost numită raportoare. La 11 martie 2026, plenul Parlamentului European a aprobat un mandat pentru negocieri interinstituționale, care a introdus modificări la propunerea Comisiei care au limitat în mod semnificativ domeniul de aplicare al derogării.</w:t>
      </w:r>
    </w:p>
    <w:p w14:paraId="25EA7E42" w14:textId="77777777" w:rsidR="007F0905" w:rsidRPr="007E732E" w:rsidRDefault="007F0905" w:rsidP="00C5160D">
      <w:pPr>
        <w:pStyle w:val="Point1231"/>
      </w:pPr>
      <w:r w:rsidRPr="007E732E">
        <w:t xml:space="preserve">În urma </w:t>
      </w:r>
      <w:r w:rsidRPr="007E732E">
        <w:rPr>
          <w:u w:val="single"/>
        </w:rPr>
        <w:t>negocierilor interinstituționale</w:t>
      </w:r>
      <w:r w:rsidRPr="007E732E">
        <w:t xml:space="preserve"> din cadrul a două triloguri (la 12 martie 2026 și la 16 martie 2026), colegiuitorii nu au fost în măsură să ajungă la un acord cu privire la propunerea de prelungire.</w:t>
      </w:r>
    </w:p>
    <w:p w14:paraId="2FFA82B1" w14:textId="77777777" w:rsidR="007F0905" w:rsidRPr="007E732E" w:rsidRDefault="007F0905" w:rsidP="00C5160D">
      <w:pPr>
        <w:pStyle w:val="Point1231"/>
      </w:pPr>
      <w:r w:rsidRPr="007E732E">
        <w:t xml:space="preserve">La 26 martie 2026, plenul </w:t>
      </w:r>
      <w:r w:rsidRPr="007E732E">
        <w:rPr>
          <w:u w:val="single"/>
        </w:rPr>
        <w:t>Parlamentului European</w:t>
      </w:r>
      <w:r w:rsidRPr="007E732E">
        <w:t xml:space="preserve"> a respins propunerea de prelungire în primă lectură</w:t>
      </w:r>
      <w:r w:rsidRPr="007E732E">
        <w:rPr>
          <w:rStyle w:val="FootnoteReference"/>
          <w:rFonts w:eastAsia="Calibri"/>
          <w:szCs w:val="24"/>
        </w:rPr>
        <w:footnoteReference w:id="8"/>
      </w:r>
      <w:r w:rsidRPr="007E732E">
        <w:t>. Prin urmare, Regulamentul provizoriu privind abuzul sexual asupra copiilor a expirat la 3 aprilie 2026, cu consecința că, de la data respectivă, furnizorii nu se mai pot baza pe Regulamentul (UE) 2016/679 pentru a continua să aplice măsuri voluntare în scopul detectării în serviciile lor a abuzului sexual online asupra copiilor și al raportării acestuia și în scopul eliminării din serviciile lor a materialelor care conțin abuzuri sexuale online asupra copiilor.</w:t>
      </w:r>
    </w:p>
    <w:p w14:paraId="38749C8A" w14:textId="77777777" w:rsidR="007F0905" w:rsidRPr="007E732E" w:rsidRDefault="007F0905" w:rsidP="00C5160D">
      <w:pPr>
        <w:spacing w:before="0" w:after="200" w:line="276" w:lineRule="auto"/>
      </w:pPr>
      <w:r w:rsidRPr="007E732E">
        <w:br w:type="page"/>
      </w:r>
    </w:p>
    <w:p w14:paraId="6CA6249C" w14:textId="77777777" w:rsidR="007F0905" w:rsidRPr="007E732E" w:rsidRDefault="007F0905" w:rsidP="00C5160D">
      <w:pPr>
        <w:pStyle w:val="Point1231"/>
      </w:pPr>
      <w:r w:rsidRPr="007E732E">
        <w:lastRenderedPageBreak/>
        <w:t xml:space="preserve">La 18 iunie 2026, </w:t>
      </w:r>
      <w:r w:rsidRPr="007E732E">
        <w:rPr>
          <w:u w:val="single"/>
        </w:rPr>
        <w:t>președinta Parlamentului European</w:t>
      </w:r>
      <w:r w:rsidRPr="007E732E">
        <w:t xml:space="preserve"> a declarat în discursul său adresat Consiliului European că este momentul să se avanseze în ceea ce privește propunerea de regulament provizoriu privind abuzul sexual asupra copiilor și să se analizeze modul în care se poate ajunge la un acord politic în a doua lectură.</w:t>
      </w:r>
    </w:p>
    <w:p w14:paraId="3CD763A4" w14:textId="77777777" w:rsidR="007F0905" w:rsidRPr="007E732E" w:rsidRDefault="007F0905" w:rsidP="00C5160D">
      <w:pPr>
        <w:pStyle w:val="Point1231"/>
      </w:pPr>
      <w:r w:rsidRPr="007E732E">
        <w:t xml:space="preserve">La 25 iunie 2026, </w:t>
      </w:r>
      <w:r w:rsidRPr="007E732E">
        <w:rPr>
          <w:u w:val="single"/>
        </w:rPr>
        <w:t>raportoarea Parlamentului European</w:t>
      </w:r>
      <w:r w:rsidRPr="007E732E">
        <w:t xml:space="preserve"> pentru dosar a trimis o scrisoare președinției Consiliului, subliniind caracterul temporar al derogării în temeiul Regulamentului provizoriu privind abuzul sexual asupra copiilor și îndemnând Consiliul să direcționeze eforturile către dezvoltarea cadrului juridic pe termen lung.</w:t>
      </w:r>
    </w:p>
    <w:p w14:paraId="2E1664DE" w14:textId="77777777" w:rsidR="007F0905" w:rsidRPr="007E732E" w:rsidRDefault="007F0905" w:rsidP="00C5160D">
      <w:pPr>
        <w:pStyle w:val="Point1231"/>
      </w:pPr>
      <w:r w:rsidRPr="007E732E">
        <w:t xml:space="preserve">La 26 iunie 2026, </w:t>
      </w:r>
      <w:r w:rsidRPr="007E732E">
        <w:rPr>
          <w:u w:val="single"/>
        </w:rPr>
        <w:t>Comitetul Reprezentanților Permanenți</w:t>
      </w:r>
      <w:r w:rsidRPr="007E732E">
        <w:t xml:space="preserve"> a oferit orientări președinției și a convenit să procedeze de urgență la adoptarea unei poziții în primă lectură a Consiliului.</w:t>
      </w:r>
    </w:p>
    <w:p w14:paraId="2C286DC5" w14:textId="77777777" w:rsidR="007F0905" w:rsidRPr="007E732E" w:rsidRDefault="007F0905" w:rsidP="00C5160D">
      <w:pPr>
        <w:pStyle w:val="Point1231"/>
      </w:pPr>
      <w:r w:rsidRPr="007E732E">
        <w:t>În urma revizuirii textului de către experții juriști-lingviști, Consiliul și-a adoptat poziția în primă lectură la 2 iulie 2026.</w:t>
      </w:r>
    </w:p>
    <w:p w14:paraId="2607DF3B" w14:textId="77777777" w:rsidR="007F0905" w:rsidRPr="007E732E" w:rsidRDefault="007F0905" w:rsidP="00C5160D">
      <w:pPr>
        <w:pStyle w:val="HeadingIVX"/>
      </w:pPr>
      <w:r w:rsidRPr="007E732E">
        <w:t>MOTIVE PENTRU POZIȚIA ÎN PRIMĂ LECTURĂ A CONSILIULUI</w:t>
      </w:r>
    </w:p>
    <w:p w14:paraId="170BAAE9" w14:textId="77777777" w:rsidR="007F0905" w:rsidRPr="007E732E" w:rsidRDefault="007F0905" w:rsidP="00C5160D">
      <w:pPr>
        <w:pStyle w:val="Point1231"/>
      </w:pPr>
      <w:r w:rsidRPr="007E732E">
        <w:t>Consiliul regretă că nu a fost posibil să se ajungă la un acord politic cu Parlamentul European cu privire la prelungirea Regulamentului provizoriu privind abuzul sexual asupra copiilor în primă lectură. Cu toate acestea, având în vedere importanța evitării unui vid juridic prelungit în combaterea abuzului sexual online asupra copiilor și faptul că negocierile interinstituționale privind cadrul juridic pe termen lung sunt încă în curs, Consiliul a decis să adopte o poziție în primă lectură în temeiul articolului 294 alineatul (5) din TFUE și să o comunice Parlamentului European împreună cu prezenta expunere de motive.</w:t>
      </w:r>
    </w:p>
    <w:p w14:paraId="35A86345" w14:textId="77777777" w:rsidR="007F0905" w:rsidRPr="007E732E" w:rsidRDefault="007F0905" w:rsidP="00C5160D">
      <w:pPr>
        <w:spacing w:before="0" w:after="200" w:line="276" w:lineRule="auto"/>
      </w:pPr>
      <w:r w:rsidRPr="007E732E">
        <w:br w:type="page"/>
      </w:r>
    </w:p>
    <w:p w14:paraId="17F51181" w14:textId="77777777" w:rsidR="007F0905" w:rsidRPr="007E732E" w:rsidRDefault="007F0905" w:rsidP="00C5160D">
      <w:pPr>
        <w:pStyle w:val="Point1231"/>
      </w:pPr>
      <w:r w:rsidRPr="007E732E">
        <w:lastRenderedPageBreak/>
        <w:t>Întrucât propunerea Comisiei de regulament de modificare a Regulamentului (UE) 2021/1232 în ceea ce privește prelungirea perioadei sale de aplicare a prevăzut o prelungire a unui regulament care a expirat și, prin urmare, nu mai poate fi prelungită, Consiliul intenționează să adopte întregul text al Regulamentului provizoriu expirat privind abuzul sexual asupra copiilor, în versiunea sa cea mai recentă, ca nou regulament de sine stătător, cu adaptări ale datelor și eliminări ale dispozițiilor nerelevante, sub titlul „</w:t>
      </w:r>
      <w:r w:rsidRPr="007E732E">
        <w:rPr>
          <w:u w:val="single"/>
        </w:rPr>
        <w:t>Regulamentul Parlamentului European și al Consiliului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r w:rsidRPr="007E732E">
        <w:t>”.</w:t>
      </w:r>
    </w:p>
    <w:p w14:paraId="2FAD479F" w14:textId="77777777" w:rsidR="007F0905" w:rsidRPr="007E732E" w:rsidRDefault="007F0905" w:rsidP="00C5160D">
      <w:pPr>
        <w:pStyle w:val="Point1231"/>
      </w:pPr>
      <w:r w:rsidRPr="007E732E">
        <w:t>Având în vedere importanța combaterii eficace a abuzului sexual online asupra copiilor și până la adoptarea și aplicarea cadrului juridic pe termen lung, este necesar să se permită o derogare temporară de la articolul 5 alineatul (1) și de la articolul 6 alineatul (1) din Directiva 2002/58/CE, în conformitate cu condițiile prevăzute în acest regulament. Având în vedere circumstanțele speciale, perioada de aplicare a acestui regulament ar trebui să fie limitată până la 3 aprilie 2028, pentru a acorda timpul necesar adoptării și intrării în vigoare a cadrului juridic pe termen lung.</w:t>
      </w:r>
    </w:p>
    <w:p w14:paraId="25A17CB9" w14:textId="77777777" w:rsidR="007F0905" w:rsidRPr="007E732E" w:rsidRDefault="007F0905" w:rsidP="00C5160D">
      <w:pPr>
        <w:pStyle w:val="Point1231"/>
      </w:pPr>
      <w:r w:rsidRPr="007E732E">
        <w:t>Având în vedere necesitatea de a asigura, în timp util, securitatea juridică, având în vedere expirarea Regulamentului provizoriu privind abuzul sexual asupra copiilor, este oportun să se prevadă ca acest regulament să intre în vigoare cât mai curând posibil.</w:t>
      </w:r>
    </w:p>
    <w:p w14:paraId="3F3A9681" w14:textId="77777777" w:rsidR="007F0905" w:rsidRPr="007E732E" w:rsidRDefault="007F0905" w:rsidP="00C5160D">
      <w:pPr>
        <w:pStyle w:val="Point1231"/>
      </w:pPr>
      <w:r w:rsidRPr="007E732E">
        <w:t>Poziția Consiliului în primă lectură urmărește obiectivul principal al propunerii de prelungire a Comisiei de a continua combaterea eficace a abuzului sexual online asupra copiilor până la adoptarea și aplicarea cadrului juridic pe termen lung.</w:t>
      </w:r>
    </w:p>
    <w:p w14:paraId="45ACAFC6" w14:textId="77777777" w:rsidR="007F0905" w:rsidRPr="007E732E" w:rsidRDefault="007F0905" w:rsidP="00C5160D">
      <w:pPr>
        <w:spacing w:before="0" w:after="200" w:line="276" w:lineRule="auto"/>
        <w:rPr>
          <w:b/>
          <w:caps/>
          <w:u w:val="single"/>
        </w:rPr>
      </w:pPr>
      <w:r w:rsidRPr="007E732E">
        <w:br w:type="page"/>
      </w:r>
    </w:p>
    <w:p w14:paraId="0CE021C3" w14:textId="77777777" w:rsidR="007F0905" w:rsidRPr="007E732E" w:rsidRDefault="007F0905" w:rsidP="00C5160D">
      <w:pPr>
        <w:pStyle w:val="HeadingIVX"/>
      </w:pPr>
      <w:r w:rsidRPr="007E732E">
        <w:lastRenderedPageBreak/>
        <w:t>CONCLUZIE</w:t>
      </w:r>
    </w:p>
    <w:p w14:paraId="0D7BFFB9" w14:textId="77777777" w:rsidR="007F0905" w:rsidRPr="007E732E" w:rsidRDefault="007F0905" w:rsidP="00C5160D">
      <w:pPr>
        <w:pStyle w:val="Point1231"/>
      </w:pPr>
      <w:r w:rsidRPr="007E732E">
        <w:t>Poziția în primă lectură a Consiliului vizează eliminarea rapidă a lacunei juridice create de expirarea Regulamentului provizoriu privind abuzul sexual asupra copiilor, permițând o derogare temporară și condiționată de la Directiva 2002/58/CE a anumitor măsuri voluntare pentru detectarea abuzului sexual online asupra copiilor. Poziția Consiliului urmărește să asigure faptul că aceste măsuri voluntare care sunt luate pentru protecția copiilor în mediul online pot continua până la punerea în aplicare a unui cadru pe termen lung pentru o astfel de protecție.</w:t>
      </w:r>
    </w:p>
    <w:bookmarkEnd w:id="2"/>
    <w:p w14:paraId="690E136D" w14:textId="77777777" w:rsidR="007F0905" w:rsidRDefault="007F0905">
      <w:pPr>
        <w:pStyle w:val="FinalLine"/>
      </w:pPr>
    </w:p>
    <w:sectPr w:rsidR="007F0905" w:rsidSect="007E732E">
      <w:headerReference w:type="even" r:id="rId17"/>
      <w:headerReference w:type="default" r:id="rId18"/>
      <w:footerReference w:type="even" r:id="rId19"/>
      <w:headerReference w:type="first" r:id="rId20"/>
      <w:footerReference w:type="first" r:id="rId21"/>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494A3" w14:textId="77777777" w:rsidR="00144FF1" w:rsidRDefault="00144FF1" w:rsidP="00A43C50">
      <w:r>
        <w:separator/>
      </w:r>
    </w:p>
  </w:endnote>
  <w:endnote w:type="continuationSeparator" w:id="0">
    <w:p w14:paraId="243F26EA"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D25B" w14:textId="77777777" w:rsidR="007E732E" w:rsidRPr="007E732E" w:rsidRDefault="007E732E" w:rsidP="007E73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E732E" w:rsidRPr="00D94637" w14:paraId="17D08510" w14:textId="77777777" w:rsidTr="007E732E">
      <w:trPr>
        <w:jc w:val="center"/>
      </w:trPr>
      <w:tc>
        <w:tcPr>
          <w:tcW w:w="5000" w:type="pct"/>
          <w:gridSpan w:val="7"/>
          <w:shd w:val="clear" w:color="auto" w:fill="auto"/>
          <w:tcMar>
            <w:top w:w="57" w:type="dxa"/>
          </w:tcMar>
        </w:tcPr>
        <w:p w14:paraId="32AC51F2" w14:textId="77777777" w:rsidR="007E732E" w:rsidRPr="00D94637" w:rsidRDefault="007E732E" w:rsidP="00D94637">
          <w:pPr>
            <w:pStyle w:val="FooterText"/>
            <w:pBdr>
              <w:top w:val="single" w:sz="4" w:space="1" w:color="auto"/>
            </w:pBdr>
            <w:spacing w:before="200"/>
            <w:rPr>
              <w:sz w:val="2"/>
              <w:szCs w:val="2"/>
            </w:rPr>
          </w:pPr>
          <w:bookmarkStart w:id="1" w:name="FOOTER_STANDARD"/>
        </w:p>
      </w:tc>
    </w:tr>
    <w:tr w:rsidR="007E732E" w:rsidRPr="00B310DC" w14:paraId="612448CA" w14:textId="77777777" w:rsidTr="007E732E">
      <w:trPr>
        <w:jc w:val="center"/>
      </w:trPr>
      <w:tc>
        <w:tcPr>
          <w:tcW w:w="2500" w:type="pct"/>
          <w:gridSpan w:val="2"/>
          <w:shd w:val="clear" w:color="auto" w:fill="auto"/>
          <w:tcMar>
            <w:top w:w="0" w:type="dxa"/>
          </w:tcMar>
        </w:tcPr>
        <w:p w14:paraId="358D699D" w14:textId="42C380AA" w:rsidR="007E732E" w:rsidRPr="00AD7BF2" w:rsidRDefault="007E732E" w:rsidP="004F54B2">
          <w:pPr>
            <w:pStyle w:val="FooterText"/>
          </w:pPr>
          <w:r>
            <w:t>11261/1/26</w:t>
          </w:r>
          <w:r w:rsidRPr="002511D8">
            <w:t xml:space="preserve"> </w:t>
          </w:r>
          <w:r>
            <w:t>REV 1 ADD 1</w:t>
          </w:r>
        </w:p>
      </w:tc>
      <w:tc>
        <w:tcPr>
          <w:tcW w:w="625" w:type="pct"/>
          <w:shd w:val="clear" w:color="auto" w:fill="auto"/>
          <w:tcMar>
            <w:top w:w="0" w:type="dxa"/>
          </w:tcMar>
        </w:tcPr>
        <w:p w14:paraId="0D198BB9" w14:textId="77777777" w:rsidR="007E732E" w:rsidRPr="00AD7BF2" w:rsidRDefault="007E732E" w:rsidP="00D94637">
          <w:pPr>
            <w:pStyle w:val="FooterText"/>
            <w:jc w:val="center"/>
          </w:pPr>
        </w:p>
      </w:tc>
      <w:tc>
        <w:tcPr>
          <w:tcW w:w="1286" w:type="pct"/>
          <w:gridSpan w:val="3"/>
          <w:shd w:val="clear" w:color="auto" w:fill="auto"/>
          <w:tcMar>
            <w:top w:w="0" w:type="dxa"/>
          </w:tcMar>
        </w:tcPr>
        <w:p w14:paraId="2811E9F6" w14:textId="77777777" w:rsidR="007E732E" w:rsidRPr="002511D8" w:rsidRDefault="007E732E" w:rsidP="00D94637">
          <w:pPr>
            <w:pStyle w:val="FooterText"/>
            <w:jc w:val="center"/>
          </w:pPr>
        </w:p>
      </w:tc>
      <w:tc>
        <w:tcPr>
          <w:tcW w:w="589" w:type="pct"/>
          <w:shd w:val="clear" w:color="auto" w:fill="auto"/>
          <w:tcMar>
            <w:top w:w="0" w:type="dxa"/>
          </w:tcMar>
        </w:tcPr>
        <w:p w14:paraId="52494D38" w14:textId="3A9EDD9E" w:rsidR="007E732E" w:rsidRPr="00B310DC" w:rsidRDefault="007E732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E732E" w:rsidRPr="00D94637" w14:paraId="4B3AFA88" w14:textId="77777777" w:rsidTr="007E732E">
      <w:trPr>
        <w:jc w:val="center"/>
      </w:trPr>
      <w:tc>
        <w:tcPr>
          <w:tcW w:w="1774" w:type="pct"/>
          <w:shd w:val="clear" w:color="auto" w:fill="auto"/>
        </w:tcPr>
        <w:p w14:paraId="4809595B" w14:textId="465E2E72" w:rsidR="007E732E" w:rsidRPr="00AD7BF2" w:rsidRDefault="007E732E" w:rsidP="00D94637">
          <w:pPr>
            <w:pStyle w:val="FooterText"/>
            <w:spacing w:before="40"/>
          </w:pPr>
        </w:p>
      </w:tc>
      <w:tc>
        <w:tcPr>
          <w:tcW w:w="1455" w:type="pct"/>
          <w:gridSpan w:val="3"/>
          <w:shd w:val="clear" w:color="auto" w:fill="auto"/>
        </w:tcPr>
        <w:p w14:paraId="29B5C815" w14:textId="431B2A08" w:rsidR="007E732E" w:rsidRPr="00AD7BF2" w:rsidRDefault="007E732E" w:rsidP="00D204D6">
          <w:pPr>
            <w:pStyle w:val="FooterText"/>
            <w:spacing w:before="40"/>
            <w:jc w:val="center"/>
          </w:pPr>
          <w:r>
            <w:t>GIP.INST.002</w:t>
          </w:r>
        </w:p>
      </w:tc>
      <w:tc>
        <w:tcPr>
          <w:tcW w:w="742" w:type="pct"/>
          <w:shd w:val="clear" w:color="auto" w:fill="auto"/>
        </w:tcPr>
        <w:p w14:paraId="3DC9A72B" w14:textId="07ED792D" w:rsidR="007E732E" w:rsidRPr="00D94637" w:rsidRDefault="007E732E" w:rsidP="002F0099">
          <w:pPr>
            <w:pStyle w:val="FooterText"/>
            <w:jc w:val="center"/>
            <w:rPr>
              <w:b/>
              <w:position w:val="-4"/>
              <w:sz w:val="36"/>
            </w:rPr>
          </w:pPr>
        </w:p>
      </w:tc>
      <w:tc>
        <w:tcPr>
          <w:tcW w:w="1029" w:type="pct"/>
          <w:gridSpan w:val="2"/>
          <w:shd w:val="clear" w:color="auto" w:fill="auto"/>
        </w:tcPr>
        <w:p w14:paraId="7C1EF8C8" w14:textId="51DD30B2" w:rsidR="007E732E" w:rsidRPr="00695BAF" w:rsidRDefault="007E732E" w:rsidP="00D94637">
          <w:pPr>
            <w:pStyle w:val="FooterText"/>
            <w:jc w:val="right"/>
            <w:rPr>
              <w:caps/>
              <w:spacing w:val="-20"/>
              <w:sz w:val="16"/>
            </w:rPr>
          </w:pPr>
          <w:r>
            <w:rPr>
              <w:b/>
              <w:caps/>
              <w:spacing w:val="-20"/>
              <w:position w:val="-4"/>
              <w:sz w:val="36"/>
            </w:rPr>
            <w:t>RO</w:t>
          </w:r>
        </w:p>
      </w:tc>
    </w:tr>
    <w:bookmarkEnd w:id="1"/>
  </w:tbl>
  <w:p w14:paraId="66A30DBA" w14:textId="77777777" w:rsidR="007E732E" w:rsidRPr="007E732E" w:rsidRDefault="007E732E" w:rsidP="007E732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E732E" w:rsidRPr="00D94637" w14:paraId="6C0E6690" w14:textId="77777777" w:rsidTr="007E732E">
      <w:trPr>
        <w:jc w:val="center"/>
      </w:trPr>
      <w:tc>
        <w:tcPr>
          <w:tcW w:w="5000" w:type="pct"/>
          <w:gridSpan w:val="7"/>
          <w:shd w:val="clear" w:color="auto" w:fill="auto"/>
          <w:tcMar>
            <w:top w:w="57" w:type="dxa"/>
          </w:tcMar>
        </w:tcPr>
        <w:p w14:paraId="15A813DB" w14:textId="77777777" w:rsidR="007E732E" w:rsidRPr="00D94637" w:rsidRDefault="007E732E" w:rsidP="00D94637">
          <w:pPr>
            <w:pStyle w:val="FooterText"/>
            <w:pBdr>
              <w:top w:val="single" w:sz="4" w:space="1" w:color="auto"/>
            </w:pBdr>
            <w:spacing w:before="200"/>
            <w:rPr>
              <w:sz w:val="2"/>
              <w:szCs w:val="2"/>
            </w:rPr>
          </w:pPr>
        </w:p>
      </w:tc>
    </w:tr>
    <w:tr w:rsidR="007E732E" w:rsidRPr="00B310DC" w14:paraId="01943B44" w14:textId="77777777" w:rsidTr="007E732E">
      <w:trPr>
        <w:jc w:val="center"/>
      </w:trPr>
      <w:tc>
        <w:tcPr>
          <w:tcW w:w="2500" w:type="pct"/>
          <w:gridSpan w:val="2"/>
          <w:shd w:val="clear" w:color="auto" w:fill="auto"/>
          <w:tcMar>
            <w:top w:w="0" w:type="dxa"/>
          </w:tcMar>
        </w:tcPr>
        <w:p w14:paraId="7F819061" w14:textId="1494DB29" w:rsidR="007E732E" w:rsidRPr="00AD7BF2" w:rsidRDefault="007E732E" w:rsidP="004F54B2">
          <w:pPr>
            <w:pStyle w:val="FooterText"/>
          </w:pPr>
          <w:r>
            <w:t>11261/1/26</w:t>
          </w:r>
          <w:r w:rsidRPr="002511D8">
            <w:t xml:space="preserve"> </w:t>
          </w:r>
          <w:r>
            <w:t>REV 1 ADD 1</w:t>
          </w:r>
        </w:p>
      </w:tc>
      <w:tc>
        <w:tcPr>
          <w:tcW w:w="625" w:type="pct"/>
          <w:shd w:val="clear" w:color="auto" w:fill="auto"/>
          <w:tcMar>
            <w:top w:w="0" w:type="dxa"/>
          </w:tcMar>
        </w:tcPr>
        <w:p w14:paraId="288CD300" w14:textId="77777777" w:rsidR="007E732E" w:rsidRPr="00AD7BF2" w:rsidRDefault="007E732E" w:rsidP="00D94637">
          <w:pPr>
            <w:pStyle w:val="FooterText"/>
            <w:jc w:val="center"/>
          </w:pPr>
        </w:p>
      </w:tc>
      <w:tc>
        <w:tcPr>
          <w:tcW w:w="1286" w:type="pct"/>
          <w:gridSpan w:val="3"/>
          <w:shd w:val="clear" w:color="auto" w:fill="auto"/>
          <w:tcMar>
            <w:top w:w="0" w:type="dxa"/>
          </w:tcMar>
        </w:tcPr>
        <w:p w14:paraId="3D8760EC" w14:textId="77777777" w:rsidR="007E732E" w:rsidRPr="002511D8" w:rsidRDefault="007E732E" w:rsidP="00D94637">
          <w:pPr>
            <w:pStyle w:val="FooterText"/>
            <w:jc w:val="center"/>
          </w:pPr>
        </w:p>
      </w:tc>
      <w:tc>
        <w:tcPr>
          <w:tcW w:w="589" w:type="pct"/>
          <w:shd w:val="clear" w:color="auto" w:fill="auto"/>
          <w:tcMar>
            <w:top w:w="0" w:type="dxa"/>
          </w:tcMar>
        </w:tcPr>
        <w:p w14:paraId="0D9E00E0" w14:textId="7BC611EF" w:rsidR="007E732E" w:rsidRPr="00B310DC" w:rsidRDefault="007E732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E732E" w:rsidRPr="00D94637" w14:paraId="4872D504" w14:textId="77777777" w:rsidTr="007E732E">
      <w:trPr>
        <w:jc w:val="center"/>
      </w:trPr>
      <w:tc>
        <w:tcPr>
          <w:tcW w:w="1774" w:type="pct"/>
          <w:shd w:val="clear" w:color="auto" w:fill="auto"/>
        </w:tcPr>
        <w:p w14:paraId="2EB2416C" w14:textId="324A0B3B" w:rsidR="007E732E" w:rsidRPr="00AD7BF2" w:rsidRDefault="007E732E" w:rsidP="00D94637">
          <w:pPr>
            <w:pStyle w:val="FooterText"/>
            <w:spacing w:before="40"/>
          </w:pPr>
        </w:p>
      </w:tc>
      <w:tc>
        <w:tcPr>
          <w:tcW w:w="1455" w:type="pct"/>
          <w:gridSpan w:val="3"/>
          <w:shd w:val="clear" w:color="auto" w:fill="auto"/>
        </w:tcPr>
        <w:p w14:paraId="07849C0A" w14:textId="449C86C8" w:rsidR="007E732E" w:rsidRPr="00AD7BF2" w:rsidRDefault="007E732E" w:rsidP="00D204D6">
          <w:pPr>
            <w:pStyle w:val="FooterText"/>
            <w:spacing w:before="40"/>
            <w:jc w:val="center"/>
          </w:pPr>
          <w:r>
            <w:t>GIP.INST.002</w:t>
          </w:r>
        </w:p>
      </w:tc>
      <w:tc>
        <w:tcPr>
          <w:tcW w:w="742" w:type="pct"/>
          <w:shd w:val="clear" w:color="auto" w:fill="auto"/>
        </w:tcPr>
        <w:p w14:paraId="0562D569" w14:textId="2650CD55" w:rsidR="007E732E" w:rsidRPr="00D94637" w:rsidRDefault="007E732E" w:rsidP="002F0099">
          <w:pPr>
            <w:pStyle w:val="FooterText"/>
            <w:jc w:val="center"/>
            <w:rPr>
              <w:b/>
              <w:position w:val="-4"/>
              <w:sz w:val="36"/>
            </w:rPr>
          </w:pPr>
        </w:p>
      </w:tc>
      <w:tc>
        <w:tcPr>
          <w:tcW w:w="1029" w:type="pct"/>
          <w:gridSpan w:val="2"/>
          <w:shd w:val="clear" w:color="auto" w:fill="auto"/>
        </w:tcPr>
        <w:p w14:paraId="3BA1C798" w14:textId="4ED41B90" w:rsidR="007E732E" w:rsidRPr="00695BAF" w:rsidRDefault="007E732E" w:rsidP="00D94637">
          <w:pPr>
            <w:pStyle w:val="FooterText"/>
            <w:jc w:val="right"/>
            <w:rPr>
              <w:caps/>
              <w:spacing w:val="-20"/>
              <w:sz w:val="16"/>
            </w:rPr>
          </w:pPr>
          <w:r>
            <w:rPr>
              <w:b/>
              <w:caps/>
              <w:spacing w:val="-20"/>
              <w:position w:val="-4"/>
              <w:sz w:val="36"/>
            </w:rPr>
            <w:t>RO</w:t>
          </w:r>
        </w:p>
      </w:tc>
    </w:tr>
  </w:tbl>
  <w:p w14:paraId="6D738636" w14:textId="77777777" w:rsidR="007E732E" w:rsidRPr="007E732E" w:rsidRDefault="007E732E" w:rsidP="007E732E">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36BB1" w14:textId="77777777" w:rsidR="00A26B0B" w:rsidRPr="007E732E" w:rsidRDefault="00A26B0B" w:rsidP="007E73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A8B4" w14:textId="77777777" w:rsidR="00A26B0B" w:rsidRPr="007E732E" w:rsidRDefault="00A26B0B" w:rsidP="007E7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00F57" w14:textId="77777777" w:rsidR="00144FF1" w:rsidRDefault="00144FF1" w:rsidP="00A43C50">
      <w:r>
        <w:separator/>
      </w:r>
    </w:p>
  </w:footnote>
  <w:footnote w:type="continuationSeparator" w:id="0">
    <w:p w14:paraId="567E3DEA" w14:textId="77777777" w:rsidR="00144FF1" w:rsidRDefault="00144FF1" w:rsidP="00A43C50">
      <w:r>
        <w:continuationSeparator/>
      </w:r>
    </w:p>
  </w:footnote>
  <w:footnote w:id="1">
    <w:p w14:paraId="77A64D20" w14:textId="77777777" w:rsidR="007F0905" w:rsidRPr="007E732E" w:rsidRDefault="007F0905" w:rsidP="00C5160D">
      <w:pPr>
        <w:pStyle w:val="FootnoteText"/>
        <w:ind w:left="567" w:hanging="567"/>
        <w:rPr>
          <w:szCs w:val="24"/>
        </w:rPr>
      </w:pPr>
      <w:r w:rsidRPr="007E732E">
        <w:rPr>
          <w:rStyle w:val="FootnoteReference"/>
          <w:szCs w:val="24"/>
        </w:rPr>
        <w:footnoteRef/>
      </w:r>
      <w:r w:rsidRPr="007E732E">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1-88.</w:t>
      </w:r>
    </w:p>
  </w:footnote>
  <w:footnote w:id="2">
    <w:p w14:paraId="41E9B4A5" w14:textId="77777777" w:rsidR="007F0905" w:rsidRPr="007E732E" w:rsidRDefault="007F0905" w:rsidP="00C5160D">
      <w:pPr>
        <w:pStyle w:val="FootnoteText"/>
        <w:ind w:left="567" w:hanging="567"/>
        <w:rPr>
          <w:szCs w:val="24"/>
        </w:rPr>
      </w:pPr>
      <w:r w:rsidRPr="007E732E">
        <w:rPr>
          <w:rStyle w:val="FootnoteReference"/>
          <w:szCs w:val="24"/>
        </w:rPr>
        <w:footnoteRef/>
      </w:r>
      <w:r w:rsidRPr="007E732E">
        <w:tab/>
        <w:t>Directiva (UE) 2018/1972 a Parlamentului European și a Consiliului din 11 decembrie 2018 de instituire a Codului european al comunicațiilor electronice (reformare), JO L 321, 17.12.2018, p. 36-214.</w:t>
      </w:r>
    </w:p>
  </w:footnote>
  <w:footnote w:id="3">
    <w:p w14:paraId="3DC3E6B2" w14:textId="77777777" w:rsidR="007F0905" w:rsidRPr="00CD6B36" w:rsidRDefault="007F0905" w:rsidP="00C5160D">
      <w:pPr>
        <w:pStyle w:val="FootnoteText"/>
        <w:ind w:left="567" w:hanging="567"/>
        <w:rPr>
          <w:spacing w:val="-2"/>
        </w:rPr>
      </w:pPr>
      <w:r w:rsidRPr="00CD6B36">
        <w:rPr>
          <w:rStyle w:val="FootnoteReference"/>
          <w:spacing w:val="-2"/>
          <w:szCs w:val="24"/>
        </w:rPr>
        <w:footnoteRef/>
      </w:r>
      <w:r w:rsidRPr="00CD6B36">
        <w:rPr>
          <w:spacing w:val="-2"/>
        </w:rPr>
        <w:tab/>
        <w:t>Directiva 2002/58/CE a Parlamentului European și a Consiliului din 12 iulie 2002 privind prelucrarea datelor personale și protejarea confidențialității în sectorul comunicațiilor publice (Directiva asupra confidențialității și comunicațiilor electronice), JO L 201, 31.7.2002, p. 37-47.</w:t>
      </w:r>
    </w:p>
  </w:footnote>
  <w:footnote w:id="4">
    <w:p w14:paraId="1F7622D1" w14:textId="77777777" w:rsidR="007F0905" w:rsidRPr="007E732E" w:rsidRDefault="007F0905" w:rsidP="00C5160D">
      <w:pPr>
        <w:pStyle w:val="FootnoteText"/>
        <w:ind w:left="567" w:hanging="567"/>
        <w:rPr>
          <w:szCs w:val="24"/>
        </w:rPr>
      </w:pPr>
      <w:r w:rsidRPr="007E732E">
        <w:rPr>
          <w:rStyle w:val="FootnoteReference"/>
          <w:szCs w:val="24"/>
        </w:rPr>
        <w:footnoteRef/>
      </w:r>
      <w:r w:rsidRPr="007E732E">
        <w:tab/>
        <w:t>Regulamentul (UE) 2021/1232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274, 30.7.2021, p. 41-51.</w:t>
      </w:r>
    </w:p>
  </w:footnote>
  <w:footnote w:id="5">
    <w:p w14:paraId="122271D6" w14:textId="77777777" w:rsidR="007F0905" w:rsidRPr="007E732E" w:rsidRDefault="007F0905" w:rsidP="00C5160D">
      <w:pPr>
        <w:pStyle w:val="FootnoteText"/>
        <w:ind w:left="567" w:hanging="567"/>
        <w:rPr>
          <w:szCs w:val="24"/>
        </w:rPr>
      </w:pPr>
      <w:r w:rsidRPr="007E732E">
        <w:rPr>
          <w:rStyle w:val="FootnoteReference"/>
          <w:szCs w:val="24"/>
        </w:rPr>
        <w:footnoteRef/>
      </w:r>
      <w:r w:rsidRPr="007E732E">
        <w:tab/>
        <w:t>Doc. 9068/22.</w:t>
      </w:r>
    </w:p>
  </w:footnote>
  <w:footnote w:id="6">
    <w:p w14:paraId="4E75E446" w14:textId="77777777" w:rsidR="007F0905" w:rsidRPr="007E732E" w:rsidRDefault="007F0905" w:rsidP="00C5160D">
      <w:pPr>
        <w:pStyle w:val="FootnoteText"/>
        <w:ind w:left="567" w:hanging="567"/>
        <w:rPr>
          <w:szCs w:val="24"/>
        </w:rPr>
      </w:pPr>
      <w:r w:rsidRPr="007E732E">
        <w:rPr>
          <w:rStyle w:val="FootnoteReference"/>
          <w:szCs w:val="24"/>
        </w:rPr>
        <w:footnoteRef/>
      </w:r>
      <w:r w:rsidRPr="007E732E">
        <w:tab/>
        <w:t>Regulamentul (UE) 2024/1307 al Parlamentului European și al Consiliului din 29 aprilie 2024 de modificare a Regulamentului (UE) 2021/1232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2024/1307, 14.5.2024.</w:t>
      </w:r>
    </w:p>
  </w:footnote>
  <w:footnote w:id="7">
    <w:p w14:paraId="1BC340DA" w14:textId="77777777" w:rsidR="007F0905" w:rsidRPr="007E732E" w:rsidRDefault="007F0905" w:rsidP="00C5160D">
      <w:pPr>
        <w:pStyle w:val="FootnoteText"/>
        <w:ind w:left="567" w:hanging="567"/>
      </w:pPr>
      <w:r w:rsidRPr="007E732E">
        <w:rPr>
          <w:rStyle w:val="FootnoteReference"/>
          <w:szCs w:val="24"/>
        </w:rPr>
        <w:footnoteRef/>
      </w:r>
      <w:r w:rsidRPr="007E732E">
        <w:tab/>
        <w:t>Doc. 5761/26.</w:t>
      </w:r>
    </w:p>
  </w:footnote>
  <w:footnote w:id="8">
    <w:p w14:paraId="2C9BA27E" w14:textId="77777777" w:rsidR="007F0905" w:rsidRPr="007E732E" w:rsidRDefault="007F0905" w:rsidP="00C5160D">
      <w:pPr>
        <w:pStyle w:val="FootnoteText"/>
        <w:ind w:left="567" w:hanging="567"/>
        <w:rPr>
          <w:szCs w:val="24"/>
        </w:rPr>
      </w:pPr>
      <w:r w:rsidRPr="007E732E">
        <w:rPr>
          <w:rStyle w:val="FootnoteReference"/>
          <w:szCs w:val="24"/>
        </w:rPr>
        <w:footnoteRef/>
      </w:r>
      <w:r w:rsidRPr="007E732E">
        <w:tab/>
        <w:t>Doc. 7630/26.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ED66" w14:textId="77777777" w:rsidR="007E732E" w:rsidRPr="007E732E" w:rsidRDefault="007E732E" w:rsidP="007E73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BB5D" w14:textId="2335BD28" w:rsidR="007E732E" w:rsidRPr="007E732E" w:rsidRDefault="007E732E" w:rsidP="007E732E">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4AD0" w14:textId="711875E9" w:rsidR="007E732E" w:rsidRPr="007E732E" w:rsidRDefault="007E732E" w:rsidP="007E732E">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831" w14:textId="77777777" w:rsidR="00A26B0B" w:rsidRPr="007E732E" w:rsidRDefault="00A26B0B" w:rsidP="007E73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878D" w14:textId="77777777" w:rsidR="00A26B0B" w:rsidRPr="007E732E" w:rsidRDefault="00A26B0B" w:rsidP="007E73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C64F" w14:textId="77777777" w:rsidR="00A26B0B" w:rsidRPr="007E732E" w:rsidRDefault="00A26B0B" w:rsidP="007E73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603027315">
    <w:abstractNumId w:val="0"/>
  </w:num>
  <w:num w:numId="2" w16cid:durableId="1953900622">
    <w:abstractNumId w:val="6"/>
  </w:num>
  <w:num w:numId="3" w16cid:durableId="1273636516">
    <w:abstractNumId w:val="8"/>
  </w:num>
  <w:num w:numId="4" w16cid:durableId="1576817402">
    <w:abstractNumId w:val="5"/>
  </w:num>
  <w:num w:numId="5" w16cid:durableId="1110930476">
    <w:abstractNumId w:val="4"/>
  </w:num>
  <w:num w:numId="6" w16cid:durableId="1937788932">
    <w:abstractNumId w:val="13"/>
  </w:num>
  <w:num w:numId="7" w16cid:durableId="1924214512">
    <w:abstractNumId w:val="18"/>
  </w:num>
  <w:num w:numId="8" w16cid:durableId="1573419672">
    <w:abstractNumId w:val="14"/>
  </w:num>
  <w:num w:numId="9" w16cid:durableId="926961802">
    <w:abstractNumId w:val="1"/>
  </w:num>
  <w:num w:numId="10" w16cid:durableId="40440537">
    <w:abstractNumId w:val="15"/>
  </w:num>
  <w:num w:numId="11" w16cid:durableId="1582786757">
    <w:abstractNumId w:val="11"/>
  </w:num>
  <w:num w:numId="12" w16cid:durableId="154075747">
    <w:abstractNumId w:val="2"/>
  </w:num>
  <w:num w:numId="13" w16cid:durableId="12928080">
    <w:abstractNumId w:val="17"/>
  </w:num>
  <w:num w:numId="14" w16cid:durableId="883566183">
    <w:abstractNumId w:val="19"/>
  </w:num>
  <w:num w:numId="15" w16cid:durableId="1340086919">
    <w:abstractNumId w:val="9"/>
  </w:num>
  <w:num w:numId="16" w16cid:durableId="1694724211">
    <w:abstractNumId w:val="16"/>
  </w:num>
  <w:num w:numId="17" w16cid:durableId="984047335">
    <w:abstractNumId w:val="12"/>
  </w:num>
  <w:num w:numId="18" w16cid:durableId="268901925">
    <w:abstractNumId w:val="10"/>
  </w:num>
  <w:num w:numId="19" w16cid:durableId="1290670738">
    <w:abstractNumId w:val="7"/>
  </w:num>
  <w:num w:numId="20" w16cid:durableId="1907840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38244900380335949&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7-02&lt;/text&gt;_x000d__x000a_  &lt;/metadata&gt;_x000d__x000a_  &lt;metadata key=&quot;md_Prefix&quot; translate=&quot;false&quot;&gt;_x000d__x000a_    &lt;text&gt;&lt;/text&gt;_x000d__x000a_  &lt;/metadata&gt;_x000d__x000a_  &lt;metadata key=&quot;md_DocumentNumber&quot; translate=&quot;false&quot;&gt;_x000d__x000a_    &lt;text&gt;11261&lt;/text&gt;_x000d__x000a_  &lt;/metadata&gt;_x000d__x000a_  &lt;metadata key=&quot;md_YearDocumentNumber&quot; translate=&quot;false&quot;&gt;_x000d__x000a_    &lt;text&gt;2026&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JAI 924&lt;/text&gt;_x000d__x000a_      &lt;text&gt;ENFOPOL 246&lt;/text&gt;_x000d__x000a_      &lt;text&gt;CRIMORG 143&lt;/text&gt;_x000d__x000a_      &lt;text&gt;IXIM 150&lt;/text&gt;_x000d__x000a_      &lt;text&gt;DATAPROTECT 223&lt;/text&gt;_x000d__x000a_      &lt;text&gt;CYBER 326&lt;/text&gt;_x000d__x000a_      &lt;text&gt;COPEN 253&lt;/text&gt;_x000d__x000a_      &lt;text&gt;FREMP 230&lt;/text&gt;_x000d__x000a_      &lt;text&gt;TELECOM 361&lt;/text&gt;_x000d__x000a_      &lt;text&gt;COMPET 894&lt;/text&gt;_x000d__x000a_      &lt;text&gt;MI 721&lt;/text&gt;_x000d__x000a_      &lt;text&gt;CONSOM 221&lt;/text&gt;_x000d__x000a_      &lt;text&gt;DIGIT 185&lt;/text&gt;_x000d__x000a_      &lt;text&gt;CODEC 1341&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5/0429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a în prim&amp;#259; lectur&amp;#259; a Consiliului în vederea adopt&amp;#259;rii unui REGULAMENT AL PARLAMENTULUI EUROPEAN &amp;#536;I AL CONSILIULUI privind o derogare temporar&amp;#259; de la anumite dispozi&amp;#539;ii ale Directivei 2002/58/CE în ceea ce prive&amp;#537;te utilizarea tehnologiilor de c&amp;#259;tre furnizorii de servicii de comunica&amp;#539;ii interpersonale care nu se bazeaz&amp;#259; pe numere pentru prelucrarea datelor cu caracter personal &amp;#537;i a altor date în scopul combaterii abuzului sexual online asupra copiilor &amp;#8211; Expunere de motive a Consiliului &amp;#8211; Adoptat&amp;#259; de Consiliu la 2 iulie 2026&quot;&gt;&amp;lt;FlowDocument xmlns=&quot;http://schemas.microsoft.com/winfx/2006/xaml/presentation&quot;&amp;gt;&amp;lt;Paragraph&amp;gt;Pozi&amp;#539;ia în prim&amp;#259; lectur&amp;#259; a Consiliului în vederea adopt&amp;#259;rii unui REGULAMENT AL PARLAMENTULUI EUROPEAN &amp;#536;I AL CONSILIULUI privind o derogare temporar&amp;#259; de la anumite dispozi&amp;#539;ii ale Directivei 2002/58/CE în ceea ce prive&amp;#537;te utilizarea tehnologiilor de c&amp;#259;tre furnizorii de servicii de comunica&amp;#539;ii interpersonale care nu se bazeaz&amp;#259; pe numere pentru prelucrarea datelor cu caracter personal &amp;#537;i a altor date în scopul combaterii abuzului sexual online asupra copiilor&amp;lt;/Paragraph&amp;gt;&amp;lt;Paragraph&amp;gt;&amp;#8211; Expunere de motive a Consiliului&amp;lt;/Paragraph&amp;gt;&amp;lt;Paragraph&amp;gt;&amp;#8211; Adoptat&amp;#259; de Consiliu la 2 iulie 2026&amp;lt;/Paragraph&amp;gt;&amp;lt;/FlowDocument&amp;gt;&lt;/xaml&gt;_x000d__x000a_  &lt;/metadata&gt;_x000d__x000a_  &lt;metadata key=&quot;md_SubjectFootnote&quot; translate=&quot;false&quot;&gt;_x000d__x000a_    &lt;text&gt;&lt;/text&gt;_x000d__x000a_  &lt;/metadata&gt;_x000d__x000a_  &lt;metadata key=&quot;md_DG&quot; translate=&quot;false&quot;&gt;_x000d__x000a_    &lt;text&gt;GIP.INST.00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DQC_HasErrors" w:val="true"/>
    <w:docVar w:name="DW_TechnicalBlockHash" w:val="31daf2e4efd970325988747f6bb10fa50132b8fd6748c917970279e0d91df0ac"/>
  </w:docVars>
  <w:rsids>
    <w:rsidRoot w:val="00A86151"/>
    <w:rsid w:val="00052D7C"/>
    <w:rsid w:val="00141179"/>
    <w:rsid w:val="00144FF1"/>
    <w:rsid w:val="001C16E9"/>
    <w:rsid w:val="003558E4"/>
    <w:rsid w:val="003B3627"/>
    <w:rsid w:val="003C184A"/>
    <w:rsid w:val="00443A64"/>
    <w:rsid w:val="0054146C"/>
    <w:rsid w:val="00546796"/>
    <w:rsid w:val="005E03BD"/>
    <w:rsid w:val="007C4F7F"/>
    <w:rsid w:val="007E732E"/>
    <w:rsid w:val="007F0905"/>
    <w:rsid w:val="007F499B"/>
    <w:rsid w:val="00854E58"/>
    <w:rsid w:val="00894139"/>
    <w:rsid w:val="00A26B0B"/>
    <w:rsid w:val="00A43C50"/>
    <w:rsid w:val="00A86151"/>
    <w:rsid w:val="00AD5FFC"/>
    <w:rsid w:val="00B86C22"/>
    <w:rsid w:val="00CD6B36"/>
    <w:rsid w:val="00CF1C1E"/>
    <w:rsid w:val="00D3039B"/>
    <w:rsid w:val="00D93DFA"/>
    <w:rsid w:val="00EF407C"/>
    <w:rsid w:val="00F84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C2F503"/>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7E732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7E732E"/>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7E732E"/>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7E732E"/>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7E732E"/>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7E732E"/>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7E732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E732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E732E"/>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E732E"/>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7E732E"/>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7E732E"/>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7E732E"/>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7E732E"/>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7E732E"/>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7E732E"/>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7E73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B8F03F-2D95-46C1-94DF-196C4505BF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DF1154-2B54-4A4C-A3EB-CE2AC2D9D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B40D2E6-E9E4-499D-BA38-1F4F577897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DW_COUNCIL.dotm</Template>
  <TotalTime>4</TotalTime>
  <Pages>7</Pages>
  <Words>1602</Words>
  <Characters>8653</Characters>
  <Application>Microsoft Office Word</Application>
  <DocSecurity>0</DocSecurity>
  <Lines>192</Lines>
  <Paragraphs>69</Paragraphs>
  <ScaleCrop>false</ScaleCrop>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Konstantinos%20CHANTZARAS</dc:creator>
  <cp:keywords/>
  <dc:description/>
  <cp:lastModifiedBy>MARGARINT Marius Claudiu</cp:lastModifiedBy>
  <cp:revision>4</cp:revision>
  <dcterms:created xsi:type="dcterms:W3CDTF">2026-07-02T13:21:00Z</dcterms:created>
  <dcterms:modified xsi:type="dcterms:W3CDTF">2026-07-02T14:12:00Z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2026-07-02T13:14:03Z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0x0101007818E9B9B6B6C74E848735DCDD5F12C9</vt:lpwstr>
  </property>
</Properties>
</file>