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886718928"/>
        <w:lock w:val="contentLocked"/>
      </w:sdtPr>
      <w:sdtEndPr>
        <w:rPr>
          <w:rFonts w:ascii="Times New Roman" w:eastAsiaTheme="minorHAnsi" w:hAnsi="Times New Roman" w:cs="Times New Roman"/>
          <w:sz w:val="24"/>
          <w:szCs w:val="22"/>
          <w:lang w:eastAsia="ro-RO" w:bidi="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0A12CD" w:rsidRPr="005F5A6B" w14:paraId="57B5D410" w14:textId="77777777" w:rsidTr="00EE7DE6">
            <w:trPr>
              <w:cantSplit/>
              <w:trHeight w:val="510"/>
              <w:jc w:val="center"/>
            </w:trPr>
            <w:tc>
              <w:tcPr>
                <w:tcW w:w="11344" w:type="dxa"/>
                <w:gridSpan w:val="6"/>
                <w:vAlign w:val="bottom"/>
              </w:tcPr>
              <w:p w14:paraId="389F70C4" w14:textId="7131A885" w:rsidR="000A12CD" w:rsidRPr="005F5A6B" w:rsidRDefault="000A12CD" w:rsidP="00EE7DE6">
                <w:pPr>
                  <w:pStyle w:val="TBNormalTechnicalBlock"/>
                  <w:jc w:val="right"/>
                  <w:rPr>
                    <w:b w:val="0"/>
                    <w:bCs/>
                  </w:rPr>
                </w:pPr>
              </w:p>
            </w:tc>
          </w:tr>
          <w:tr w:rsidR="000A12CD" w:rsidRPr="006720F9" w14:paraId="2764A81E" w14:textId="77777777" w:rsidTr="00296074">
            <w:trPr>
              <w:cantSplit/>
              <w:trHeight w:val="567"/>
              <w:jc w:val="center"/>
            </w:trPr>
            <w:tc>
              <w:tcPr>
                <w:tcW w:w="1820" w:type="dxa"/>
                <w:gridSpan w:val="2"/>
                <w:vAlign w:val="bottom"/>
              </w:tcPr>
              <w:p w14:paraId="759540E0" w14:textId="77777777" w:rsidR="000A12CD" w:rsidRPr="006C5D93" w:rsidRDefault="000A12CD" w:rsidP="003C6CD1">
                <w:pPr>
                  <w:pStyle w:val="TBEntInstit"/>
                </w:pPr>
                <w:r w:rsidRPr="006C5D93">
                  <w:rPr>
                    <w:noProof/>
                  </w:rPr>
                  <w:drawing>
                    <wp:inline distT="0" distB="0" distL="0" distR="0" wp14:anchorId="70E8FBD3" wp14:editId="3511C637">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79E6D41F" w14:textId="77777777" w:rsidR="000A12CD" w:rsidRPr="008414C3" w:rsidRDefault="000A12CD" w:rsidP="005125B1">
                <w:pPr>
                  <w:pStyle w:val="TBInstitution"/>
                </w:pPr>
                <w:r>
                  <w:t>Consiliul</w:t>
                </w:r>
                <w:r>
                  <w:br/>
                  <w:t>Uniunii Europene</w:t>
                </w:r>
              </w:p>
            </w:tc>
          </w:tr>
          <w:tr w:rsidR="000A12CD" w:rsidRPr="006720F9" w14:paraId="69D3B879" w14:textId="77777777" w:rsidTr="00D5364D">
            <w:trPr>
              <w:gridBefore w:val="2"/>
              <w:wBefore w:w="1820" w:type="dxa"/>
              <w:cantSplit/>
              <w:trHeight w:val="1191"/>
              <w:jc w:val="center"/>
            </w:trPr>
            <w:tc>
              <w:tcPr>
                <w:tcW w:w="4558" w:type="dxa"/>
                <w:gridSpan w:val="2"/>
                <w:tcMar>
                  <w:top w:w="28" w:type="dxa"/>
                  <w:left w:w="85" w:type="dxa"/>
                </w:tcMar>
              </w:tcPr>
              <w:p w14:paraId="5B924E4E" w14:textId="77777777" w:rsidR="000A12CD" w:rsidRPr="00327887" w:rsidRDefault="000A12CD" w:rsidP="00762DBC">
                <w:pPr>
                  <w:pStyle w:val="TBInstitutionSubwordmark"/>
                </w:pPr>
              </w:p>
            </w:tc>
            <w:tc>
              <w:tcPr>
                <w:tcW w:w="147" w:type="dxa"/>
                <w:vAlign w:val="bottom"/>
              </w:tcPr>
              <w:p w14:paraId="16D2E426" w14:textId="77777777" w:rsidR="000A12CD" w:rsidRPr="00093255" w:rsidRDefault="000A12CD" w:rsidP="00D5364D">
                <w:pPr>
                  <w:pStyle w:val="TBNormalTechnicalBlock"/>
                  <w:jc w:val="right"/>
                  <w:rPr>
                    <w:b w:val="0"/>
                    <w:bCs/>
                  </w:rPr>
                </w:pPr>
              </w:p>
            </w:tc>
            <w:tc>
              <w:tcPr>
                <w:tcW w:w="4819" w:type="dxa"/>
                <w:vMerge w:val="restart"/>
                <w:tcMar>
                  <w:top w:w="0" w:type="dxa"/>
                </w:tcMar>
              </w:tcPr>
              <w:p w14:paraId="3387492B" w14:textId="77777777" w:rsidR="000A12CD" w:rsidRPr="0012121B" w:rsidRDefault="000A12CD" w:rsidP="001A5B8F">
                <w:pPr>
                  <w:pStyle w:val="TBNormalTechnicalBlock"/>
                </w:pPr>
                <w:r>
                  <w:t>Bruxelles, 16 septembrie 2026</w:t>
                </w:r>
              </w:p>
              <w:p w14:paraId="680EB569" w14:textId="77777777" w:rsidR="000A12CD" w:rsidRPr="00871A20" w:rsidRDefault="000A12CD" w:rsidP="009024D2">
                <w:pPr>
                  <w:pStyle w:val="TBNormalTechnicalBlock"/>
                  <w:rPr>
                    <w:bCs/>
                  </w:rPr>
                </w:pPr>
                <w:r w:rsidRPr="00E60683">
                  <w:rPr>
                    <w:bCs/>
                  </w:rPr>
                  <w:t xml:space="preserve">(OR. </w:t>
                </w:r>
                <w:r>
                  <w:rPr>
                    <w:bCs/>
                  </w:rPr>
                  <w:t>en</w:t>
                </w:r>
                <w:r w:rsidRPr="00871A20">
                  <w:rPr>
                    <w:bCs/>
                  </w:rPr>
                  <w:t>)</w:t>
                </w:r>
              </w:p>
              <w:p w14:paraId="17525F3A" w14:textId="77777777" w:rsidR="000A12CD" w:rsidRPr="00871A20" w:rsidRDefault="000A12CD" w:rsidP="00871A20">
                <w:pPr>
                  <w:pStyle w:val="TBNormalTechnicalBlock"/>
                  <w:jc w:val="right"/>
                </w:pPr>
              </w:p>
              <w:p w14:paraId="4E1C04FE" w14:textId="77777777" w:rsidR="000A12CD" w:rsidRPr="00871A20" w:rsidRDefault="000A12CD" w:rsidP="00871A20">
                <w:pPr>
                  <w:pStyle w:val="TBNormalTechnicalBlock"/>
                  <w:jc w:val="right"/>
                </w:pPr>
              </w:p>
              <w:p w14:paraId="23F864B5" w14:textId="77777777" w:rsidR="000A12CD" w:rsidRPr="00F65A71" w:rsidRDefault="000A12CD" w:rsidP="009024D2">
                <w:pPr>
                  <w:pStyle w:val="TBNormalTechnicalBlock"/>
                  <w:rPr>
                    <w:bCs/>
                    <w:lang w:val="en-US"/>
                  </w:rPr>
                </w:pPr>
                <w:r>
                  <w:rPr>
                    <w:bCs/>
                    <w:lang w:val="en-US"/>
                  </w:rPr>
                  <w:t>13163</w:t>
                </w:r>
                <w:r w:rsidRPr="00F65A71">
                  <w:rPr>
                    <w:bCs/>
                    <w:lang w:val="en-US"/>
                  </w:rPr>
                  <w:t>/</w:t>
                </w:r>
                <w:r>
                  <w:rPr>
                    <w:bCs/>
                    <w:lang w:val="en-US"/>
                  </w:rPr>
                  <w:t>26</w:t>
                </w:r>
              </w:p>
              <w:p w14:paraId="0B3C44D4" w14:textId="77777777" w:rsidR="000A12CD" w:rsidRPr="00F65A71" w:rsidRDefault="000A12CD" w:rsidP="009024D2">
                <w:pPr>
                  <w:pStyle w:val="TBNormalTechnicalBlock"/>
                  <w:rPr>
                    <w:lang w:val="en-US"/>
                  </w:rPr>
                </w:pPr>
              </w:p>
              <w:p w14:paraId="22294106" w14:textId="77777777" w:rsidR="000A12CD" w:rsidRPr="00F65A71" w:rsidRDefault="000A12CD" w:rsidP="00871A20">
                <w:pPr>
                  <w:pStyle w:val="TBNormalTechnicalBlock"/>
                  <w:jc w:val="right"/>
                  <w:rPr>
                    <w:lang w:val="en-US"/>
                  </w:rPr>
                </w:pPr>
              </w:p>
              <w:p w14:paraId="23B04C03" w14:textId="77777777" w:rsidR="000A12CD" w:rsidRDefault="000A12CD" w:rsidP="009024D2">
                <w:pPr>
                  <w:pStyle w:val="TBNormalTechnicalBlock"/>
                </w:pPr>
              </w:p>
              <w:p w14:paraId="3D60D7D8" w14:textId="77777777" w:rsidR="000A12CD" w:rsidRDefault="000A12CD" w:rsidP="00871A20">
                <w:pPr>
                  <w:pStyle w:val="TBNormalTechnicalBlock"/>
                  <w:jc w:val="right"/>
                </w:pPr>
              </w:p>
              <w:p w14:paraId="4745619E" w14:textId="77777777" w:rsidR="000A12CD" w:rsidRDefault="000A12CD">
                <w:pPr>
                  <w:pStyle w:val="TBEntRefer"/>
                  <w:tabs>
                    <w:tab w:val="left" w:pos="2265"/>
                  </w:tabs>
                </w:pPr>
                <w:r>
                  <w:t>COSI 139</w:t>
                </w:r>
              </w:p>
              <w:p w14:paraId="4BBED6AB" w14:textId="77777777" w:rsidR="000A12CD" w:rsidRDefault="000A12CD">
                <w:pPr>
                  <w:pStyle w:val="TBEntRefer"/>
                  <w:tabs>
                    <w:tab w:val="left" w:pos="2265"/>
                  </w:tabs>
                </w:pPr>
                <w:r>
                  <w:t>CRIMORG 194</w:t>
                </w:r>
              </w:p>
              <w:p w14:paraId="733E4A04" w14:textId="77777777" w:rsidR="000A12CD" w:rsidRDefault="000A12CD">
                <w:pPr>
                  <w:pStyle w:val="TBEntRefer"/>
                  <w:tabs>
                    <w:tab w:val="left" w:pos="2265"/>
                  </w:tabs>
                </w:pPr>
                <w:r>
                  <w:t>JAI 1144</w:t>
                </w:r>
              </w:p>
              <w:p w14:paraId="37AA6ADF" w14:textId="77777777" w:rsidR="000A12CD" w:rsidRDefault="000A12CD">
                <w:pPr>
                  <w:pStyle w:val="TBEntRefer"/>
                  <w:tabs>
                    <w:tab w:val="left" w:pos="2265"/>
                  </w:tabs>
                </w:pPr>
                <w:r>
                  <w:t>PARLNAT 169</w:t>
                </w:r>
              </w:p>
              <w:p w14:paraId="1FD2CAC0" w14:textId="77777777" w:rsidR="000A12CD" w:rsidRPr="00073AB8" w:rsidRDefault="000A12CD" w:rsidP="00DF51D5">
                <w:pPr>
                  <w:pStyle w:val="TBEntRefer"/>
                  <w:tabs>
                    <w:tab w:val="left" w:pos="2262"/>
                  </w:tabs>
                  <w:rPr>
                    <w:sz w:val="4"/>
                    <w:szCs w:val="4"/>
                  </w:rPr>
                </w:pPr>
              </w:p>
              <w:p w14:paraId="74B8E424" w14:textId="77777777" w:rsidR="000A12CD" w:rsidRDefault="000A12CD">
                <w:pPr>
                  <w:pStyle w:val="TBDistrbMarkers"/>
                </w:pPr>
                <w:r>
                  <w:t>EP</w:t>
                </w:r>
              </w:p>
              <w:p w14:paraId="74152259" w14:textId="77777777" w:rsidR="000A12CD" w:rsidRDefault="000A12CD">
                <w:pPr>
                  <w:pStyle w:val="TBDistrbMarkers"/>
                </w:pPr>
                <w:r>
                  <w:t>PARLNAT</w:t>
                </w:r>
              </w:p>
            </w:tc>
          </w:tr>
          <w:tr w:rsidR="000A12CD" w:rsidRPr="006720F9" w14:paraId="21B40ADD" w14:textId="77777777" w:rsidTr="00EE7DE6">
            <w:trPr>
              <w:gridBefore w:val="1"/>
              <w:wBefore w:w="850" w:type="dxa"/>
              <w:cantSplit/>
              <w:trHeight w:val="837"/>
              <w:jc w:val="center"/>
            </w:trPr>
            <w:tc>
              <w:tcPr>
                <w:tcW w:w="3832" w:type="dxa"/>
                <w:gridSpan w:val="2"/>
                <w:vAlign w:val="center"/>
              </w:tcPr>
              <w:p w14:paraId="7A58FBCE" w14:textId="77777777" w:rsidR="000A12CD" w:rsidRPr="002E211F" w:rsidRDefault="000A12CD" w:rsidP="00512AC5">
                <w:pPr>
                  <w:pStyle w:val="TBEntReferNew"/>
                </w:pPr>
              </w:p>
            </w:tc>
            <w:tc>
              <w:tcPr>
                <w:tcW w:w="1843" w:type="dxa"/>
                <w:gridSpan w:val="2"/>
                <w:vMerge w:val="restart"/>
                <w:vAlign w:val="bottom"/>
              </w:tcPr>
              <w:p w14:paraId="42C105B9" w14:textId="77777777" w:rsidR="000A12CD" w:rsidRPr="008F6E25" w:rsidRDefault="000A12CD" w:rsidP="00EE7DE6">
                <w:pPr>
                  <w:pStyle w:val="TBNormalTechnicalBlock"/>
                  <w:jc w:val="right"/>
                  <w:rPr>
                    <w:b w:val="0"/>
                    <w:bCs/>
                  </w:rPr>
                </w:pPr>
              </w:p>
            </w:tc>
            <w:tc>
              <w:tcPr>
                <w:tcW w:w="4819" w:type="dxa"/>
                <w:vMerge/>
              </w:tcPr>
              <w:p w14:paraId="020555AA" w14:textId="77777777" w:rsidR="000A12CD" w:rsidRPr="00F26BF3" w:rsidRDefault="000A12CD">
                <w:pPr>
                  <w:pStyle w:val="TBEntRefer"/>
                  <w:rPr>
                    <w:szCs w:val="23"/>
                  </w:rPr>
                </w:pPr>
              </w:p>
            </w:tc>
          </w:tr>
          <w:tr w:rsidR="000A12CD" w:rsidRPr="007D65B2" w14:paraId="2FB93283" w14:textId="77777777" w:rsidTr="00327887">
            <w:trPr>
              <w:gridBefore w:val="1"/>
              <w:wBefore w:w="850" w:type="dxa"/>
              <w:cantSplit/>
              <w:trHeight w:val="998"/>
              <w:jc w:val="center"/>
            </w:trPr>
            <w:tc>
              <w:tcPr>
                <w:tcW w:w="3832" w:type="dxa"/>
                <w:gridSpan w:val="2"/>
                <w:vAlign w:val="center"/>
              </w:tcPr>
              <w:p w14:paraId="13118B4B" w14:textId="77777777" w:rsidR="000A12CD" w:rsidRPr="007D65B2" w:rsidRDefault="000A12CD" w:rsidP="0058695F">
                <w:pPr>
                  <w:pStyle w:val="TBSousEmbargo"/>
                </w:pPr>
              </w:p>
            </w:tc>
            <w:tc>
              <w:tcPr>
                <w:tcW w:w="1843" w:type="dxa"/>
                <w:gridSpan w:val="2"/>
                <w:vMerge/>
                <w:vAlign w:val="center"/>
              </w:tcPr>
              <w:p w14:paraId="23197FE9" w14:textId="77777777" w:rsidR="000A12CD" w:rsidRPr="008F6E25" w:rsidRDefault="000A12CD" w:rsidP="008F6E25">
                <w:pPr>
                  <w:pStyle w:val="TBNormalTechnicalBlock"/>
                  <w:rPr>
                    <w:b w:val="0"/>
                    <w:bCs/>
                  </w:rPr>
                </w:pPr>
              </w:p>
            </w:tc>
            <w:tc>
              <w:tcPr>
                <w:tcW w:w="4819" w:type="dxa"/>
                <w:vMerge/>
              </w:tcPr>
              <w:p w14:paraId="244CC1F2" w14:textId="77777777" w:rsidR="000A12CD" w:rsidRPr="007D65B2" w:rsidRDefault="000A12CD">
                <w:pPr>
                  <w:pStyle w:val="TBEntRefer"/>
                  <w:rPr>
                    <w:szCs w:val="23"/>
                  </w:rPr>
                </w:pPr>
              </w:p>
            </w:tc>
          </w:tr>
        </w:tbl>
        <w:p w14:paraId="6ED39E02" w14:textId="77777777" w:rsidR="000A12CD" w:rsidRPr="007D65B2" w:rsidRDefault="000A12CD"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0A12CD" w:rsidRPr="008C093D" w14:paraId="08FAB325" w14:textId="77777777" w:rsidTr="000E0DFC">
            <w:trPr>
              <w:jc w:val="center"/>
            </w:trPr>
            <w:tc>
              <w:tcPr>
                <w:tcW w:w="9640" w:type="dxa"/>
                <w:gridSpan w:val="2"/>
              </w:tcPr>
              <w:p w14:paraId="4761AB70" w14:textId="77777777" w:rsidR="000A12CD" w:rsidRPr="008C093D" w:rsidRDefault="000A12CD" w:rsidP="004F2640">
                <w:pPr>
                  <w:pStyle w:val="TBHeadingTable"/>
                </w:pPr>
                <w:r>
                  <w:t>NOTĂ</w:t>
                </w:r>
              </w:p>
            </w:tc>
          </w:tr>
          <w:tr w:rsidR="000A12CD" w:rsidRPr="00F13D39" w14:paraId="474D544E" w14:textId="77777777" w:rsidTr="00B511A2">
            <w:trPr>
              <w:jc w:val="center"/>
            </w:trPr>
            <w:tc>
              <w:tcPr>
                <w:tcW w:w="1985" w:type="dxa"/>
                <w:tcBorders>
                  <w:top w:val="single" w:sz="4" w:space="0" w:color="auto"/>
                  <w:bottom w:val="nil"/>
                </w:tcBorders>
              </w:tcPr>
              <w:p w14:paraId="14B7428C" w14:textId="77777777" w:rsidR="000A12CD" w:rsidRPr="00F13D39" w:rsidRDefault="000A12CD" w:rsidP="00F13D39">
                <w:pPr>
                  <w:pStyle w:val="TBSubjectTable"/>
                </w:pPr>
                <w:r>
                  <w:t>Sursă:</w:t>
                </w:r>
              </w:p>
            </w:tc>
            <w:tc>
              <w:tcPr>
                <w:tcW w:w="7660" w:type="dxa"/>
                <w:tcBorders>
                  <w:top w:val="single" w:sz="4" w:space="0" w:color="auto"/>
                  <w:bottom w:val="nil"/>
                </w:tcBorders>
              </w:tcPr>
              <w:p w14:paraId="5580BFDD" w14:textId="77777777" w:rsidR="000A12CD" w:rsidRPr="00F13D39" w:rsidRDefault="000A12CD" w:rsidP="00F13D39">
                <w:pPr>
                  <w:pStyle w:val="TBSubjectTable"/>
                </w:pPr>
                <w:r>
                  <w:t>Președinția</w:t>
                </w:r>
              </w:p>
            </w:tc>
          </w:tr>
          <w:tr w:rsidR="000A12CD" w:rsidRPr="00F13D39" w14:paraId="192080ED" w14:textId="77777777" w:rsidTr="00B511A2">
            <w:trPr>
              <w:jc w:val="center"/>
            </w:trPr>
            <w:tc>
              <w:tcPr>
                <w:tcW w:w="1985" w:type="dxa"/>
                <w:tcBorders>
                  <w:bottom w:val="single" w:sz="4" w:space="0" w:color="auto"/>
                </w:tcBorders>
              </w:tcPr>
              <w:p w14:paraId="7CA81810" w14:textId="77777777" w:rsidR="000A12CD" w:rsidRPr="00F13D39" w:rsidRDefault="000A12CD" w:rsidP="00F13D39">
                <w:pPr>
                  <w:pStyle w:val="TBSubjectTable"/>
                </w:pPr>
                <w:r>
                  <w:t>Destinatar:</w:t>
                </w:r>
              </w:p>
            </w:tc>
            <w:tc>
              <w:tcPr>
                <w:tcW w:w="7660" w:type="dxa"/>
                <w:tcBorders>
                  <w:bottom w:val="single" w:sz="4" w:space="0" w:color="auto"/>
                </w:tcBorders>
              </w:tcPr>
              <w:p w14:paraId="57B014F3" w14:textId="77777777" w:rsidR="000A12CD" w:rsidRPr="00F13D39" w:rsidRDefault="000A12CD" w:rsidP="00F13D39">
                <w:pPr>
                  <w:pStyle w:val="TBSubjectTable"/>
                </w:pPr>
                <w:r>
                  <w:t>Delegațiile</w:t>
                </w:r>
              </w:p>
            </w:tc>
          </w:tr>
          <w:tr w:rsidR="000A12CD" w:rsidRPr="00F13D39" w14:paraId="1A4340B9" w14:textId="77777777" w:rsidTr="00B511A2">
            <w:trPr>
              <w:jc w:val="center"/>
            </w:trPr>
            <w:tc>
              <w:tcPr>
                <w:tcW w:w="1985" w:type="dxa"/>
                <w:tcBorders>
                  <w:top w:val="single" w:sz="4" w:space="0" w:color="auto"/>
                  <w:bottom w:val="single" w:sz="4" w:space="0" w:color="auto"/>
                </w:tcBorders>
              </w:tcPr>
              <w:p w14:paraId="0EFEC4FD" w14:textId="77777777" w:rsidR="000A12CD" w:rsidRPr="00F13D39" w:rsidRDefault="000A12CD" w:rsidP="00F13D39">
                <w:pPr>
                  <w:pStyle w:val="TBSubjectTable"/>
                </w:pPr>
                <w:r>
                  <w:t>Nr. doc. ant.:</w:t>
                </w:r>
              </w:p>
            </w:tc>
            <w:tc>
              <w:tcPr>
                <w:tcW w:w="7660" w:type="dxa"/>
                <w:tcBorders>
                  <w:top w:val="single" w:sz="4" w:space="0" w:color="auto"/>
                  <w:bottom w:val="single" w:sz="4" w:space="0" w:color="auto"/>
                </w:tcBorders>
              </w:tcPr>
              <w:p w14:paraId="5ED7DCEC" w14:textId="77777777" w:rsidR="000A12CD" w:rsidRPr="00F13D39" w:rsidRDefault="000A12CD" w:rsidP="00F13D39">
                <w:pPr>
                  <w:pStyle w:val="TBSubjectTable"/>
                </w:pPr>
                <w:r>
                  <w:t>12602/26</w:t>
                </w:r>
              </w:p>
            </w:tc>
          </w:tr>
          <w:tr w:rsidR="000A12CD" w:rsidRPr="00F13D39" w14:paraId="0666A45A" w14:textId="77777777" w:rsidTr="00B511A2">
            <w:trPr>
              <w:jc w:val="center"/>
            </w:trPr>
            <w:tc>
              <w:tcPr>
                <w:tcW w:w="1985" w:type="dxa"/>
                <w:tcBorders>
                  <w:top w:val="single" w:sz="4" w:space="0" w:color="auto"/>
                  <w:bottom w:val="single" w:sz="4" w:space="0" w:color="auto"/>
                </w:tcBorders>
              </w:tcPr>
              <w:p w14:paraId="2116BDC5" w14:textId="77777777" w:rsidR="000A12CD" w:rsidRPr="00F13D39" w:rsidRDefault="000A12CD" w:rsidP="00F13D39">
                <w:pPr>
                  <w:pStyle w:val="TBSubjectTable"/>
                </w:pPr>
                <w:r>
                  <w:t>Subiect:</w:t>
                </w:r>
              </w:p>
            </w:tc>
            <w:tc>
              <w:tcPr>
                <w:tcW w:w="7660" w:type="dxa"/>
                <w:tcBorders>
                  <w:top w:val="single" w:sz="4" w:space="0" w:color="auto"/>
                  <w:bottom w:val="single" w:sz="4" w:space="0" w:color="auto"/>
                </w:tcBorders>
              </w:tcPr>
              <w:p w14:paraId="007AE9C4" w14:textId="77777777" w:rsidR="000A12CD" w:rsidRPr="00F13D39" w:rsidRDefault="000A12CD" w:rsidP="00A56B75">
                <w:pPr>
                  <w:pStyle w:val="TBSubjectText"/>
                </w:pPr>
                <w:bookmarkStart w:id="0" w:name="SplitParasInCell_1"/>
                <w:bookmarkEnd w:id="0"/>
                <w:r>
                  <w:t>Raport către Parlamentul European și parlamentele naționale cu privire la lucrările Comitetului permanent pentru cooperarea operațională în materie de securitate internă pentru perioada ianuarie 2025-iunie 2026</w:t>
                </w:r>
              </w:p>
            </w:tc>
          </w:tr>
        </w:tbl>
        <w:p w14:paraId="2ABBC140" w14:textId="77777777" w:rsidR="000A12CD" w:rsidRPr="00F751C6" w:rsidRDefault="000A12CD" w:rsidP="00F751C6">
          <w:pPr>
            <w:spacing w:before="20" w:after="240" w:line="20" w:lineRule="exact"/>
            <w:rPr>
              <w:sz w:val="2"/>
              <w:szCs w:val="2"/>
            </w:rPr>
          </w:pPr>
        </w:p>
      </w:sdtContent>
    </w:sdt>
    <w:p w14:paraId="6798CDF7" w14:textId="77777777" w:rsidR="0088263D" w:rsidRPr="00947C5E" w:rsidRDefault="0088263D" w:rsidP="00D04E4E">
      <w:pPr>
        <w:rPr>
          <w:rFonts w:asciiTheme="majorBidi" w:eastAsia="Times New Roman" w:hAnsiTheme="majorBidi" w:cstheme="majorBidi"/>
          <w:szCs w:val="24"/>
        </w:rPr>
      </w:pPr>
      <w:bookmarkStart w:id="1" w:name="DQC_RangeToBeChecked"/>
      <w:r w:rsidRPr="00947C5E">
        <w:rPr>
          <w:rFonts w:asciiTheme="majorBidi" w:hAnsiTheme="majorBidi"/>
        </w:rPr>
        <w:t>În conformitate cu articolul 71 din TFUE și cu articolul 6 alineatul (2) din Decizia 2010/131/UE a Consiliului privind instituirea Comitetului permanent pentru cooperarea operațională în materie de securitate internă (COSI), Parlamentului European și parlamentelor naționale li se pune la dispoziție un raport privind lucrările COSI pentru perioada ianuarie 2025-iunie 2026.</w:t>
      </w:r>
    </w:p>
    <w:p w14:paraId="6C226A6C" w14:textId="77777777" w:rsidR="0088263D" w:rsidRPr="00947C5E" w:rsidRDefault="0088263D" w:rsidP="00371273">
      <w:pPr>
        <w:pStyle w:val="FinalLine"/>
        <w:jc w:val="left"/>
      </w:pPr>
    </w:p>
    <w:p w14:paraId="7F59AE70" w14:textId="77777777" w:rsidR="0088263D" w:rsidRPr="00947C5E" w:rsidRDefault="0088263D" w:rsidP="00D04E4E">
      <w:pPr>
        <w:keepNext/>
        <w:spacing w:before="0" w:after="200" w:line="276" w:lineRule="auto"/>
        <w:rPr>
          <w:b/>
        </w:rPr>
      </w:pPr>
      <w:r w:rsidRPr="00947C5E">
        <w:br w:type="page"/>
      </w:r>
    </w:p>
    <w:p w14:paraId="2E85EC9C" w14:textId="77777777" w:rsidR="0088263D" w:rsidRPr="00947C5E" w:rsidRDefault="0088263D" w:rsidP="00D04E4E">
      <w:pPr>
        <w:sectPr w:rsidR="0088263D" w:rsidRPr="00947C5E" w:rsidSect="002C5AD8">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624" w:right="1134" w:bottom="1134" w:left="1134" w:header="567" w:footer="567" w:gutter="0"/>
          <w:pgNumType w:start="1"/>
          <w:cols w:space="720"/>
          <w:titlePg/>
          <w:docGrid w:linePitch="326"/>
        </w:sectPr>
      </w:pPr>
    </w:p>
    <w:p w14:paraId="62D2E221" w14:textId="77777777" w:rsidR="0088263D" w:rsidRPr="00947C5E" w:rsidRDefault="0088263D" w:rsidP="00D04E4E">
      <w:pPr>
        <w:pStyle w:val="Annex"/>
      </w:pPr>
      <w:r w:rsidRPr="00947C5E">
        <w:lastRenderedPageBreak/>
        <w:t>ANEXĂ</w:t>
      </w:r>
    </w:p>
    <w:p w14:paraId="4F39F470" w14:textId="77777777" w:rsidR="0088263D" w:rsidRPr="00947C5E" w:rsidRDefault="0088263D" w:rsidP="00D04E4E">
      <w:pPr>
        <w:jc w:val="center"/>
        <w:rPr>
          <w:rFonts w:asciiTheme="majorBidi" w:hAnsiTheme="majorBidi" w:cstheme="majorBidi"/>
          <w:b/>
          <w:bCs/>
          <w:sz w:val="26"/>
          <w:szCs w:val="26"/>
        </w:rPr>
      </w:pPr>
      <w:r w:rsidRPr="00947C5E">
        <w:rPr>
          <w:rFonts w:asciiTheme="majorBidi" w:hAnsiTheme="majorBidi"/>
          <w:b/>
          <w:sz w:val="26"/>
        </w:rPr>
        <w:t>Raport către Parlamentul European și parlamentele naționale cu privire la lucrările Comitetului permanent pentru cooperarea operațională în materie de securitate internă (COSI) pentru perioada ianuarie 2025-iunie 2026</w:t>
      </w:r>
    </w:p>
    <w:p w14:paraId="7D634E77" w14:textId="77777777" w:rsidR="0088263D" w:rsidRPr="00947C5E" w:rsidRDefault="0088263D" w:rsidP="00D04E4E">
      <w:pPr>
        <w:spacing w:line="240" w:lineRule="auto"/>
        <w:jc w:val="center"/>
        <w:rPr>
          <w:rFonts w:asciiTheme="majorBidi" w:hAnsiTheme="majorBidi" w:cstheme="majorBidi"/>
          <w:b/>
          <w:bCs/>
          <w:sz w:val="12"/>
          <w:szCs w:val="12"/>
        </w:rPr>
      </w:pPr>
    </w:p>
    <w:sdt>
      <w:sdtPr>
        <w:id w:val="-651908090"/>
        <w:docPartObj>
          <w:docPartGallery w:val="Table of Contents"/>
          <w:docPartUnique/>
        </w:docPartObj>
      </w:sdtPr>
      <w:sdtEndPr/>
      <w:sdtContent>
        <w:p w14:paraId="65C62D01" w14:textId="77777777" w:rsidR="0088263D" w:rsidRPr="00947C5E" w:rsidRDefault="0088263D" w:rsidP="00D04E4E">
          <w:pPr>
            <w:keepNext/>
            <w:keepLines/>
            <w:spacing w:line="256" w:lineRule="auto"/>
            <w:rPr>
              <w:rFonts w:eastAsiaTheme="majorEastAsia"/>
              <w:b/>
              <w:bCs/>
              <w:szCs w:val="24"/>
            </w:rPr>
          </w:pPr>
          <w:r w:rsidRPr="00947C5E">
            <w:rPr>
              <w:b/>
            </w:rPr>
            <w:t>Cuprins</w:t>
          </w:r>
        </w:p>
        <w:p w14:paraId="7EB97047" w14:textId="77777777" w:rsidR="0088263D" w:rsidRPr="00947C5E" w:rsidRDefault="0088263D" w:rsidP="00D04E4E">
          <w:pPr>
            <w:tabs>
              <w:tab w:val="left" w:pos="960"/>
              <w:tab w:val="right" w:leader="dot" w:pos="9629"/>
            </w:tabs>
            <w:spacing w:after="100"/>
            <w:ind w:left="480"/>
            <w:rPr>
              <w:rFonts w:cstheme="minorBidi"/>
              <w:noProof/>
            </w:rPr>
          </w:pPr>
          <w:r w:rsidRPr="00947C5E">
            <w:rPr>
              <w:b/>
            </w:rPr>
            <w:fldChar w:fldCharType="begin"/>
          </w:r>
          <w:r w:rsidRPr="00947C5E">
            <w:rPr>
              <w:b/>
            </w:rPr>
            <w:instrText xml:space="preserve"> TOC \o "1-3" \h \z \u </w:instrText>
          </w:r>
          <w:r w:rsidRPr="00947C5E">
            <w:rPr>
              <w:b/>
            </w:rPr>
            <w:fldChar w:fldCharType="separate"/>
          </w:r>
        </w:p>
        <w:p w14:paraId="2B1549BB"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17" w:anchor="_Toc239091138" w:history="1">
            <w:r w:rsidRPr="00947C5E">
              <w:rPr>
                <w:rStyle w:val="Hyperlink"/>
                <w:rFonts w:asciiTheme="majorBidi" w:eastAsia="Times New Roman" w:hAnsiTheme="majorBidi" w:cstheme="majorBidi"/>
                <w:b/>
              </w:rPr>
              <w:t>1.</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EXECUTIVE SUMMARY</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_Toc239091138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4</w:t>
            </w:r>
            <w:r w:rsidRPr="00947C5E">
              <w:rPr>
                <w:rStyle w:val="Hyperlink"/>
                <w:webHidden/>
                <w:color w:val="auto"/>
                <w:u w:val="none"/>
              </w:rPr>
              <w:fldChar w:fldCharType="end"/>
            </w:r>
          </w:hyperlink>
        </w:p>
        <w:p w14:paraId="6ABA612C"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18" w:anchor="_Toc239091139" w:history="1">
            <w:r w:rsidRPr="00947C5E">
              <w:rPr>
                <w:rStyle w:val="Hyperlink"/>
                <w:rFonts w:asciiTheme="majorBidi" w:eastAsia="Times New Roman" w:hAnsiTheme="majorBidi" w:cstheme="majorBidi"/>
                <w:b/>
              </w:rPr>
              <w:t>2.</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HORIZONTAL MATTERS CONCERNING INTERNAL SECURITY</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_Toc239091139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6</w:t>
            </w:r>
            <w:r w:rsidRPr="00947C5E">
              <w:rPr>
                <w:rStyle w:val="Hyperlink"/>
                <w:webHidden/>
                <w:color w:val="auto"/>
                <w:u w:val="none"/>
              </w:rPr>
              <w:fldChar w:fldCharType="end"/>
            </w:r>
          </w:hyperlink>
        </w:p>
        <w:p w14:paraId="0B2ED7D0"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19" w:anchor="_Toc239091140" w:history="1">
            <w:r w:rsidRPr="00947C5E">
              <w:rPr>
                <w:rStyle w:val="Hyperlink"/>
                <w:rFonts w:asciiTheme="majorBidi" w:eastAsia="Times New Roman" w:hAnsiTheme="majorBidi" w:cstheme="majorBidi"/>
                <w:b/>
              </w:rPr>
              <w:t>2.1</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European Internal Security Strategy</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_Toc239091140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6</w:t>
            </w:r>
            <w:r w:rsidRPr="00947C5E">
              <w:rPr>
                <w:rStyle w:val="Hyperlink"/>
                <w:webHidden/>
                <w:color w:val="auto"/>
                <w:u w:val="none"/>
              </w:rPr>
              <w:fldChar w:fldCharType="end"/>
            </w:r>
          </w:hyperlink>
        </w:p>
        <w:p w14:paraId="1F19FF96"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0" w:anchor="_Toc239091141" w:history="1">
            <w:r w:rsidRPr="00947C5E">
              <w:rPr>
                <w:rStyle w:val="Hyperlink"/>
                <w:rFonts w:asciiTheme="majorBidi" w:eastAsia="Times New Roman" w:hAnsiTheme="majorBidi" w:cstheme="majorBidi"/>
                <w:b/>
              </w:rPr>
              <w:t>2.2</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Internal security mainstreaming</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_Toc239091141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7</w:t>
            </w:r>
            <w:r w:rsidRPr="00947C5E">
              <w:rPr>
                <w:rStyle w:val="Hyperlink"/>
                <w:webHidden/>
                <w:color w:val="auto"/>
                <w:u w:val="none"/>
              </w:rPr>
              <w:fldChar w:fldCharType="end"/>
            </w:r>
          </w:hyperlink>
        </w:p>
        <w:p w14:paraId="436ED9BC"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21" w:anchor="_Toc239091142" w:history="1">
            <w:r w:rsidRPr="00947C5E">
              <w:rPr>
                <w:rStyle w:val="Hyperlink"/>
                <w:rFonts w:asciiTheme="majorBidi" w:eastAsia="Times New Roman" w:hAnsiTheme="majorBidi" w:cstheme="majorBidi"/>
                <w:b/>
              </w:rPr>
              <w:t>3.</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SERIOUS AND ORGANISED CRIME</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_Toc239091142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8</w:t>
            </w:r>
            <w:r w:rsidRPr="00947C5E">
              <w:rPr>
                <w:rStyle w:val="Hyperlink"/>
                <w:webHidden/>
                <w:color w:val="auto"/>
                <w:u w:val="none"/>
              </w:rPr>
              <w:fldChar w:fldCharType="end"/>
            </w:r>
          </w:hyperlink>
        </w:p>
        <w:p w14:paraId="0EA3DCA3"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2" w:anchor="_Toc239091143" w:history="1">
            <w:r w:rsidRPr="00947C5E">
              <w:rPr>
                <w:rStyle w:val="Hyperlink"/>
                <w:rFonts w:asciiTheme="majorBidi" w:eastAsia="Times New Roman" w:hAnsiTheme="majorBidi" w:cstheme="majorBidi"/>
                <w:b/>
              </w:rPr>
              <w:t>3.1</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EMPACT</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_Toc239091143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8</w:t>
            </w:r>
            <w:r w:rsidRPr="00947C5E">
              <w:rPr>
                <w:rStyle w:val="Hyperlink"/>
                <w:webHidden/>
                <w:color w:val="auto"/>
                <w:u w:val="none"/>
              </w:rPr>
              <w:fldChar w:fldCharType="end"/>
            </w:r>
          </w:hyperlink>
        </w:p>
        <w:p w14:paraId="3F541CCD"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3" w:anchor="_Toc239091144" w:history="1">
            <w:r w:rsidRPr="00947C5E">
              <w:rPr>
                <w:rStyle w:val="Hyperlink"/>
                <w:rFonts w:asciiTheme="majorBidi" w:eastAsia="Times New Roman" w:hAnsiTheme="majorBidi" w:cstheme="majorBidi"/>
                <w:b/>
              </w:rPr>
              <w:t>3.2</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Organisation and prioritisation of networks affiliated with the LEWP (Police)</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_Toc239091144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9</w:t>
            </w:r>
            <w:r w:rsidRPr="00947C5E">
              <w:rPr>
                <w:rStyle w:val="Hyperlink"/>
                <w:webHidden/>
                <w:color w:val="auto"/>
                <w:u w:val="none"/>
              </w:rPr>
              <w:fldChar w:fldCharType="end"/>
            </w:r>
          </w:hyperlink>
        </w:p>
        <w:p w14:paraId="18E1B82C"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4" w:anchor="_Toc239091145" w:history="1">
            <w:r w:rsidRPr="00947C5E">
              <w:rPr>
                <w:rStyle w:val="Hyperlink"/>
                <w:rFonts w:asciiTheme="majorBidi" w:eastAsia="Times New Roman" w:hAnsiTheme="majorBidi" w:cstheme="majorBidi"/>
                <w:b/>
              </w:rPr>
              <w:t>3.3</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The administrative approach and special investigative techniques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_Toc239091145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9</w:t>
            </w:r>
            <w:r w:rsidRPr="00947C5E">
              <w:rPr>
                <w:rStyle w:val="Hyperlink"/>
                <w:webHidden/>
                <w:color w:val="auto"/>
                <w:u w:val="none"/>
              </w:rPr>
              <w:fldChar w:fldCharType="end"/>
            </w:r>
          </w:hyperlink>
        </w:p>
        <w:p w14:paraId="26631F57"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5" w:anchor="_Toc239091146" w:history="1">
            <w:r w:rsidRPr="00947C5E">
              <w:rPr>
                <w:rStyle w:val="Hyperlink"/>
                <w:rFonts w:asciiTheme="majorBidi" w:eastAsia="Times New Roman" w:hAnsiTheme="majorBidi" w:cstheme="majorBidi"/>
                <w:b/>
              </w:rPr>
              <w:t>3.4</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The use of online infrastructure for organised crime-related violence</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_Toc239091146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10</w:t>
            </w:r>
            <w:r w:rsidRPr="00947C5E">
              <w:rPr>
                <w:rStyle w:val="Hyperlink"/>
                <w:webHidden/>
                <w:color w:val="auto"/>
                <w:u w:val="none"/>
              </w:rPr>
              <w:fldChar w:fldCharType="end"/>
            </w:r>
          </w:hyperlink>
        </w:p>
        <w:p w14:paraId="43B61EA7"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6" w:anchor="_Toc239091147" w:history="1">
            <w:r w:rsidRPr="00947C5E">
              <w:rPr>
                <w:rStyle w:val="Hyperlink"/>
                <w:rFonts w:asciiTheme="majorBidi" w:eastAsia="Times New Roman" w:hAnsiTheme="majorBidi" w:cstheme="majorBidi"/>
                <w:b/>
              </w:rPr>
              <w:t>3.5</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Drug trafficking</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_Toc239091147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10</w:t>
            </w:r>
            <w:r w:rsidRPr="00947C5E">
              <w:rPr>
                <w:rStyle w:val="Hyperlink"/>
                <w:webHidden/>
                <w:color w:val="auto"/>
                <w:u w:val="none"/>
              </w:rPr>
              <w:fldChar w:fldCharType="end"/>
            </w:r>
          </w:hyperlink>
        </w:p>
        <w:p w14:paraId="3CC2C289"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7" w:anchor="_Toc239091148" w:history="1">
            <w:r w:rsidRPr="00947C5E">
              <w:rPr>
                <w:rStyle w:val="Hyperlink"/>
                <w:rFonts w:asciiTheme="majorBidi" w:eastAsia="Times New Roman" w:hAnsiTheme="majorBidi" w:cstheme="majorBidi"/>
                <w:b/>
              </w:rPr>
              <w:t>3.6</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Preventing and combating migrant smuggling in the digital age</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_Toc239091148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11</w:t>
            </w:r>
            <w:r w:rsidRPr="00947C5E">
              <w:rPr>
                <w:rStyle w:val="Hyperlink"/>
                <w:webHidden/>
                <w:color w:val="auto"/>
                <w:u w:val="none"/>
              </w:rPr>
              <w:fldChar w:fldCharType="end"/>
            </w:r>
          </w:hyperlink>
        </w:p>
        <w:p w14:paraId="16ADE1C1"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8" w:anchor="_Toc239091149" w:history="1">
            <w:r w:rsidRPr="00947C5E">
              <w:rPr>
                <w:rStyle w:val="Hyperlink"/>
                <w:rFonts w:asciiTheme="majorBidi" w:eastAsia="Times New Roman" w:hAnsiTheme="majorBidi" w:cstheme="majorBidi"/>
                <w:b/>
              </w:rPr>
              <w:t>3.7</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Trafficking in human beings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_Toc239091149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11</w:t>
            </w:r>
            <w:r w:rsidRPr="00947C5E">
              <w:rPr>
                <w:rStyle w:val="Hyperlink"/>
                <w:webHidden/>
                <w:color w:val="auto"/>
                <w:u w:val="none"/>
              </w:rPr>
              <w:fldChar w:fldCharType="end"/>
            </w:r>
          </w:hyperlink>
        </w:p>
        <w:p w14:paraId="27BA76BE"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29" w:anchor="_Toc239091150" w:history="1">
            <w:r w:rsidRPr="00947C5E">
              <w:rPr>
                <w:rStyle w:val="Hyperlink"/>
                <w:rFonts w:asciiTheme="majorBidi" w:eastAsia="Times New Roman" w:hAnsiTheme="majorBidi" w:cstheme="majorBidi"/>
                <w:b/>
              </w:rPr>
              <w:t>3.8</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Follow the money: Financial investigations and cryptocurrencies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_Toc239091150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12</w:t>
            </w:r>
            <w:r w:rsidRPr="00947C5E">
              <w:rPr>
                <w:rStyle w:val="Hyperlink"/>
                <w:webHidden/>
                <w:color w:val="auto"/>
                <w:u w:val="none"/>
              </w:rPr>
              <w:fldChar w:fldCharType="end"/>
            </w:r>
          </w:hyperlink>
        </w:p>
        <w:p w14:paraId="376A1165"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0" w:anchor="_Toc239091151" w:history="1">
            <w:r w:rsidRPr="00947C5E">
              <w:rPr>
                <w:rStyle w:val="Hyperlink"/>
                <w:rFonts w:asciiTheme="majorBidi" w:eastAsia="Times New Roman" w:hAnsiTheme="majorBidi" w:cstheme="majorBidi"/>
                <w:b/>
              </w:rPr>
              <w:t>3.9</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Illicit trafficking of cultural goods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_Toc239091151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12</w:t>
            </w:r>
            <w:r w:rsidRPr="00947C5E">
              <w:rPr>
                <w:rStyle w:val="Hyperlink"/>
                <w:webHidden/>
                <w:color w:val="auto"/>
                <w:u w:val="none"/>
              </w:rPr>
              <w:fldChar w:fldCharType="end"/>
            </w:r>
          </w:hyperlink>
        </w:p>
        <w:p w14:paraId="7B2A1645" w14:textId="77777777" w:rsidR="0088263D" w:rsidRPr="00947C5E" w:rsidRDefault="0088263D" w:rsidP="00D04E4E">
          <w:pPr>
            <w:tabs>
              <w:tab w:val="left" w:pos="960"/>
              <w:tab w:val="right" w:leader="dot" w:pos="9629"/>
            </w:tabs>
            <w:ind w:left="480"/>
          </w:pPr>
          <w:hyperlink r:id="rId31" w:anchor="_Toc239091152" w:history="1">
            <w:r w:rsidRPr="00947C5E">
              <w:rPr>
                <w:rStyle w:val="Hyperlink"/>
                <w:rFonts w:asciiTheme="majorBidi" w:eastAsia="Times New Roman" w:hAnsiTheme="majorBidi" w:cstheme="majorBidi"/>
                <w:b/>
              </w:rPr>
              <w:t>4.</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COUNTERTERRORISM AND VIOLENT EXTREMISM</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_Toc239091152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13</w:t>
            </w:r>
            <w:r w:rsidRPr="00947C5E">
              <w:rPr>
                <w:rStyle w:val="Hyperlink"/>
                <w:webHidden/>
                <w:color w:val="auto"/>
                <w:u w:val="none"/>
              </w:rPr>
              <w:fldChar w:fldCharType="end"/>
            </w:r>
          </w:hyperlink>
        </w:p>
        <w:p w14:paraId="18A55951" w14:textId="77777777" w:rsidR="0088263D" w:rsidRPr="00947C5E" w:rsidRDefault="0088263D" w:rsidP="00D04E4E">
          <w:pPr>
            <w:tabs>
              <w:tab w:val="left" w:pos="960"/>
              <w:tab w:val="right" w:leader="dot" w:pos="9629"/>
            </w:tabs>
            <w:ind w:left="480"/>
            <w:rPr>
              <w:rFonts w:asciiTheme="minorHAnsi" w:eastAsiaTheme="minorEastAsia" w:hAnsiTheme="minorHAnsi"/>
            </w:rPr>
          </w:pPr>
        </w:p>
        <w:p w14:paraId="1A6042D5"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32" w:anchor="_Toc239091153" w:history="1">
            <w:r w:rsidRPr="00947C5E">
              <w:rPr>
                <w:rStyle w:val="Hyperlink"/>
                <w:rFonts w:asciiTheme="majorBidi" w:eastAsia="Times New Roman" w:hAnsiTheme="majorBidi" w:cstheme="majorBidi"/>
                <w:b/>
              </w:rPr>
              <w:t>5.</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TECHNOLOGY AND INNOVATION</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_Toc239091153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14</w:t>
            </w:r>
            <w:r w:rsidRPr="00947C5E">
              <w:rPr>
                <w:rStyle w:val="Hyperlink"/>
                <w:webHidden/>
                <w:color w:val="auto"/>
                <w:u w:val="none"/>
              </w:rPr>
              <w:fldChar w:fldCharType="end"/>
            </w:r>
          </w:hyperlink>
        </w:p>
        <w:p w14:paraId="79F0A703"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3" w:anchor="_Toc239091154" w:history="1">
            <w:r w:rsidRPr="00947C5E">
              <w:rPr>
                <w:rStyle w:val="Hyperlink"/>
                <w:rFonts w:asciiTheme="majorBidi" w:eastAsia="Times New Roman" w:hAnsiTheme="majorBidi" w:cstheme="majorBidi"/>
                <w:b/>
              </w:rPr>
              <w:t>5.1</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Access to data for effective law enforcement</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_Toc239091154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14</w:t>
            </w:r>
            <w:r w:rsidRPr="00947C5E">
              <w:rPr>
                <w:rStyle w:val="Hyperlink"/>
                <w:webHidden/>
                <w:color w:val="auto"/>
                <w:u w:val="none"/>
              </w:rPr>
              <w:fldChar w:fldCharType="end"/>
            </w:r>
          </w:hyperlink>
        </w:p>
        <w:p w14:paraId="204422CA"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4" w:anchor="_Toc239091155" w:history="1">
            <w:r w:rsidRPr="00947C5E">
              <w:rPr>
                <w:rStyle w:val="Hyperlink"/>
                <w:rFonts w:asciiTheme="majorBidi" w:eastAsia="Times New Roman" w:hAnsiTheme="majorBidi" w:cstheme="majorBidi"/>
                <w:b/>
              </w:rPr>
              <w:t>5.2</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Operational cooperation to counter drone threats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_Toc239091155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15</w:t>
            </w:r>
            <w:r w:rsidRPr="00947C5E">
              <w:rPr>
                <w:rStyle w:val="Hyperlink"/>
                <w:webHidden/>
                <w:color w:val="auto"/>
                <w:u w:val="none"/>
              </w:rPr>
              <w:fldChar w:fldCharType="end"/>
            </w:r>
          </w:hyperlink>
        </w:p>
        <w:p w14:paraId="70F76D3B"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5" w:anchor="_Toc239091156" w:history="1">
            <w:r w:rsidRPr="00947C5E">
              <w:rPr>
                <w:rStyle w:val="Hyperlink"/>
                <w:rFonts w:asciiTheme="majorBidi" w:eastAsia="Times New Roman" w:hAnsiTheme="majorBidi" w:cstheme="majorBidi"/>
                <w:b/>
              </w:rPr>
              <w:t>5.3</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EU Innovation Hub for Internal Security</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_Toc239091156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16</w:t>
            </w:r>
            <w:r w:rsidRPr="00947C5E">
              <w:rPr>
                <w:rStyle w:val="Hyperlink"/>
                <w:webHidden/>
                <w:color w:val="auto"/>
                <w:u w:val="none"/>
              </w:rPr>
              <w:fldChar w:fldCharType="end"/>
            </w:r>
          </w:hyperlink>
        </w:p>
        <w:p w14:paraId="5F266612"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36" w:anchor="_Toc239091157" w:history="1">
            <w:r w:rsidRPr="00947C5E">
              <w:rPr>
                <w:rStyle w:val="Hyperlink"/>
                <w:rFonts w:asciiTheme="majorBidi" w:eastAsia="Times New Roman" w:hAnsiTheme="majorBidi" w:cstheme="majorBidi"/>
                <w:b/>
              </w:rPr>
              <w:t>6.</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INTERNATIONAL COOPERATION</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_Toc239091157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17</w:t>
            </w:r>
            <w:r w:rsidRPr="00947C5E">
              <w:rPr>
                <w:rStyle w:val="Hyperlink"/>
                <w:webHidden/>
                <w:color w:val="auto"/>
                <w:u w:val="none"/>
              </w:rPr>
              <w:fldChar w:fldCharType="end"/>
            </w:r>
          </w:hyperlink>
        </w:p>
        <w:p w14:paraId="5F26A145"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7" w:anchor="_Toc239091158" w:history="1">
            <w:r w:rsidRPr="00947C5E">
              <w:rPr>
                <w:rStyle w:val="Hyperlink"/>
                <w:rFonts w:asciiTheme="majorBidi" w:eastAsia="Times New Roman" w:hAnsiTheme="majorBidi" w:cstheme="majorBidi"/>
                <w:b/>
              </w:rPr>
              <w:t>6.1</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Cooperation with Latin American countries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_Toc239091158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17</w:t>
            </w:r>
            <w:r w:rsidRPr="00947C5E">
              <w:rPr>
                <w:rStyle w:val="Hyperlink"/>
                <w:webHidden/>
                <w:color w:val="auto"/>
                <w:u w:val="none"/>
              </w:rPr>
              <w:fldChar w:fldCharType="end"/>
            </w:r>
          </w:hyperlink>
        </w:p>
        <w:p w14:paraId="6805C103"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8" w:anchor="_Toc239091159" w:history="1">
            <w:r w:rsidRPr="00947C5E">
              <w:rPr>
                <w:rStyle w:val="Hyperlink"/>
                <w:rFonts w:asciiTheme="majorBidi" w:eastAsia="Times New Roman" w:hAnsiTheme="majorBidi" w:cstheme="majorBidi"/>
                <w:b/>
              </w:rPr>
              <w:t>6.2</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Regional dialogue on internal security with the Mediterranean</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_Toc239091159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18</w:t>
            </w:r>
            <w:r w:rsidRPr="00947C5E">
              <w:rPr>
                <w:rStyle w:val="Hyperlink"/>
                <w:webHidden/>
                <w:color w:val="auto"/>
                <w:u w:val="none"/>
              </w:rPr>
              <w:fldChar w:fldCharType="end"/>
            </w:r>
          </w:hyperlink>
        </w:p>
        <w:p w14:paraId="3FCA6DFA"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39" w:anchor="_Toc239091160" w:history="1">
            <w:r w:rsidRPr="00947C5E">
              <w:rPr>
                <w:rStyle w:val="Hyperlink"/>
                <w:rFonts w:asciiTheme="majorBidi" w:eastAsia="Times New Roman" w:hAnsiTheme="majorBidi" w:cstheme="majorBidi"/>
                <w:b/>
              </w:rPr>
              <w:t>6.3</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Cooperation with the Western Balkans, the United States and Interpol</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_Toc239091160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18</w:t>
            </w:r>
            <w:r w:rsidRPr="00947C5E">
              <w:rPr>
                <w:rStyle w:val="Hyperlink"/>
                <w:webHidden/>
                <w:color w:val="auto"/>
                <w:u w:val="none"/>
              </w:rPr>
              <w:fldChar w:fldCharType="end"/>
            </w:r>
          </w:hyperlink>
        </w:p>
        <w:p w14:paraId="53E9DA26"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40" w:anchor="_Toc239091161" w:history="1">
            <w:r w:rsidRPr="00947C5E">
              <w:rPr>
                <w:rStyle w:val="Hyperlink"/>
                <w:rFonts w:asciiTheme="majorBidi" w:eastAsia="Times New Roman" w:hAnsiTheme="majorBidi" w:cstheme="majorBidi"/>
                <w:b/>
              </w:rPr>
              <w:t>7.</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NEXUS BETWEEN EXTERNAL AND INTERNAL SECURITY</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_Toc239091161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19</w:t>
            </w:r>
            <w:r w:rsidRPr="00947C5E">
              <w:rPr>
                <w:rStyle w:val="Hyperlink"/>
                <w:webHidden/>
                <w:color w:val="auto"/>
                <w:u w:val="none"/>
              </w:rPr>
              <w:fldChar w:fldCharType="end"/>
            </w:r>
          </w:hyperlink>
        </w:p>
        <w:p w14:paraId="4D62C4D6"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41" w:anchor="_Toc239091162" w:history="1">
            <w:r w:rsidRPr="00947C5E">
              <w:rPr>
                <w:rStyle w:val="Hyperlink"/>
                <w:rFonts w:asciiTheme="majorBidi" w:eastAsia="Times New Roman" w:hAnsiTheme="majorBidi" w:cstheme="majorBidi"/>
                <w:b/>
              </w:rPr>
              <w:t>7.1</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Internal security implications of Russia’s war of aggression against Ukraine</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_Toc239091162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19</w:t>
            </w:r>
            <w:r w:rsidRPr="00947C5E">
              <w:rPr>
                <w:rStyle w:val="Hyperlink"/>
                <w:webHidden/>
                <w:color w:val="auto"/>
                <w:u w:val="none"/>
              </w:rPr>
              <w:fldChar w:fldCharType="end"/>
            </w:r>
          </w:hyperlink>
        </w:p>
        <w:p w14:paraId="61262832" w14:textId="77777777" w:rsidR="0088263D" w:rsidRPr="00947C5E" w:rsidRDefault="0088263D" w:rsidP="00D04E4E">
          <w:pPr>
            <w:tabs>
              <w:tab w:val="left" w:pos="1200"/>
              <w:tab w:val="right" w:leader="dot" w:pos="9629"/>
            </w:tabs>
            <w:ind w:left="480"/>
            <w:rPr>
              <w:rFonts w:asciiTheme="minorHAnsi" w:eastAsiaTheme="minorEastAsia" w:hAnsiTheme="minorHAnsi"/>
            </w:rPr>
          </w:pPr>
          <w:hyperlink r:id="rId42" w:anchor="_Toc239091163" w:history="1">
            <w:r w:rsidRPr="00947C5E">
              <w:rPr>
                <w:rStyle w:val="Hyperlink"/>
                <w:rFonts w:asciiTheme="majorBidi" w:eastAsia="Times New Roman" w:hAnsiTheme="majorBidi" w:cstheme="majorBidi"/>
                <w:b/>
              </w:rPr>
              <w:t>7.2</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Internal security implications of the situation in Syria</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_Toc239091163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19</w:t>
            </w:r>
            <w:r w:rsidRPr="00947C5E">
              <w:rPr>
                <w:rStyle w:val="Hyperlink"/>
                <w:webHidden/>
                <w:color w:val="auto"/>
                <w:u w:val="none"/>
              </w:rPr>
              <w:fldChar w:fldCharType="end"/>
            </w:r>
          </w:hyperlink>
        </w:p>
        <w:p w14:paraId="0FE0F9EE" w14:textId="77777777" w:rsidR="0088263D" w:rsidRPr="00947C5E" w:rsidRDefault="0088263D" w:rsidP="00D04E4E">
          <w:pPr>
            <w:tabs>
              <w:tab w:val="left" w:pos="960"/>
              <w:tab w:val="right" w:leader="dot" w:pos="9629"/>
            </w:tabs>
            <w:ind w:left="480"/>
            <w:rPr>
              <w:rFonts w:asciiTheme="minorHAnsi" w:eastAsiaTheme="minorEastAsia" w:hAnsiTheme="minorHAnsi"/>
            </w:rPr>
          </w:pPr>
          <w:hyperlink r:id="rId43" w:anchor="_Toc239091164" w:history="1">
            <w:r w:rsidRPr="00947C5E">
              <w:rPr>
                <w:rStyle w:val="Hyperlink"/>
                <w:rFonts w:asciiTheme="majorBidi" w:eastAsia="Times New Roman" w:hAnsiTheme="majorBidi" w:cstheme="majorBidi"/>
                <w:b/>
              </w:rPr>
              <w:t>8.</w:t>
            </w:r>
            <w:r w:rsidRPr="00947C5E">
              <w:rPr>
                <w:rStyle w:val="Hyperlink"/>
                <w:rFonts w:asciiTheme="minorHAnsi" w:eastAsiaTheme="minorEastAsia" w:hAnsiTheme="minorHAnsi"/>
                <w:color w:val="auto"/>
                <w:u w:val="none"/>
              </w:rPr>
              <w:tab/>
            </w:r>
            <w:r w:rsidRPr="00947C5E">
              <w:rPr>
                <w:rStyle w:val="Hyperlink"/>
                <w:rFonts w:asciiTheme="majorBidi" w:eastAsia="Times New Roman" w:hAnsiTheme="majorBidi" w:cstheme="majorBidi"/>
                <w:b/>
              </w:rPr>
              <w:t>JHA AGENCIES</w:t>
            </w:r>
            <w:r w:rsidRPr="00947C5E">
              <w:rPr>
                <w:rStyle w:val="Hyperlink"/>
                <w:webHidden/>
                <w:color w:val="auto"/>
                <w:u w:val="none"/>
              </w:rPr>
              <w:tab/>
            </w:r>
            <w:r w:rsidRPr="00947C5E">
              <w:rPr>
                <w:rStyle w:val="Hyperlink"/>
                <w:webHidden/>
                <w:color w:val="auto"/>
                <w:u w:val="none"/>
              </w:rPr>
              <w:fldChar w:fldCharType="begin"/>
            </w:r>
            <w:r w:rsidRPr="00947C5E">
              <w:rPr>
                <w:rStyle w:val="Hyperlink"/>
                <w:webHidden/>
                <w:color w:val="auto"/>
                <w:u w:val="none"/>
              </w:rPr>
              <w:instrText xml:space="preserve"> PAGEREF _Toc239091164 \h </w:instrText>
            </w:r>
            <w:r w:rsidRPr="00947C5E">
              <w:rPr>
                <w:rStyle w:val="Hyperlink"/>
                <w:webHidden/>
                <w:color w:val="auto"/>
                <w:u w:val="none"/>
              </w:rPr>
            </w:r>
            <w:r w:rsidRPr="00947C5E">
              <w:rPr>
                <w:rStyle w:val="Hyperlink"/>
                <w:webHidden/>
                <w:color w:val="auto"/>
                <w:u w:val="none"/>
              </w:rPr>
              <w:fldChar w:fldCharType="separate"/>
            </w:r>
            <w:r w:rsidRPr="00947C5E">
              <w:rPr>
                <w:rStyle w:val="Hyperlink"/>
                <w:webHidden/>
                <w:color w:val="auto"/>
                <w:u w:val="none"/>
              </w:rPr>
              <w:t>20</w:t>
            </w:r>
            <w:r w:rsidRPr="00947C5E">
              <w:rPr>
                <w:rStyle w:val="Hyperlink"/>
                <w:webHidden/>
                <w:color w:val="auto"/>
                <w:u w:val="none"/>
              </w:rPr>
              <w:fldChar w:fldCharType="end"/>
            </w:r>
          </w:hyperlink>
        </w:p>
        <w:p w14:paraId="44E0EB4A" w14:textId="77777777" w:rsidR="0088263D" w:rsidRPr="00947C5E" w:rsidRDefault="0088263D" w:rsidP="00D04E4E">
          <w:pPr>
            <w:tabs>
              <w:tab w:val="left" w:pos="960"/>
              <w:tab w:val="right" w:leader="dot" w:pos="9629"/>
            </w:tabs>
            <w:ind w:left="480"/>
            <w:rPr>
              <w:b/>
            </w:rPr>
          </w:pPr>
          <w:r w:rsidRPr="00947C5E">
            <w:fldChar w:fldCharType="end"/>
          </w:r>
        </w:p>
      </w:sdtContent>
    </w:sdt>
    <w:p w14:paraId="03AF48D5" w14:textId="77777777" w:rsidR="0088263D" w:rsidRPr="00947C5E" w:rsidRDefault="0088263D" w:rsidP="00D04E4E">
      <w:pPr>
        <w:rPr>
          <w:rFonts w:asciiTheme="majorBidi" w:eastAsia="Times New Roman" w:hAnsiTheme="majorBidi" w:cstheme="majorBidi"/>
          <w:b/>
          <w:bCs/>
          <w:szCs w:val="24"/>
          <w:u w:val="single"/>
        </w:rPr>
        <w:sectPr w:rsidR="0088263D" w:rsidRPr="00947C5E" w:rsidSect="002C5AD8">
          <w:headerReference w:type="even" r:id="rId44"/>
          <w:headerReference w:type="default" r:id="rId45"/>
          <w:footerReference w:type="even" r:id="rId46"/>
          <w:footerReference w:type="default" r:id="rId47"/>
          <w:headerReference w:type="first" r:id="rId48"/>
          <w:footerReference w:type="first" r:id="rId49"/>
          <w:endnotePr>
            <w:numFmt w:val="decimal"/>
          </w:endnotePr>
          <w:pgSz w:w="11907" w:h="16840"/>
          <w:pgMar w:top="1134" w:right="1134" w:bottom="1134" w:left="1134" w:header="567" w:footer="567" w:gutter="0"/>
          <w:cols w:space="720"/>
          <w:docGrid w:linePitch="326"/>
        </w:sectPr>
      </w:pPr>
    </w:p>
    <w:p w14:paraId="7689C9C6" w14:textId="77777777" w:rsidR="0088263D" w:rsidRPr="00947C5E" w:rsidRDefault="0088263D" w:rsidP="00D04E4E">
      <w:pPr>
        <w:numPr>
          <w:ilvl w:val="0"/>
          <w:numId w:val="22"/>
        </w:numPr>
        <w:jc w:val="both"/>
        <w:outlineLvl w:val="2"/>
        <w:rPr>
          <w:rFonts w:asciiTheme="majorBidi" w:eastAsia="Times New Roman" w:hAnsiTheme="majorBidi" w:cstheme="majorBidi"/>
          <w:b/>
          <w:bCs/>
          <w:szCs w:val="24"/>
          <w:u w:val="single"/>
        </w:rPr>
      </w:pPr>
      <w:bookmarkStart w:id="3" w:name="_Toc239091138"/>
      <w:r w:rsidRPr="00947C5E">
        <w:rPr>
          <w:rFonts w:asciiTheme="majorBidi" w:hAnsiTheme="majorBidi"/>
          <w:b/>
          <w:u w:val="single"/>
        </w:rPr>
        <w:lastRenderedPageBreak/>
        <w:t>REZUMAT</w:t>
      </w:r>
      <w:bookmarkEnd w:id="3"/>
    </w:p>
    <w:p w14:paraId="1F0EAC30" w14:textId="77777777" w:rsidR="0088263D" w:rsidRPr="00947C5E" w:rsidRDefault="0088263D" w:rsidP="00D04E4E">
      <w:pPr>
        <w:rPr>
          <w:rFonts w:asciiTheme="majorBidi" w:hAnsiTheme="majorBidi" w:cstheme="majorBidi"/>
          <w:szCs w:val="24"/>
        </w:rPr>
      </w:pPr>
      <w:r w:rsidRPr="00947C5E">
        <w:rPr>
          <w:rFonts w:asciiTheme="majorBidi" w:hAnsiTheme="majorBidi"/>
        </w:rPr>
        <w:t>Comitetul permanent pentru cooperarea operațională în materie de securitate internă (COSI), întemeiat pe articolul 71 din Tratatul privind funcționarea UE (TFUE), a fost instituit în cadrul Consiliului în 2010</w:t>
      </w:r>
      <w:r w:rsidRPr="00947C5E">
        <w:rPr>
          <w:rFonts w:asciiTheme="majorBidi" w:hAnsiTheme="majorBidi" w:cstheme="majorBidi"/>
          <w:b/>
          <w:bCs/>
          <w:szCs w:val="24"/>
          <w:vertAlign w:val="superscript"/>
        </w:rPr>
        <w:footnoteReference w:id="1"/>
      </w:r>
      <w:r w:rsidRPr="00947C5E">
        <w:rPr>
          <w:rFonts w:asciiTheme="majorBidi" w:hAnsiTheme="majorBidi"/>
        </w:rPr>
        <w:t xml:space="preserve"> pentru a facilita, promova și consolida coordonarea acțiunilor operaționale ale autorităților statelor membre competente în domeniul securității interne. În perioada trioului de președinții format din Polonia, Danemarca și Cipru, COSI a continuat să își îndeplinească mandatul de organism de monitorizare, consultativ și decizional, alcătuit din reprezentanți la nivel înalt din statele membre ale UE, din cadrul Comisiei și, după caz, din cadrul Serviciului European de Acțiune Externă (SEAE), al coordonatorului UE pentru combaterea terorismului și al agențiilor relevante din domeniul justiției și afacerilor interne (JAI), creând sinergii între poliție, autoritățile vamale, poliția de frontieră și autoritățile judiciare, precum și alți actori relevanți din domeniul securității interne. COSI joacă un rol semnificativ la interfața dintre nivelurile strategic și operațional pentru a asigura coerența dintre recomandările strategice și acțiunile operaționale și contribuie la punerea în aplicare a orientărilor strategice ale planificării legislative și operaționale în cadrul spațiului de libertate, securitate și justiție prevăzute la articolul 68 din TFUE și aprobate de Consiliu la 12 decembrie 2024</w:t>
      </w:r>
      <w:r w:rsidRPr="00947C5E">
        <w:rPr>
          <w:rFonts w:asciiTheme="majorBidi" w:hAnsiTheme="majorBidi" w:cstheme="majorBidi"/>
          <w:b/>
          <w:szCs w:val="24"/>
          <w:vertAlign w:val="superscript"/>
        </w:rPr>
        <w:footnoteReference w:id="2"/>
      </w:r>
      <w:r w:rsidRPr="00947C5E">
        <w:rPr>
          <w:rFonts w:asciiTheme="majorBidi" w:hAnsiTheme="majorBidi"/>
        </w:rPr>
        <w:t>. COSI pregătește chestiuni de securitate internă în vederea examinării de către Consiliul JAI și oferă orientări pentru lucrările grupurilor de pregătire ale Consiliului. COSI însuși se reunește de obicei în cadrul a două reuniuni formale și în cadrul uneia informale pe semestru, existând totodată un grup de sprijin al COSI, care pregătește discuțiile pentru COSI și facilitează lucrările acestuia la nivel tehnic.</w:t>
      </w:r>
    </w:p>
    <w:p w14:paraId="10F07FA3" w14:textId="77777777" w:rsidR="0088263D" w:rsidRPr="00947C5E" w:rsidRDefault="0088263D" w:rsidP="00D04E4E">
      <w:pPr>
        <w:rPr>
          <w:rFonts w:asciiTheme="majorBidi" w:hAnsiTheme="majorBidi" w:cstheme="majorBidi"/>
          <w:szCs w:val="24"/>
        </w:rPr>
      </w:pPr>
      <w:r w:rsidRPr="00947C5E">
        <w:rPr>
          <w:rFonts w:asciiTheme="majorBidi" w:hAnsiTheme="majorBidi"/>
        </w:rPr>
        <w:t xml:space="preserve">În perioada de raportare ianuarie 2025-iunie 2026, COSI a abordat cu prioritate viitorul securității interne, abordând aspecte precum: Strategia europeană de securitate internă propusă de Comisie; calea de urmat în ceea ce privește accesul la date pentru asigurarea eficace a respectării legii, pe baza activității Grupului la nivel înalt privind accesul la date pentru asigurarea eficace a respectării legii (GNI); alte provocări generate de evoluțiile tehnologice, cum ar fi cooperarea operațională pentru a contracara amenințările reprezentate de </w:t>
      </w:r>
      <w:proofErr w:type="spellStart"/>
      <w:r w:rsidRPr="00947C5E">
        <w:rPr>
          <w:rFonts w:asciiTheme="majorBidi" w:hAnsiTheme="majorBidi"/>
        </w:rPr>
        <w:t>drone</w:t>
      </w:r>
      <w:proofErr w:type="spellEnd"/>
      <w:r w:rsidRPr="00947C5E">
        <w:rPr>
          <w:rFonts w:asciiTheme="majorBidi" w:hAnsiTheme="majorBidi"/>
        </w:rPr>
        <w:t xml:space="preserve"> și activitățile Centrului UE de inovare pentru securitatea internă. COSI a pregătit instituirea noului ciclu de patru ani al Platformei multidisciplinare europene împotriva amenințărilor infracționale (EMPACT), inclusiv identificarea priorităților UE în materie de criminalitate pentru perioada 2026-2029 care urmează să fie abordate de acest mecanism. În plus, COSI a acordat o atenție deosebită combaterii traficului de droguri, </w:t>
      </w:r>
      <w:r w:rsidRPr="00947C5E">
        <w:rPr>
          <w:rFonts w:asciiTheme="majorBidi" w:hAnsiTheme="majorBidi"/>
        </w:rPr>
        <w:lastRenderedPageBreak/>
        <w:t xml:space="preserve">introducerii ilegale de </w:t>
      </w:r>
      <w:proofErr w:type="spellStart"/>
      <w:r w:rsidRPr="00947C5E">
        <w:rPr>
          <w:rFonts w:asciiTheme="majorBidi" w:hAnsiTheme="majorBidi"/>
        </w:rPr>
        <w:t>migranți</w:t>
      </w:r>
      <w:proofErr w:type="spellEnd"/>
      <w:r w:rsidRPr="00947C5E">
        <w:rPr>
          <w:rFonts w:asciiTheme="majorBidi" w:hAnsiTheme="majorBidi"/>
        </w:rPr>
        <w:t>, traficului de persoane, criminalității financiare și traficului de bunuri culturale. COSI a continuat să monitorizeze evoluțiile legate de terorism, aprobând recomandările bazate pe evoluția situației amenințărilor și atrăgând atenția asupra chestiunii extremismului nihilist și a recrutării online a minorilor pentru comiterea de acte de violență. Un alt domeniu major de activitate a fost legătura dintre securitatea internă și cea externă, cu accent pe impactul asupra securității interne al războiului de agresiune al Rusiei împotriva Ucrainei și al conflictului din Orientul Mijlociu. În domeniul cooperării internaționale, COSI a contribuit la consolidarea dialogului privind cooperarea în materie de securitate internă dintre UE și America Latină. O a doua reuniune UE-CLASI la nivel de înalți funcționari a fost organizată pentru a se ajunge la un acord cu privire la o declarație comună a miniștrilor afacerilor interne din statele membre ale Uniunii Europene și a miniștrilor responsabili cu aspectele de securitate din statele membre ale Comitetului latinoamerican pentru securitate internă (Declarația comună UE-CLASI)</w:t>
      </w:r>
      <w:r w:rsidRPr="00947C5E">
        <w:rPr>
          <w:rFonts w:asciiTheme="majorBidi" w:hAnsiTheme="majorBidi" w:cstheme="majorBidi"/>
          <w:b/>
          <w:szCs w:val="24"/>
          <w:vertAlign w:val="superscript"/>
        </w:rPr>
        <w:footnoteReference w:id="3"/>
      </w:r>
      <w:r w:rsidRPr="00947C5E">
        <w:rPr>
          <w:rFonts w:asciiTheme="majorBidi" w:hAnsiTheme="majorBidi"/>
        </w:rPr>
        <w:t>. În cursul acestui trio de președinții, COSI a acționat pentru inițierea unui dialog regional cu țările partenere din regiunea mediteraneeană, în perspectiva organizării unei prime reuniuni a înalților funcționari în toamna anului 2026. În sfârșit, COSI a monitorizat activitățile agențiilor JAI și ale rețelei acestora, contribuind la crearea de sinergii și la asigurarea coerenței activității lor, și a contribuit la reflecții cu privire la viitorul Agenției UE pentru Cooperare în Materie de Aplicare a Legii (Europol).</w:t>
      </w:r>
    </w:p>
    <w:p w14:paraId="755D4DA7" w14:textId="77777777" w:rsidR="0088263D" w:rsidRPr="00947C5E" w:rsidRDefault="0088263D" w:rsidP="00D04E4E">
      <w:pPr>
        <w:numPr>
          <w:ilvl w:val="0"/>
          <w:numId w:val="22"/>
        </w:numPr>
        <w:jc w:val="both"/>
        <w:outlineLvl w:val="2"/>
        <w:rPr>
          <w:rFonts w:asciiTheme="majorBidi" w:eastAsia="Times New Roman" w:hAnsiTheme="majorBidi" w:cstheme="majorBidi"/>
          <w:b/>
          <w:bCs/>
          <w:szCs w:val="24"/>
          <w:u w:val="single"/>
        </w:rPr>
      </w:pPr>
      <w:r w:rsidRPr="00947C5E">
        <w:br w:type="page"/>
      </w:r>
      <w:bookmarkStart w:id="4" w:name="_Toc239091139"/>
      <w:r w:rsidRPr="00947C5E">
        <w:rPr>
          <w:rFonts w:asciiTheme="majorBidi" w:hAnsiTheme="majorBidi"/>
          <w:b/>
          <w:u w:val="single"/>
        </w:rPr>
        <w:lastRenderedPageBreak/>
        <w:t>ASPECTE ORIZONTALE PRIVIND SECURITATEA INTERNĂ</w:t>
      </w:r>
      <w:bookmarkEnd w:id="4"/>
    </w:p>
    <w:p w14:paraId="1778FDC6" w14:textId="77777777" w:rsidR="0088263D" w:rsidRPr="00947C5E" w:rsidRDefault="0088263D" w:rsidP="00D04E4E">
      <w:pPr>
        <w:numPr>
          <w:ilvl w:val="1"/>
          <w:numId w:val="23"/>
        </w:numPr>
        <w:ind w:left="567"/>
        <w:jc w:val="both"/>
        <w:outlineLvl w:val="2"/>
        <w:rPr>
          <w:rFonts w:asciiTheme="majorBidi" w:eastAsia="Times New Roman" w:hAnsiTheme="majorBidi" w:cstheme="majorBidi"/>
          <w:b/>
          <w:bCs/>
          <w:szCs w:val="24"/>
        </w:rPr>
      </w:pPr>
      <w:bookmarkStart w:id="5" w:name="_Toc239091140"/>
      <w:r w:rsidRPr="00947C5E">
        <w:rPr>
          <w:rFonts w:asciiTheme="majorBidi" w:hAnsiTheme="majorBidi"/>
          <w:b/>
        </w:rPr>
        <w:t>Strategia europeană de securitate internă</w:t>
      </w:r>
      <w:bookmarkEnd w:id="5"/>
    </w:p>
    <w:p w14:paraId="17AC6362"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Orientările strategice prevăzute la articolul 68 din TFUE și aprobate de Consiliu în decembrie 2024 conturează direcția politicii UE în spațiul de libertate, securitate și justiție și stabilesc cadrul de punere în aplicare a aspectelor relevante ale Agendei strategice a UE 2024-2029.</w:t>
      </w:r>
    </w:p>
    <w:p w14:paraId="4B6D60E5"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În mai 2025, în pregătirea unui schimb de opinii în cadrul Consiliului JAI din iunie 2025, COSI a desfășurat un schimb de opinii pe tema „</w:t>
      </w:r>
      <w:proofErr w:type="spellStart"/>
      <w:r w:rsidRPr="00947C5E">
        <w:rPr>
          <w:rFonts w:asciiTheme="majorBidi" w:hAnsiTheme="majorBidi"/>
          <w:color w:val="000000"/>
        </w:rPr>
        <w:t>ProtectEU</w:t>
      </w:r>
      <w:proofErr w:type="spellEnd"/>
      <w:r w:rsidRPr="00947C5E">
        <w:rPr>
          <w:rFonts w:asciiTheme="majorBidi" w:hAnsiTheme="majorBidi"/>
          <w:color w:val="000000"/>
        </w:rPr>
        <w:t>: o strategie europeană de securitate internă”</w:t>
      </w:r>
      <w:r w:rsidRPr="00947C5E">
        <w:rPr>
          <w:rFonts w:asciiTheme="majorBidi" w:hAnsiTheme="majorBidi" w:cstheme="majorBidi"/>
          <w:b/>
          <w:color w:val="000000"/>
          <w:szCs w:val="24"/>
          <w:vertAlign w:val="superscript"/>
        </w:rPr>
        <w:footnoteReference w:id="4"/>
      </w:r>
      <w:r w:rsidRPr="00947C5E">
        <w:rPr>
          <w:rFonts w:asciiTheme="majorBidi" w:hAnsiTheme="majorBidi"/>
          <w:color w:val="000000"/>
        </w:rPr>
        <w:t>, o comunicare prezentată de Comisie la 1 aprilie 2025. Delegațiile au sprijinit în mare măsură prioritățile și direcțiile de lucru identificate de Comisie. Au fost formulate întrebări în legătură cu propunerea de analiză a amenințărilor care urmează să fie efectuată de Comisie și în ceea ce privește definirea amenințărilor hibride. A existat un sprijin general pentru consolidarea agențiilor JAI în ceea ce privește sprijinul acordat de acestea statelor membre</w:t>
      </w:r>
      <w:r w:rsidRPr="00947C5E">
        <w:rPr>
          <w:rFonts w:asciiTheme="majorBidi" w:hAnsiTheme="majorBidi" w:cstheme="majorBidi"/>
          <w:b/>
          <w:color w:val="000000"/>
          <w:szCs w:val="24"/>
          <w:vertAlign w:val="superscript"/>
        </w:rPr>
        <w:footnoteReference w:id="5"/>
      </w:r>
      <w:r w:rsidRPr="00947C5E">
        <w:rPr>
          <w:rFonts w:asciiTheme="majorBidi" w:hAnsiTheme="majorBidi"/>
          <w:color w:val="000000"/>
        </w:rPr>
        <w:t>.</w:t>
      </w:r>
    </w:p>
    <w:p w14:paraId="3E2B172B"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Discuția a continuat în septembrie 2025, când delegațiile au convenit că COSI ar trebui să primească din partea Comisiei rapoarte periodice cu privire la punerea în aplicare a inițiativelor-cheie, care să se extindă dincolo de domeniul afacerilor interne atunci când este necesar. Delegațiile au subliniat că COSI ar trebui să joace un rol strategic și de orientare în identificarea priorităților și în dezvoltarea inițiativelor, bazându-se pe experiența statelor membre în punerea în aplicare la nivel național.</w:t>
      </w:r>
    </w:p>
    <w:p w14:paraId="1624AEA1"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În noiembrie 2025, COSI a aprobat calea de urmat în ceea ce privește lucrările din cadrul Consiliului referitoare la punerea în aplicare a Strategiei europene de securitate internă</w:t>
      </w:r>
      <w:r w:rsidRPr="00947C5E">
        <w:rPr>
          <w:rFonts w:asciiTheme="majorBidi" w:hAnsiTheme="majorBidi" w:cstheme="majorBidi"/>
          <w:b/>
          <w:color w:val="000000"/>
          <w:szCs w:val="24"/>
          <w:vertAlign w:val="superscript"/>
        </w:rPr>
        <w:footnoteReference w:id="6"/>
      </w:r>
      <w:r w:rsidRPr="00947C5E">
        <w:rPr>
          <w:rFonts w:asciiTheme="majorBidi" w:hAnsiTheme="majorBidi"/>
          <w:color w:val="000000"/>
        </w:rPr>
        <w:t>. COSI a transmis Comisiei orientări strategice pentru continuarea ameliorării conceptului de analiză periodică planificată a amenințărilor și pentru evitarea oricărei suprapuneri a structurilor sau a produselor existente.</w:t>
      </w:r>
    </w:p>
    <w:p w14:paraId="184C2072"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În mai 2026, Comisia a făcut o prezentare privind tendințele transversale în materie de securitate, care a înlocuit analiza periodică a amenințărilor planificată inițial.</w:t>
      </w:r>
    </w:p>
    <w:p w14:paraId="3B85739B" w14:textId="77777777" w:rsidR="0088263D" w:rsidRPr="00947C5E" w:rsidRDefault="0088263D" w:rsidP="00A0583C">
      <w:pPr>
        <w:spacing w:before="0" w:after="0"/>
        <w:rPr>
          <w:rFonts w:asciiTheme="majorBidi" w:hAnsiTheme="majorBidi" w:cstheme="majorBidi"/>
          <w:szCs w:val="24"/>
        </w:rPr>
      </w:pPr>
    </w:p>
    <w:p w14:paraId="09B0D203" w14:textId="77777777" w:rsidR="0088263D" w:rsidRPr="00947C5E" w:rsidRDefault="0088263D" w:rsidP="00D04E4E">
      <w:pPr>
        <w:numPr>
          <w:ilvl w:val="1"/>
          <w:numId w:val="23"/>
        </w:numPr>
        <w:ind w:left="567"/>
        <w:jc w:val="both"/>
        <w:outlineLvl w:val="2"/>
        <w:rPr>
          <w:rFonts w:asciiTheme="majorBidi" w:eastAsia="Times New Roman" w:hAnsiTheme="majorBidi" w:cstheme="majorBidi"/>
          <w:b/>
          <w:bCs/>
          <w:szCs w:val="24"/>
        </w:rPr>
      </w:pPr>
      <w:r w:rsidRPr="00947C5E">
        <w:br w:type="page"/>
      </w:r>
      <w:bookmarkStart w:id="6" w:name="_Toc239091141"/>
      <w:r w:rsidRPr="00947C5E">
        <w:rPr>
          <w:rFonts w:asciiTheme="majorBidi" w:hAnsiTheme="majorBidi"/>
          <w:b/>
        </w:rPr>
        <w:lastRenderedPageBreak/>
        <w:t>Integrarea aspectelor legate de securitatea internă</w:t>
      </w:r>
      <w:bookmarkEnd w:id="6"/>
    </w:p>
    <w:p w14:paraId="5F756241" w14:textId="77777777" w:rsidR="0088263D" w:rsidRPr="00947C5E" w:rsidRDefault="0088263D" w:rsidP="00D04E4E">
      <w:pPr>
        <w:rPr>
          <w:rFonts w:cstheme="minorBidi"/>
        </w:rPr>
      </w:pPr>
      <w:r w:rsidRPr="00947C5E">
        <w:rPr>
          <w:rFonts w:asciiTheme="majorBidi" w:hAnsiTheme="majorBidi"/>
        </w:rPr>
        <w:t>COSI a fost informat periodic cu privire la stadiul dosarelor legislative cu un potențial impact asupra securității interne discutate atât în cadrul domeniului JAI, cât și în afara acestuia. Aceasta include o trecere în revistă periodică a dosarelor digitale, cu informații detaliate referitoare la dosarele legislative relevante gestionate în afara JAI, inclusiv punerea în aplicare a Regulamentului privind inteligența artificială (IA) și a Regulamentului privind serviciile digitale (DSA) și propunerile legislative privind Regulamentul Omnibus în domeniul digital și privind un act legislativ privind rețelele digitale, precum și un tabel care prezintă legislația relevantă din domeniul JAI și stadiul punerii sale în aplicare.</w:t>
      </w:r>
    </w:p>
    <w:p w14:paraId="3547350D"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 xml:space="preserve">În septembrie 2025, Comisia oferit informații referitoare la următorul cadru financiar multianual (CFM) și la implicațiile acestuia pentru securitatea internă. </w:t>
      </w:r>
      <w:r w:rsidRPr="00947C5E">
        <w:rPr>
          <w:rFonts w:asciiTheme="majorBidi" w:hAnsiTheme="majorBidi"/>
        </w:rPr>
        <w:t>În plus, delegațiile au atras atenția asupra impactului în materie de securitate internă al propunerii de regulament privind precursorii drogurilor, al proiectului de regulament privind restricționarea plumbului și a compușilor săi în muniția pentru tragerea cu arma în aer liber și în articolele de pescuit din motive de mediu, al negocierilor referitoare la Regulamentul de instituire a Codului vamal al Uniunii și a Autorității Vamale a Uniunii Europene, precum și al pregătirii proiectului de orientări ale Comisiei privind sistemele de IA cu grad ridicat de risc în punerea în aplicare a Regulamentului privind IA.</w:t>
      </w:r>
    </w:p>
    <w:p w14:paraId="07CAFA9C" w14:textId="77777777" w:rsidR="0088263D" w:rsidRPr="00947C5E" w:rsidRDefault="0088263D" w:rsidP="00D04E4E">
      <w:pPr>
        <w:rPr>
          <w:rFonts w:asciiTheme="majorBidi" w:hAnsiTheme="majorBidi" w:cstheme="majorBidi"/>
          <w:szCs w:val="24"/>
        </w:rPr>
      </w:pPr>
      <w:r w:rsidRPr="00947C5E">
        <w:rPr>
          <w:rFonts w:asciiTheme="majorBidi" w:hAnsiTheme="majorBidi"/>
          <w:color w:val="000000"/>
        </w:rPr>
        <w:t>COSI va continua să monitorizeze dosarele legislative orizontale relevante și să alerteze statele membre cu privire la potențialele implicații ale acestora în materie de securitate internă.</w:t>
      </w:r>
    </w:p>
    <w:p w14:paraId="10FCDFB5" w14:textId="77777777" w:rsidR="0088263D" w:rsidRPr="00947C5E" w:rsidRDefault="0088263D" w:rsidP="00A0583C">
      <w:pPr>
        <w:numPr>
          <w:ilvl w:val="0"/>
          <w:numId w:val="22"/>
        </w:numPr>
        <w:spacing w:before="60" w:after="60" w:line="312" w:lineRule="auto"/>
        <w:jc w:val="both"/>
        <w:outlineLvl w:val="2"/>
        <w:rPr>
          <w:rFonts w:asciiTheme="majorBidi" w:eastAsia="Times New Roman" w:hAnsiTheme="majorBidi" w:cstheme="majorBidi"/>
          <w:b/>
          <w:bCs/>
          <w:szCs w:val="24"/>
          <w:u w:val="single"/>
        </w:rPr>
      </w:pPr>
      <w:r w:rsidRPr="00947C5E">
        <w:br w:type="page"/>
      </w:r>
      <w:bookmarkStart w:id="7" w:name="_Toc239091142"/>
      <w:r w:rsidRPr="00947C5E">
        <w:rPr>
          <w:rFonts w:asciiTheme="majorBidi" w:hAnsiTheme="majorBidi"/>
          <w:b/>
          <w:u w:val="single"/>
        </w:rPr>
        <w:lastRenderedPageBreak/>
        <w:t>CRIMINALITATEA GRAVĂ ȘI CRIMINALITATEA ORGANIZATĂ</w:t>
      </w:r>
      <w:bookmarkEnd w:id="7"/>
    </w:p>
    <w:p w14:paraId="501EDC99" w14:textId="77777777" w:rsidR="0088263D" w:rsidRPr="00947C5E" w:rsidRDefault="0088263D" w:rsidP="00A0583C">
      <w:pPr>
        <w:numPr>
          <w:ilvl w:val="1"/>
          <w:numId w:val="24"/>
        </w:numPr>
        <w:spacing w:before="60" w:after="60" w:line="312" w:lineRule="auto"/>
        <w:ind w:left="567"/>
        <w:jc w:val="both"/>
        <w:outlineLvl w:val="2"/>
        <w:rPr>
          <w:rFonts w:asciiTheme="majorBidi" w:eastAsia="Times New Roman" w:hAnsiTheme="majorBidi" w:cstheme="majorBidi"/>
          <w:b/>
          <w:bCs/>
          <w:szCs w:val="24"/>
          <w:u w:val="single"/>
        </w:rPr>
      </w:pPr>
      <w:bookmarkStart w:id="8" w:name="_Toc239091143"/>
      <w:r w:rsidRPr="00947C5E">
        <w:rPr>
          <w:rFonts w:asciiTheme="majorBidi" w:hAnsiTheme="majorBidi"/>
          <w:b/>
        </w:rPr>
        <w:t>EMPACT</w:t>
      </w:r>
      <w:bookmarkEnd w:id="8"/>
    </w:p>
    <w:p w14:paraId="4B01BC1D" w14:textId="77777777" w:rsidR="0088263D" w:rsidRPr="00947C5E" w:rsidRDefault="0088263D" w:rsidP="00A0583C">
      <w:pPr>
        <w:spacing w:before="60" w:after="60" w:line="312" w:lineRule="auto"/>
        <w:rPr>
          <w:rFonts w:asciiTheme="majorBidi" w:hAnsiTheme="majorBidi" w:cstheme="majorBidi"/>
          <w:color w:val="000000"/>
          <w:szCs w:val="24"/>
        </w:rPr>
      </w:pPr>
      <w:r w:rsidRPr="00947C5E">
        <w:rPr>
          <w:rFonts w:asciiTheme="majorBidi" w:hAnsiTheme="majorBidi"/>
          <w:color w:val="000000"/>
        </w:rPr>
        <w:t>COSI a continuat să ofere orientări strategice și supraveghere pentru EMPACT.</w:t>
      </w:r>
    </w:p>
    <w:p w14:paraId="1C9A78E8" w14:textId="77777777" w:rsidR="0088263D" w:rsidRPr="00947C5E" w:rsidRDefault="0088263D" w:rsidP="00A0583C">
      <w:pPr>
        <w:spacing w:before="60" w:after="60" w:line="312" w:lineRule="auto"/>
        <w:rPr>
          <w:rFonts w:asciiTheme="majorBidi" w:hAnsiTheme="majorBidi" w:cstheme="majorBidi"/>
          <w:color w:val="000000"/>
          <w:szCs w:val="24"/>
        </w:rPr>
      </w:pPr>
      <w:r w:rsidRPr="00947C5E">
        <w:rPr>
          <w:rFonts w:asciiTheme="majorBidi" w:hAnsiTheme="majorBidi"/>
          <w:color w:val="000000"/>
        </w:rPr>
        <w:t>În cadrul reuniunii informale a COSI de la Varșovia din martie 2025, Europol a prezentat Evaluarea amenințării pe care o reprezintă formele grave de criminalitate și criminalitatea organizată în UE (SOCTA UE) 2025. Principalele constatări au sugerat că criminalitatea organizată este în creștere, adaptându-se mai rapid ca oricând și reprezentând o amenințare directă la adresa societăților noastre. Internetul a devenit principalul teatru de operații, activitățile infracționale fiind accelerate de inteligența artificială (IA). Frauda online a atins o fază epidemică din punctul de vedere al amplorii, diversității și gradului de sofisticare. Pe baza principalelor amenințări prezentate de Europol, delegațiile au inițiat un schimb de opinii cu privire la identificarea priorităților UE în materie de criminalitate pentru ciclul EMPACT 2026-2029.</w:t>
      </w:r>
    </w:p>
    <w:p w14:paraId="6D1D23FC" w14:textId="77777777" w:rsidR="0088263D" w:rsidRPr="00947C5E" w:rsidRDefault="0088263D" w:rsidP="00A0583C">
      <w:pPr>
        <w:spacing w:before="60" w:after="60" w:line="312" w:lineRule="auto"/>
        <w:rPr>
          <w:rFonts w:asciiTheme="majorBidi" w:hAnsiTheme="majorBidi" w:cstheme="majorBidi"/>
          <w:color w:val="000000"/>
          <w:szCs w:val="24"/>
        </w:rPr>
      </w:pPr>
      <w:r w:rsidRPr="00947C5E">
        <w:rPr>
          <w:rFonts w:asciiTheme="majorBidi" w:hAnsiTheme="majorBidi"/>
          <w:color w:val="000000"/>
        </w:rPr>
        <w:t>În paralel, delegațiile au desfășurat un schimb de opinii cu privire la viitorul EMPACT pe baza recomandărilor din evaluarea ciclului anterior al EMPACT (2021-2025). În loc să instituționalizeze mecanismul, statele membre au preferat să consolideze EMPACT prin concluzii ale Consiliului. Delegațiile au reafirmat necesitatea consolidării financiare a EMPACT, ținând seama și de negocierile privind următorul CFM.</w:t>
      </w:r>
    </w:p>
    <w:p w14:paraId="11FA743C" w14:textId="77777777" w:rsidR="0088263D" w:rsidRPr="00947C5E" w:rsidRDefault="0088263D" w:rsidP="00A0583C">
      <w:pPr>
        <w:spacing w:before="60" w:after="60" w:line="312" w:lineRule="auto"/>
        <w:rPr>
          <w:rFonts w:asciiTheme="majorBidi" w:hAnsiTheme="majorBidi" w:cstheme="majorBidi"/>
          <w:color w:val="000000"/>
          <w:szCs w:val="24"/>
        </w:rPr>
      </w:pPr>
      <w:r w:rsidRPr="00947C5E">
        <w:t>În mai 2025, COSI a aprobat proiectul de concluzii ale Consiliului privind consolidarea EMPACT și prioritățile UE în materie de criminalitate pentru ciclul EMPACT 2026-2029</w:t>
      </w:r>
      <w:r w:rsidRPr="00947C5E">
        <w:rPr>
          <w:rFonts w:asciiTheme="majorBidi" w:hAnsiTheme="majorBidi" w:cstheme="majorBidi"/>
          <w:b/>
          <w:color w:val="000000"/>
          <w:szCs w:val="24"/>
          <w:vertAlign w:val="superscript"/>
        </w:rPr>
        <w:footnoteReference w:id="7"/>
      </w:r>
      <w:r w:rsidRPr="00947C5E">
        <w:t>, care au fost aprobate de Consiliul JAI în iunie 2025</w:t>
      </w:r>
      <w:r w:rsidRPr="00947C5E">
        <w:rPr>
          <w:rFonts w:asciiTheme="majorBidi" w:hAnsiTheme="majorBidi" w:cstheme="majorBidi"/>
          <w:b/>
          <w:color w:val="000000"/>
          <w:szCs w:val="24"/>
          <w:vertAlign w:val="superscript"/>
        </w:rPr>
        <w:footnoteReference w:id="8"/>
      </w:r>
      <w:r w:rsidRPr="00947C5E">
        <w:t>.</w:t>
      </w:r>
      <w:r w:rsidRPr="00947C5E">
        <w:rPr>
          <w:rFonts w:asciiTheme="majorBidi" w:hAnsiTheme="majorBidi"/>
          <w:color w:val="000000"/>
        </w:rPr>
        <w:t xml:space="preserve"> Ținând seama de experiența anterioară, președinția daneză a pregătit o propunere privind procesul decizional referitor la actorii principali ai EMPACT. Grupul de sprijin al COSI a convenit asupra modificării mandatului EMPACT în ceea ce privește numirea actorilor principali și acordul cu privire la aceștia, precum și asupra unui mecanism de raportare EMPACT revizuit.</w:t>
      </w:r>
    </w:p>
    <w:p w14:paraId="5049D4AC" w14:textId="77777777" w:rsidR="0088263D" w:rsidRPr="00947C5E" w:rsidRDefault="0088263D" w:rsidP="00A0583C">
      <w:pPr>
        <w:spacing w:line="336" w:lineRule="auto"/>
        <w:rPr>
          <w:rFonts w:asciiTheme="majorBidi" w:hAnsiTheme="majorBidi" w:cstheme="majorBidi"/>
          <w:color w:val="000000"/>
          <w:szCs w:val="24"/>
        </w:rPr>
      </w:pPr>
      <w:r w:rsidRPr="00947C5E">
        <w:rPr>
          <w:rFonts w:asciiTheme="majorBidi" w:hAnsiTheme="majorBidi"/>
          <w:color w:val="000000"/>
        </w:rPr>
        <w:lastRenderedPageBreak/>
        <w:t xml:space="preserve">Grupul de sprijin al COSI a monitorizat periodic punerea în aplicare a planurilor de acțiune operaționale (PAO) ale EMPACT, inclusiv a zilelor de acțiune comună. Acesta a analizat aspectele financiare și de comunicare legate de EMPACT și a explorat </w:t>
      </w:r>
      <w:proofErr w:type="spellStart"/>
      <w:r w:rsidRPr="00947C5E">
        <w:rPr>
          <w:rFonts w:asciiTheme="majorBidi" w:hAnsiTheme="majorBidi"/>
          <w:color w:val="000000"/>
        </w:rPr>
        <w:t>sinergiile</w:t>
      </w:r>
      <w:proofErr w:type="spellEnd"/>
      <w:r w:rsidRPr="00947C5E">
        <w:rPr>
          <w:rFonts w:asciiTheme="majorBidi" w:hAnsiTheme="majorBidi"/>
          <w:color w:val="000000"/>
        </w:rPr>
        <w:t xml:space="preserve"> dintre Grupul de lucru pentru asigurarea respectării legii (LEWP) – Planul de acțiune vamală și PAO ale EMPACT.</w:t>
      </w:r>
    </w:p>
    <w:p w14:paraId="3B70B123" w14:textId="77777777" w:rsidR="0088263D" w:rsidRPr="00947C5E" w:rsidRDefault="0088263D" w:rsidP="00A0583C">
      <w:pPr>
        <w:spacing w:line="336" w:lineRule="auto"/>
        <w:rPr>
          <w:rFonts w:asciiTheme="majorBidi" w:hAnsiTheme="majorBidi" w:cstheme="majorBidi"/>
          <w:color w:val="000000"/>
          <w:szCs w:val="24"/>
        </w:rPr>
      </w:pPr>
      <w:r w:rsidRPr="00947C5E">
        <w:rPr>
          <w:rFonts w:asciiTheme="majorBidi" w:hAnsiTheme="majorBidi"/>
          <w:color w:val="000000"/>
        </w:rPr>
        <w:t xml:space="preserve">Pentru a lansa noul ciclu EMPACT 2026-2029, Grupul de sprijin al COSI a convenit asupra planului strategic multianual general pregătit de Comisie, inclusiv asupra obiectivelor strategice orizontale comune, înainte de lansarea procesului de elaborare a PAO. Ulterior, Grupul de sprijin al COSI a încheiat procesul de numire a coordonatorilor, a </w:t>
      </w:r>
      <w:proofErr w:type="spellStart"/>
      <w:r w:rsidRPr="00947C5E">
        <w:rPr>
          <w:rFonts w:asciiTheme="majorBidi" w:hAnsiTheme="majorBidi"/>
          <w:color w:val="000000"/>
        </w:rPr>
        <w:t>co</w:t>
      </w:r>
      <w:proofErr w:type="spellEnd"/>
      <w:r w:rsidRPr="00947C5E">
        <w:rPr>
          <w:rFonts w:asciiTheme="majorBidi" w:hAnsiTheme="majorBidi"/>
          <w:color w:val="000000"/>
        </w:rPr>
        <w:t>-coordonatorilor și a participanților la cele 13 PAO și a aprobat PAO pentru perioada 2026-2027.</w:t>
      </w:r>
    </w:p>
    <w:p w14:paraId="6D485FB5" w14:textId="77777777" w:rsidR="0088263D" w:rsidRPr="00947C5E" w:rsidRDefault="0088263D" w:rsidP="00A0583C">
      <w:pPr>
        <w:spacing w:line="336" w:lineRule="auto"/>
        <w:rPr>
          <w:rFonts w:asciiTheme="majorBidi" w:hAnsiTheme="majorBidi" w:cstheme="majorBidi"/>
          <w:color w:val="000000"/>
          <w:szCs w:val="24"/>
        </w:rPr>
      </w:pPr>
      <w:r w:rsidRPr="00947C5E">
        <w:rPr>
          <w:rFonts w:asciiTheme="majorBidi" w:hAnsiTheme="majorBidi"/>
          <w:color w:val="000000"/>
        </w:rPr>
        <w:t xml:space="preserve">În iunie 2026, Europol a prezentat principalele constatări ale raportului intitulat „The </w:t>
      </w:r>
      <w:proofErr w:type="spellStart"/>
      <w:r w:rsidRPr="00947C5E">
        <w:rPr>
          <w:rFonts w:asciiTheme="majorBidi" w:hAnsiTheme="majorBidi"/>
          <w:color w:val="000000"/>
        </w:rPr>
        <w:t>blueprint</w:t>
      </w:r>
      <w:proofErr w:type="spellEnd"/>
      <w:r w:rsidRPr="00947C5E">
        <w:rPr>
          <w:rFonts w:asciiTheme="majorBidi" w:hAnsiTheme="majorBidi"/>
          <w:color w:val="000000"/>
        </w:rPr>
        <w:t xml:space="preserve"> of criminal </w:t>
      </w:r>
      <w:proofErr w:type="spellStart"/>
      <w:r w:rsidRPr="00947C5E">
        <w:rPr>
          <w:rFonts w:asciiTheme="majorBidi" w:hAnsiTheme="majorBidi"/>
          <w:color w:val="000000"/>
        </w:rPr>
        <w:t>opportunism</w:t>
      </w:r>
      <w:proofErr w:type="spellEnd"/>
      <w:r w:rsidRPr="00947C5E">
        <w:rPr>
          <w:rFonts w:asciiTheme="majorBidi" w:hAnsiTheme="majorBidi"/>
          <w:color w:val="000000"/>
        </w:rPr>
        <w:t>” (Planul oportunismului infracțional), care oferă o imagine de ansamblu a amenințărilor în schimbare în ceea ce privește rețelele infracționale care reprezintă cea mai mare amenințare, în urma unei prime ediții a raportului publicat în 2024. Europol a prezentat, de asemenea, proiectul de cerințe ale clienților în pregătirea raportului intermediar privind amenințările noi, în schimbare sau emergente, prevăzut pentru 2027, în vederea examinării de către delegații.</w:t>
      </w:r>
    </w:p>
    <w:p w14:paraId="0C8C9459" w14:textId="77777777" w:rsidR="0088263D" w:rsidRPr="00947C5E" w:rsidRDefault="0088263D" w:rsidP="00A0583C">
      <w:pPr>
        <w:numPr>
          <w:ilvl w:val="1"/>
          <w:numId w:val="24"/>
        </w:numPr>
        <w:spacing w:line="336" w:lineRule="auto"/>
        <w:ind w:left="567"/>
        <w:jc w:val="both"/>
        <w:outlineLvl w:val="2"/>
        <w:rPr>
          <w:rFonts w:asciiTheme="majorBidi" w:eastAsia="Times New Roman" w:hAnsiTheme="majorBidi" w:cstheme="majorBidi"/>
          <w:b/>
          <w:bCs/>
          <w:szCs w:val="24"/>
        </w:rPr>
      </w:pPr>
      <w:bookmarkStart w:id="9" w:name="_Toc239091144"/>
      <w:r w:rsidRPr="00947C5E">
        <w:rPr>
          <w:rFonts w:asciiTheme="majorBidi" w:hAnsiTheme="majorBidi"/>
          <w:b/>
        </w:rPr>
        <w:t xml:space="preserve">Organizarea și </w:t>
      </w:r>
      <w:proofErr w:type="spellStart"/>
      <w:r w:rsidRPr="00947C5E">
        <w:rPr>
          <w:rFonts w:asciiTheme="majorBidi" w:hAnsiTheme="majorBidi"/>
          <w:b/>
        </w:rPr>
        <w:t>prioritizarea</w:t>
      </w:r>
      <w:proofErr w:type="spellEnd"/>
      <w:r w:rsidRPr="00947C5E">
        <w:rPr>
          <w:rFonts w:asciiTheme="majorBidi" w:hAnsiTheme="majorBidi"/>
          <w:b/>
        </w:rPr>
        <w:t xml:space="preserve"> rețelelor afiliate la Grupul de lucru pentru asigurarea respectării legii (LEWP) (poliție)</w:t>
      </w:r>
      <w:bookmarkEnd w:id="9"/>
    </w:p>
    <w:p w14:paraId="0823DBE6" w14:textId="77777777" w:rsidR="0088263D" w:rsidRPr="00947C5E" w:rsidRDefault="0088263D" w:rsidP="00A0583C">
      <w:pPr>
        <w:spacing w:line="336" w:lineRule="auto"/>
        <w:rPr>
          <w:rFonts w:asciiTheme="majorBidi" w:hAnsiTheme="majorBidi" w:cstheme="majorBidi"/>
          <w:color w:val="000000"/>
          <w:szCs w:val="24"/>
        </w:rPr>
      </w:pPr>
      <w:r w:rsidRPr="00947C5E">
        <w:rPr>
          <w:rFonts w:asciiTheme="majorBidi" w:hAnsiTheme="majorBidi"/>
          <w:color w:val="000000"/>
        </w:rPr>
        <w:t xml:space="preserve">În mai 2026, COSI a aprobat calendarul lucrărilor privind organizarea și </w:t>
      </w:r>
      <w:proofErr w:type="spellStart"/>
      <w:r w:rsidRPr="00947C5E">
        <w:rPr>
          <w:rFonts w:asciiTheme="majorBidi" w:hAnsiTheme="majorBidi"/>
          <w:color w:val="000000"/>
        </w:rPr>
        <w:t>prioritizarea</w:t>
      </w:r>
      <w:proofErr w:type="spellEnd"/>
      <w:r w:rsidRPr="00947C5E">
        <w:rPr>
          <w:rFonts w:asciiTheme="majorBidi" w:hAnsiTheme="majorBidi"/>
          <w:color w:val="000000"/>
        </w:rPr>
        <w:t xml:space="preserve"> rețelelor de aplicare a legii afiliate la Grupul de lucru pentru asigurarea respectării legii (poliție). Acest exercițiu urmărește raționalizarea activității desfășurate de rețelele afiliate, îmbunătățirea guvernanței și a raportării acestora. În timpul președinției cipriote, s-a convenit ancorarea acestui proces pentru viitorul trio de președinții.</w:t>
      </w:r>
    </w:p>
    <w:p w14:paraId="62B7B78E" w14:textId="77777777" w:rsidR="0088263D" w:rsidRPr="00947C5E" w:rsidRDefault="0088263D" w:rsidP="00A0583C">
      <w:pPr>
        <w:numPr>
          <w:ilvl w:val="1"/>
          <w:numId w:val="24"/>
        </w:numPr>
        <w:spacing w:line="336" w:lineRule="auto"/>
        <w:ind w:left="567"/>
        <w:jc w:val="both"/>
        <w:outlineLvl w:val="2"/>
        <w:rPr>
          <w:rFonts w:asciiTheme="majorBidi" w:eastAsia="Times New Roman" w:hAnsiTheme="majorBidi" w:cstheme="majorBidi"/>
          <w:b/>
          <w:bCs/>
          <w:szCs w:val="24"/>
        </w:rPr>
      </w:pPr>
      <w:bookmarkStart w:id="10" w:name="_Toc239091145"/>
      <w:r w:rsidRPr="00947C5E">
        <w:rPr>
          <w:rFonts w:asciiTheme="majorBidi" w:hAnsiTheme="majorBidi"/>
          <w:b/>
        </w:rPr>
        <w:t>Abordarea administrativă și tehnicile speciale de investigare</w:t>
      </w:r>
      <w:bookmarkEnd w:id="10"/>
    </w:p>
    <w:p w14:paraId="3D09BAD9" w14:textId="77777777" w:rsidR="0088263D" w:rsidRPr="00947C5E" w:rsidRDefault="0088263D" w:rsidP="00A0583C">
      <w:pPr>
        <w:spacing w:line="336" w:lineRule="auto"/>
        <w:rPr>
          <w:rFonts w:asciiTheme="majorBidi" w:eastAsia="Times New Roman" w:hAnsiTheme="majorBidi" w:cstheme="majorBidi"/>
          <w:szCs w:val="24"/>
        </w:rPr>
      </w:pPr>
      <w:r w:rsidRPr="00947C5E">
        <w:rPr>
          <w:rFonts w:asciiTheme="majorBidi" w:hAnsiTheme="majorBidi"/>
        </w:rPr>
        <w:t>Având în vedere propunerea planificată a Comisiei de revizuire a Deciziei-cadru 2008/841/JAI a Consiliului din 24 octombrie 2008 privind lupta împotriva crimei organizate, COSI a desfășurat în mai 2026 un schimb de opinii cu privire la combaterea efectivă a criminalității organizate la nivelul UE prin aplicarea abordării administrative și a tehnicilor speciale de investigare. Delegațiile au sprijinit consolidarea modelului barierelor și au pledat pentru dezvoltarea unui cadru al Uniunii bazat pe experiența națională și care să permită schimbul de informații administrative. În ceea ce privește tehnicile speciale de investigare, delegațiile și-au exprimat preferința pentru optimizarea instrumentelor existente, cum ar fi ordinul european de anchetă, în detrimentul armonizării prin intermediul unei noi legislații a Uniunii.</w:t>
      </w:r>
    </w:p>
    <w:p w14:paraId="14DBC711" w14:textId="77777777" w:rsidR="0088263D" w:rsidRPr="00947C5E" w:rsidRDefault="0088263D" w:rsidP="00A0583C">
      <w:pPr>
        <w:numPr>
          <w:ilvl w:val="1"/>
          <w:numId w:val="24"/>
        </w:numPr>
        <w:spacing w:line="336" w:lineRule="auto"/>
        <w:ind w:left="567"/>
        <w:jc w:val="both"/>
        <w:outlineLvl w:val="2"/>
        <w:rPr>
          <w:rFonts w:asciiTheme="majorBidi" w:eastAsia="Times New Roman" w:hAnsiTheme="majorBidi" w:cstheme="majorBidi"/>
          <w:b/>
          <w:bCs/>
          <w:szCs w:val="24"/>
        </w:rPr>
      </w:pPr>
      <w:bookmarkStart w:id="11" w:name="_Toc239091146"/>
      <w:r w:rsidRPr="00947C5E">
        <w:rPr>
          <w:rFonts w:asciiTheme="majorBidi" w:hAnsiTheme="majorBidi"/>
          <w:b/>
        </w:rPr>
        <w:lastRenderedPageBreak/>
        <w:t>Utilizarea infrastructurii online pentru violența legată de criminalitatea organizată</w:t>
      </w:r>
      <w:bookmarkEnd w:id="11"/>
    </w:p>
    <w:p w14:paraId="4E70A40D" w14:textId="77777777" w:rsidR="0088263D" w:rsidRPr="00947C5E" w:rsidRDefault="0088263D" w:rsidP="00A0583C">
      <w:pPr>
        <w:spacing w:line="336" w:lineRule="auto"/>
        <w:rPr>
          <w:rFonts w:asciiTheme="majorBidi" w:eastAsia="Times New Roman" w:hAnsiTheme="majorBidi" w:cstheme="majorBidi"/>
          <w:szCs w:val="24"/>
        </w:rPr>
      </w:pPr>
      <w:r w:rsidRPr="00947C5E">
        <w:rPr>
          <w:rFonts w:asciiTheme="majorBidi" w:hAnsiTheme="majorBidi"/>
        </w:rPr>
        <w:t>În cadrul reuniunii informale de la Copenhaga din iulie 2025, COSI a discutat despre violență ca serviciu și, în special, despre recrutarea online a minorilor pentru comiterea de acte de violență. Delegațiile au convenit că violența ca serviciu este o provocare tot mai îngrijorătoare, care ar trebui combătută printr-o abordare la nivelul întregii societăți, care să includă cooperarea cu industria, prevenirea, cooperarea în materie de asigurare a respectării legii și schimbul de tehnici de investigare. Punerea în aplicare a Regulamentului privind serviciile digitale și evaluarea Regulamentului privind conținutul online cu caracter terorist au fost menționate ca elemente legislative care trebuie avute în vedere.</w:t>
      </w:r>
    </w:p>
    <w:p w14:paraId="52526E7F" w14:textId="77777777" w:rsidR="0088263D" w:rsidRPr="00947C5E" w:rsidRDefault="0088263D" w:rsidP="00A0583C">
      <w:pPr>
        <w:numPr>
          <w:ilvl w:val="1"/>
          <w:numId w:val="24"/>
        </w:numPr>
        <w:spacing w:line="336" w:lineRule="auto"/>
        <w:ind w:left="567"/>
        <w:jc w:val="both"/>
        <w:outlineLvl w:val="2"/>
        <w:rPr>
          <w:rFonts w:asciiTheme="majorBidi" w:eastAsia="Times New Roman" w:hAnsiTheme="majorBidi" w:cstheme="majorBidi"/>
          <w:b/>
          <w:bCs/>
          <w:szCs w:val="24"/>
        </w:rPr>
      </w:pPr>
      <w:bookmarkStart w:id="12" w:name="_Toc239091147"/>
      <w:r w:rsidRPr="00947C5E">
        <w:rPr>
          <w:rFonts w:asciiTheme="majorBidi" w:hAnsiTheme="majorBidi"/>
          <w:b/>
        </w:rPr>
        <w:t>Traficul de droguri</w:t>
      </w:r>
      <w:bookmarkEnd w:id="12"/>
    </w:p>
    <w:p w14:paraId="3F65EDEE" w14:textId="77777777" w:rsidR="0088263D" w:rsidRPr="00947C5E" w:rsidRDefault="0088263D" w:rsidP="00A0583C">
      <w:pPr>
        <w:spacing w:line="336" w:lineRule="auto"/>
        <w:rPr>
          <w:rFonts w:cstheme="minorBidi"/>
        </w:rPr>
      </w:pPr>
      <w:r w:rsidRPr="00947C5E">
        <w:t>În ceea ce privește evoluțiile și tendințele emergente de pe piețele drogurilor și de pe rutele de trafic, experții au confirmat în cadrul reuniunii informale a COSI de la Varșovia din martie 2025 că, în urma investițiilor menite să îmbunătățească reziliența principalelor porturi europene, se produce o reorientare către porturi secundare de mici dimensiuni. Cererea de droguri este în creștere, iar în Europa laboratoarele proliferează, atât cele care produc droguri sintetice, cât și cele care prelucrează cocaină.</w:t>
      </w:r>
    </w:p>
    <w:p w14:paraId="44659D9A" w14:textId="77777777" w:rsidR="0088263D" w:rsidRPr="00947C5E" w:rsidRDefault="0088263D" w:rsidP="00A0583C">
      <w:pPr>
        <w:spacing w:line="336" w:lineRule="auto"/>
      </w:pPr>
      <w:r w:rsidRPr="00947C5E">
        <w:t>În februarie 2026, COSI a desfășurat un schimb de opinii cu privire la comunicările Comisiei privind un cadru îmbunătățit de combatere a traficului de droguri, axându-se pe Planul de acțiune al UE pentru perioada 2026-2030. Majoritatea delegațiilor au salutat propunerea de strategie a UE în materie de droguri și planul de acțiune, iar unele dintre acestea au subliniat importanța implicării susținute a COSI, în special pentru a oferi orientări strategice cu privire la acțiunile care necesită cooperare operațională. COSI a convenit că planul de acțiune ar trebui completat cu activități legate, printre altele, de: abordarea bazată pe urmărirea banilor; dimensiunea maritimă, inclusiv porturile și implicarea Centrului de Analiză și Operațiuni Maritime (Stupefiante) (MAOC-N); dezvoltarea de parteneriate public-privat, de exemplu în ceea ce privește cooperarea cu serviciile poștale și de coletărie; întărirea cooperării cu întreprinderile din domeniul tehnologiei pentru a preveni recrutarea online; utilizarea navelor rapide și (semi)submersibile și posibila preluare a bunelor practici în cadrul juridic la nivel național. Unele delegații au menționat că rolul Agenției Europene pentru Poliția de Frontieră și Garda de Coastă (</w:t>
      </w:r>
      <w:proofErr w:type="spellStart"/>
      <w:r w:rsidRPr="00947C5E">
        <w:t>Frontex</w:t>
      </w:r>
      <w:proofErr w:type="spellEnd"/>
      <w:r w:rsidRPr="00947C5E">
        <w:t>) în lupta împotriva traficului de droguri ar trebui examinat mai atent.</w:t>
      </w:r>
    </w:p>
    <w:p w14:paraId="095BE421" w14:textId="77777777" w:rsidR="0088263D" w:rsidRPr="00947C5E" w:rsidRDefault="0088263D" w:rsidP="00A0583C">
      <w:pPr>
        <w:spacing w:line="288" w:lineRule="auto"/>
      </w:pPr>
      <w:r w:rsidRPr="00947C5E">
        <w:t xml:space="preserve">În mai 2026, președinția a informat delegațiile cu privire la lucrările în curs care au condus la aprobarea Concluziilor Consiliului privind operaționalizarea în comun a Strategiei UE în materie de </w:t>
      </w:r>
      <w:r w:rsidRPr="00947C5E">
        <w:lastRenderedPageBreak/>
        <w:t>droguri</w:t>
      </w:r>
      <w:r w:rsidRPr="00947C5E">
        <w:rPr>
          <w:b/>
          <w:vertAlign w:val="superscript"/>
        </w:rPr>
        <w:footnoteReference w:id="9"/>
      </w:r>
      <w:r w:rsidRPr="00947C5E">
        <w:t xml:space="preserve"> în cadrul Consiliului JAI din iunie 2026 și a declarat că COSI va continua să ofere orientări cu privire la aspecte ale cooperării operaționale legate de punerea în aplicare a Planului de acțiune împotriva traficului de droguri. Portugalia a atras atenția asupra activității MAOC-N și asupra necesității de a oferi organizației o finanțare adecvată din partea Uniunii pentru a asigura continuarea activităților actuale și realizarea noilor activități planificate.</w:t>
      </w:r>
    </w:p>
    <w:p w14:paraId="254B8EE5" w14:textId="77777777" w:rsidR="0088263D" w:rsidRPr="00947C5E" w:rsidRDefault="0088263D" w:rsidP="00A0583C">
      <w:pPr>
        <w:numPr>
          <w:ilvl w:val="1"/>
          <w:numId w:val="24"/>
        </w:numPr>
        <w:spacing w:line="288" w:lineRule="auto"/>
        <w:ind w:left="567"/>
        <w:jc w:val="both"/>
        <w:outlineLvl w:val="2"/>
        <w:rPr>
          <w:rFonts w:asciiTheme="majorBidi" w:eastAsia="Times New Roman" w:hAnsiTheme="majorBidi" w:cstheme="majorBidi"/>
          <w:b/>
          <w:bCs/>
          <w:szCs w:val="24"/>
        </w:rPr>
      </w:pPr>
      <w:bookmarkStart w:id="13" w:name="_Toc239091148"/>
      <w:r w:rsidRPr="00947C5E">
        <w:rPr>
          <w:rFonts w:asciiTheme="majorBidi" w:hAnsiTheme="majorBidi"/>
          <w:b/>
        </w:rPr>
        <w:t xml:space="preserve">Prevenirea și combaterea introducerii ilegale de </w:t>
      </w:r>
      <w:proofErr w:type="spellStart"/>
      <w:r w:rsidRPr="00947C5E">
        <w:rPr>
          <w:rFonts w:asciiTheme="majorBidi" w:hAnsiTheme="majorBidi"/>
          <w:b/>
        </w:rPr>
        <w:t>migranți</w:t>
      </w:r>
      <w:proofErr w:type="spellEnd"/>
      <w:r w:rsidRPr="00947C5E">
        <w:rPr>
          <w:rFonts w:asciiTheme="majorBidi" w:hAnsiTheme="majorBidi"/>
          <w:b/>
        </w:rPr>
        <w:t xml:space="preserve"> în era digitală</w:t>
      </w:r>
      <w:bookmarkEnd w:id="13"/>
    </w:p>
    <w:p w14:paraId="5EB5B6EA" w14:textId="77777777" w:rsidR="0088263D" w:rsidRPr="00947C5E" w:rsidRDefault="0088263D" w:rsidP="00A0583C">
      <w:pPr>
        <w:spacing w:line="288" w:lineRule="auto"/>
        <w:rPr>
          <w:rFonts w:asciiTheme="majorBidi" w:eastAsia="Times New Roman" w:hAnsiTheme="majorBidi" w:cstheme="majorBidi"/>
          <w:szCs w:val="24"/>
        </w:rPr>
      </w:pPr>
      <w:r w:rsidRPr="00947C5E">
        <w:rPr>
          <w:rFonts w:asciiTheme="majorBidi" w:hAnsiTheme="majorBidi"/>
        </w:rPr>
        <w:t xml:space="preserve">În februarie 2025, COSI a desfășurat un schimb de opinii cu privire la principalele provocări legate de combaterea introducerii ilegale de </w:t>
      </w:r>
      <w:proofErr w:type="spellStart"/>
      <w:r w:rsidRPr="00947C5E">
        <w:rPr>
          <w:rFonts w:asciiTheme="majorBidi" w:hAnsiTheme="majorBidi"/>
        </w:rPr>
        <w:t>migranți</w:t>
      </w:r>
      <w:proofErr w:type="spellEnd"/>
      <w:r w:rsidRPr="00947C5E">
        <w:rPr>
          <w:rFonts w:asciiTheme="majorBidi" w:hAnsiTheme="majorBidi"/>
        </w:rPr>
        <w:t xml:space="preserve"> în era digitală și a analizat instrumente și soluții care ar putea fi dezvoltate sau consolidate în acest sens. Președinția poloneză a prezentat activitatea departamentului specializat în domeniul cibernetic din cadrul poliției de frontieră poloneze ca exemplu de soluție națională eficace, în special pentru urmărirea și confiscarea banilor. În cadrul discuției, delegațiile au menționat necesitatea de a consolida cooperarea și schimbul de informații între statele membre și cu țările terțe și organizațiile internaționale, facilitate de Europol ori de câte ori este cazul; de a continua dezvoltarea dialogului cu părțile private, inclusiv prin intermediul Forumului UE pentru internet; de a asigura punerea efectivă în aplicare a legislației existente (de exemplu, Regulamentul privind serviciile digitale, pachetul privind probele electronice); de a se face eforturi pentru a se ajunge la un acord politic rapid cu privire la noua legislație propusă în cadrul pachetului privind combaterea introducerii ilegale de </w:t>
      </w:r>
      <w:proofErr w:type="spellStart"/>
      <w:r w:rsidRPr="00947C5E">
        <w:rPr>
          <w:rFonts w:asciiTheme="majorBidi" w:hAnsiTheme="majorBidi"/>
        </w:rPr>
        <w:t>migranți</w:t>
      </w:r>
      <w:proofErr w:type="spellEnd"/>
      <w:r w:rsidRPr="00947C5E">
        <w:rPr>
          <w:rFonts w:asciiTheme="majorBidi" w:hAnsiTheme="majorBidi"/>
        </w:rPr>
        <w:t xml:space="preserve"> și de a se utiliza în mod optim structurile existente, cum ar fi EMPACT, Unitatea UE de semnalare a conținutului online din cadrul Europol și rețeaua de experți „</w:t>
      </w:r>
      <w:proofErr w:type="spellStart"/>
      <w:r w:rsidRPr="00947C5E">
        <w:rPr>
          <w:rFonts w:asciiTheme="majorBidi" w:hAnsiTheme="majorBidi"/>
        </w:rPr>
        <w:t>DigiNex</w:t>
      </w:r>
      <w:proofErr w:type="spellEnd"/>
      <w:r w:rsidRPr="00947C5E">
        <w:rPr>
          <w:rFonts w:asciiTheme="majorBidi" w:hAnsiTheme="majorBidi"/>
        </w:rPr>
        <w:t>”.</w:t>
      </w:r>
    </w:p>
    <w:p w14:paraId="7C371309" w14:textId="77777777" w:rsidR="0088263D" w:rsidRPr="00947C5E" w:rsidRDefault="0088263D" w:rsidP="00A0583C">
      <w:pPr>
        <w:spacing w:line="288" w:lineRule="auto"/>
        <w:rPr>
          <w:rFonts w:asciiTheme="majorBidi" w:eastAsia="Times New Roman" w:hAnsiTheme="majorBidi" w:cstheme="majorBidi"/>
          <w:szCs w:val="24"/>
        </w:rPr>
      </w:pPr>
      <w:r w:rsidRPr="00947C5E">
        <w:rPr>
          <w:rFonts w:asciiTheme="majorBidi" w:hAnsiTheme="majorBidi"/>
        </w:rPr>
        <w:t xml:space="preserve">Președinția cipriotă a continuat acțiunile de prevenire și combatere a introducerii ilegale de </w:t>
      </w:r>
      <w:proofErr w:type="spellStart"/>
      <w:r w:rsidRPr="00947C5E">
        <w:rPr>
          <w:rFonts w:asciiTheme="majorBidi" w:hAnsiTheme="majorBidi"/>
        </w:rPr>
        <w:t>migranți</w:t>
      </w:r>
      <w:proofErr w:type="spellEnd"/>
      <w:r w:rsidRPr="00947C5E">
        <w:rPr>
          <w:rFonts w:asciiTheme="majorBidi" w:hAnsiTheme="majorBidi"/>
        </w:rPr>
        <w:t xml:space="preserve"> în cadrul Grupului de lucru pentru asigurarea respectării legii (poliție) prin elaborarea unui raport al președinției care evidențiază recomandări operaționale concrete adresate agențiilor de aplicare a legii.</w:t>
      </w:r>
    </w:p>
    <w:p w14:paraId="67E22CEA" w14:textId="77777777" w:rsidR="0088263D" w:rsidRPr="00947C5E" w:rsidRDefault="0088263D" w:rsidP="00A0583C">
      <w:pPr>
        <w:numPr>
          <w:ilvl w:val="1"/>
          <w:numId w:val="24"/>
        </w:numPr>
        <w:spacing w:line="288" w:lineRule="auto"/>
        <w:ind w:left="567"/>
        <w:jc w:val="both"/>
        <w:outlineLvl w:val="2"/>
        <w:rPr>
          <w:rFonts w:asciiTheme="majorBidi" w:eastAsia="Times New Roman" w:hAnsiTheme="majorBidi" w:cstheme="majorBidi"/>
          <w:b/>
          <w:bCs/>
          <w:szCs w:val="24"/>
        </w:rPr>
      </w:pPr>
      <w:bookmarkStart w:id="14" w:name="_Toc239091149"/>
      <w:r w:rsidRPr="00947C5E">
        <w:rPr>
          <w:rFonts w:asciiTheme="majorBidi" w:hAnsiTheme="majorBidi"/>
          <w:b/>
        </w:rPr>
        <w:t>Traficul de ființe umane</w:t>
      </w:r>
      <w:bookmarkEnd w:id="14"/>
    </w:p>
    <w:p w14:paraId="6AE1F588" w14:textId="77777777" w:rsidR="0088263D" w:rsidRPr="00947C5E" w:rsidRDefault="0088263D" w:rsidP="00A0583C">
      <w:pPr>
        <w:spacing w:line="288" w:lineRule="auto"/>
        <w:rPr>
          <w:rFonts w:asciiTheme="majorBidi" w:eastAsia="Times New Roman" w:hAnsiTheme="majorBidi" w:cstheme="majorBidi"/>
          <w:szCs w:val="24"/>
        </w:rPr>
      </w:pPr>
      <w:r w:rsidRPr="00947C5E">
        <w:rPr>
          <w:rFonts w:asciiTheme="majorBidi" w:hAnsiTheme="majorBidi"/>
        </w:rPr>
        <w:t xml:space="preserve">În cadrul reuniunii informale a COSI de la Varșovia din martie 2025, delegațiile au subliniat că combaterea traficului de persoane ar trebui să fie una dintre prioritățile UE în materie de criminalitate pentru noul ciclu EMPACT. Printre măsurile de combatere efectivă a acestui tip de criminalitate, delegațiile au subliniat cooperarea cu platformele online (care ar trebui să pună în aplicare obligațiile prevăzute în Regulamentul privind serviciile digitale), utilizarea roboților de indexare web, inclusiv în timpul zilelor de acțiune </w:t>
      </w:r>
      <w:proofErr w:type="spellStart"/>
      <w:r w:rsidRPr="00947C5E">
        <w:rPr>
          <w:rFonts w:asciiTheme="majorBidi" w:hAnsiTheme="majorBidi"/>
        </w:rPr>
        <w:t>Hackathon</w:t>
      </w:r>
      <w:proofErr w:type="spellEnd"/>
      <w:r w:rsidRPr="00947C5E">
        <w:rPr>
          <w:rFonts w:asciiTheme="majorBidi" w:hAnsiTheme="majorBidi"/>
        </w:rPr>
        <w:t>, de către autoritățile de aplicare a legii pentru a detecta și a desființa site-uri, cooperarea transfrontalieră/internațională cu țările de origine și monitorizarea utilizării structurilor comerciale legale care servesc adesea la disimularea acestor activități ilegale.</w:t>
      </w:r>
    </w:p>
    <w:p w14:paraId="79954B27" w14:textId="77777777" w:rsidR="0088263D" w:rsidRPr="00947C5E" w:rsidRDefault="0088263D" w:rsidP="00A0583C">
      <w:pPr>
        <w:spacing w:line="288" w:lineRule="auto"/>
        <w:rPr>
          <w:rFonts w:asciiTheme="majorBidi" w:eastAsia="Times New Roman" w:hAnsiTheme="majorBidi" w:cstheme="majorBidi"/>
          <w:szCs w:val="24"/>
        </w:rPr>
      </w:pPr>
      <w:r w:rsidRPr="00947C5E">
        <w:rPr>
          <w:rFonts w:asciiTheme="majorBidi" w:hAnsiTheme="majorBidi"/>
        </w:rPr>
        <w:t xml:space="preserve">Președinția cipriotă a continuat acțiunile de prevenire și combatere a traficului de ființe umane în cadrul Grupului de lucru pentru asigurarea respectării legii (poliție) prin elaborarea unui raport al </w:t>
      </w:r>
      <w:r w:rsidRPr="00947C5E">
        <w:rPr>
          <w:rFonts w:asciiTheme="majorBidi" w:hAnsiTheme="majorBidi"/>
        </w:rPr>
        <w:lastRenderedPageBreak/>
        <w:t>președinției care evidențiază recomandări operaționale concrete adresate agențiilor de aplicare a legii.</w:t>
      </w:r>
    </w:p>
    <w:p w14:paraId="6F7114F8" w14:textId="77777777" w:rsidR="0088263D" w:rsidRPr="00947C5E" w:rsidRDefault="0088263D" w:rsidP="00D04E4E">
      <w:pPr>
        <w:numPr>
          <w:ilvl w:val="1"/>
          <w:numId w:val="24"/>
        </w:numPr>
        <w:ind w:left="567"/>
        <w:jc w:val="both"/>
        <w:outlineLvl w:val="2"/>
        <w:rPr>
          <w:rFonts w:asciiTheme="majorBidi" w:eastAsia="Times New Roman" w:hAnsiTheme="majorBidi" w:cstheme="majorBidi"/>
          <w:b/>
          <w:bCs/>
          <w:szCs w:val="24"/>
        </w:rPr>
      </w:pPr>
      <w:bookmarkStart w:id="15" w:name="_Toc239091150"/>
      <w:r w:rsidRPr="00947C5E">
        <w:rPr>
          <w:rFonts w:asciiTheme="majorBidi" w:hAnsiTheme="majorBidi"/>
          <w:b/>
        </w:rPr>
        <w:t xml:space="preserve">Urmărirea banilor: Investigații financiare și </w:t>
      </w:r>
      <w:proofErr w:type="spellStart"/>
      <w:r w:rsidRPr="00947C5E">
        <w:rPr>
          <w:rFonts w:asciiTheme="majorBidi" w:hAnsiTheme="majorBidi"/>
          <w:b/>
        </w:rPr>
        <w:t>criptomonede</w:t>
      </w:r>
      <w:bookmarkEnd w:id="15"/>
      <w:proofErr w:type="spellEnd"/>
    </w:p>
    <w:p w14:paraId="603E6D65"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 xml:space="preserve">În ceea ce privește investigațiile financiare și </w:t>
      </w:r>
      <w:proofErr w:type="spellStart"/>
      <w:r w:rsidRPr="00947C5E">
        <w:rPr>
          <w:rFonts w:asciiTheme="majorBidi" w:hAnsiTheme="majorBidi"/>
        </w:rPr>
        <w:t>criptomonedele</w:t>
      </w:r>
      <w:proofErr w:type="spellEnd"/>
      <w:r w:rsidRPr="00947C5E">
        <w:rPr>
          <w:rFonts w:asciiTheme="majorBidi" w:hAnsiTheme="majorBidi"/>
        </w:rPr>
        <w:t xml:space="preserve">, discuțiile din cadrul reuniunii informale a COSI de la Nicosia din ianuarie 2026 au evidențiat utilizarea tot mai frecventă a </w:t>
      </w:r>
      <w:proofErr w:type="spellStart"/>
      <w:r w:rsidRPr="00947C5E">
        <w:rPr>
          <w:rFonts w:asciiTheme="majorBidi" w:hAnsiTheme="majorBidi"/>
        </w:rPr>
        <w:t>criptoactivelor</w:t>
      </w:r>
      <w:proofErr w:type="spellEnd"/>
      <w:r w:rsidRPr="00947C5E">
        <w:rPr>
          <w:rFonts w:asciiTheme="majorBidi" w:hAnsiTheme="majorBidi"/>
        </w:rPr>
        <w:t xml:space="preserve"> de către criminalitatea organizată și necesitatea creșterii competenței de specialitate în urmărirea și înghețarea acestor active. Formarea continuă și îmbunătățirea schimbului de informații sunt considerate domenii în care sunt necesare investiții suplimentare. Schimbul de opinii a abordat, de asemenea, autonomia strategică, unele delegații subliniind necesitatea unor instrumente ale UE de urmărire criptografică și a accesului la date pentru asigurarea efectivă a respectării legii. Revizuirea mandatului Europol a fost considerată o ocazie de a consolida capacitățile de sprijin ale agenției în domeniul criminalității financiare.</w:t>
      </w:r>
    </w:p>
    <w:p w14:paraId="55F7ACE8" w14:textId="77777777" w:rsidR="0088263D" w:rsidRPr="00947C5E" w:rsidRDefault="0088263D" w:rsidP="00D04E4E">
      <w:pPr>
        <w:numPr>
          <w:ilvl w:val="1"/>
          <w:numId w:val="24"/>
        </w:numPr>
        <w:ind w:left="567"/>
        <w:jc w:val="both"/>
        <w:outlineLvl w:val="2"/>
        <w:rPr>
          <w:rFonts w:asciiTheme="majorBidi" w:eastAsia="Times New Roman" w:hAnsiTheme="majorBidi" w:cstheme="majorBidi"/>
          <w:b/>
          <w:bCs/>
          <w:szCs w:val="24"/>
        </w:rPr>
      </w:pPr>
      <w:bookmarkStart w:id="16" w:name="_Toc239091151"/>
      <w:r w:rsidRPr="00947C5E">
        <w:rPr>
          <w:rFonts w:asciiTheme="majorBidi" w:hAnsiTheme="majorBidi"/>
          <w:b/>
        </w:rPr>
        <w:t>Traficul ilicit de bunuri culturale</w:t>
      </w:r>
      <w:bookmarkEnd w:id="16"/>
    </w:p>
    <w:p w14:paraId="19B12BBB"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În cadrul reuniunii informale a COSI de la Nicosia din ianuarie 2026, delegațiile au căzut de acord asupra gravității acestei infracțiuni și asupra necesității de a consolida monitorizarea vânzărilor online și de a coopera cu instituțiile culturale. Studierea creării unui registru comun al tranzacțiilor la nivelul UE și maximizarea utilizării rețelelor existente, cum ar fi CULTNET, împreună cu cooperarea cu Europolul și Interpolul, sunt domenii în care sunt necesare activități suplimentare. Președinția cipriotă a continuat activitatea legată de traficul ilicit de bunuri culturale în cadrul Grupului de lucru pentru asigurarea respectării legii (poliție), obținând acordul asupra unui raport al președinției</w:t>
      </w:r>
      <w:r w:rsidRPr="00947C5E">
        <w:rPr>
          <w:rFonts w:asciiTheme="majorBidi" w:eastAsia="Times New Roman" w:hAnsiTheme="majorBidi" w:cstheme="majorBidi"/>
          <w:b/>
          <w:szCs w:val="24"/>
          <w:vertAlign w:val="superscript"/>
        </w:rPr>
        <w:footnoteReference w:id="10"/>
      </w:r>
      <w:r w:rsidRPr="00947C5E">
        <w:rPr>
          <w:rFonts w:asciiTheme="majorBidi" w:hAnsiTheme="majorBidi"/>
        </w:rPr>
        <w:t xml:space="preserve"> care evidențiază recomandări operaționale concrete adresate agențiilor de aplicare a legii.</w:t>
      </w:r>
    </w:p>
    <w:p w14:paraId="3CE76A8B" w14:textId="77777777" w:rsidR="0088263D" w:rsidRPr="00947C5E" w:rsidRDefault="0088263D" w:rsidP="00D04E4E">
      <w:pPr>
        <w:numPr>
          <w:ilvl w:val="0"/>
          <w:numId w:val="22"/>
        </w:numPr>
        <w:jc w:val="both"/>
        <w:outlineLvl w:val="2"/>
        <w:rPr>
          <w:rFonts w:asciiTheme="majorBidi" w:eastAsia="Times New Roman" w:hAnsiTheme="majorBidi" w:cstheme="majorBidi"/>
          <w:b/>
          <w:bCs/>
          <w:szCs w:val="24"/>
          <w:u w:val="single"/>
        </w:rPr>
      </w:pPr>
      <w:r w:rsidRPr="00947C5E">
        <w:br w:type="page"/>
      </w:r>
      <w:bookmarkStart w:id="17" w:name="_Toc239091152"/>
      <w:r w:rsidRPr="00947C5E">
        <w:rPr>
          <w:rFonts w:asciiTheme="majorBidi" w:hAnsiTheme="majorBidi"/>
          <w:b/>
          <w:u w:val="single"/>
        </w:rPr>
        <w:lastRenderedPageBreak/>
        <w:t>COMBATEREA TERORISMULUI ȘI A EXTREMISMULUI VIOLENT</w:t>
      </w:r>
      <w:bookmarkEnd w:id="17"/>
    </w:p>
    <w:p w14:paraId="14EF2686"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Terorismul și extremismul violent continuă să reprezinte o amenințare semnificativă la adresa Uniunii Europene și a statelor sale membre. COSI evaluează periodic provocările reprezentate de amenințările teroriste și are în vedere acțiuni de combatere eficace a acestora. Începând din 2016, COSI aprobă o dată la șase luni recomandări pe baza evaluării la nivelul UE a amenințărilor în domeniul combaterii terorismului.</w:t>
      </w:r>
    </w:p>
    <w:p w14:paraId="35A595DB" w14:textId="77777777" w:rsidR="0088263D" w:rsidRPr="00947C5E" w:rsidRDefault="0088263D" w:rsidP="00D04E4E">
      <w:pPr>
        <w:rPr>
          <w:rFonts w:asciiTheme="majorBidi" w:hAnsiTheme="majorBidi" w:cstheme="majorBidi"/>
          <w:szCs w:val="24"/>
        </w:rPr>
      </w:pPr>
      <w:r w:rsidRPr="00947C5E">
        <w:rPr>
          <w:rFonts w:asciiTheme="majorBidi" w:hAnsiTheme="majorBidi"/>
        </w:rPr>
        <w:t>În cadrul reuniunii informale a COSI de la Nicosia din ianuarie 2026, delegațiile au discutat violența extremistă nihilistă definită ca atacuri mizantropice lipsite de o ideologie sau motivație anume, în afara fascinației pe care o exercită violența. În urma unei prezentări din partea coordonatorului UE pentru lupta împotriva terorismului, delegațiile au recunoscut violența extremistă nihilistă drept o amenințare emergentă în toate statele membre. Atât victimele, cât și autorii infracțiunilor sunt adesea minori sau tineri care își desfășoară activitatea în mediul digital. Fenomenul este complex și dificil de încadrat în categorii. Instrumentele juridice și forurile abilitate să abordeze această chestiune ar trebui să promoveze în continuare cooperarea cu furnizorii de servicii tehnice. Delegațiile au subliniat, de asemenea, necesitatea unei abordări multidisciplinare însoțite de măsuri preventive și campanii de sensibilizare, în special în rândul tinerilor.</w:t>
      </w:r>
    </w:p>
    <w:p w14:paraId="2C72CEB9" w14:textId="77777777" w:rsidR="0088263D" w:rsidRPr="00947C5E" w:rsidRDefault="0088263D" w:rsidP="00D04E4E">
      <w:pPr>
        <w:numPr>
          <w:ilvl w:val="0"/>
          <w:numId w:val="22"/>
        </w:numPr>
        <w:jc w:val="both"/>
        <w:outlineLvl w:val="2"/>
        <w:rPr>
          <w:rFonts w:asciiTheme="majorBidi" w:eastAsia="Times New Roman" w:hAnsiTheme="majorBidi" w:cstheme="majorBidi"/>
          <w:b/>
          <w:bCs/>
          <w:szCs w:val="24"/>
          <w:u w:val="single"/>
        </w:rPr>
      </w:pPr>
      <w:r w:rsidRPr="00947C5E">
        <w:br w:type="page"/>
      </w:r>
      <w:bookmarkStart w:id="18" w:name="_Toc239091153"/>
      <w:r w:rsidRPr="00947C5E">
        <w:rPr>
          <w:rFonts w:asciiTheme="majorBidi" w:hAnsiTheme="majorBidi"/>
          <w:b/>
          <w:u w:val="single"/>
        </w:rPr>
        <w:lastRenderedPageBreak/>
        <w:t>TEHNOLOGIE ȘI INOVARE</w:t>
      </w:r>
      <w:bookmarkEnd w:id="18"/>
    </w:p>
    <w:p w14:paraId="4B7152B8" w14:textId="77777777" w:rsidR="0088263D" w:rsidRPr="00947C5E" w:rsidRDefault="0088263D" w:rsidP="00D04E4E">
      <w:pPr>
        <w:numPr>
          <w:ilvl w:val="1"/>
          <w:numId w:val="25"/>
        </w:numPr>
        <w:ind w:left="567"/>
        <w:jc w:val="both"/>
        <w:outlineLvl w:val="2"/>
        <w:rPr>
          <w:rFonts w:asciiTheme="majorBidi" w:eastAsia="Times New Roman" w:hAnsiTheme="majorBidi" w:cstheme="majorBidi"/>
          <w:b/>
          <w:bCs/>
          <w:szCs w:val="24"/>
        </w:rPr>
      </w:pPr>
      <w:bookmarkStart w:id="19" w:name="_Toc239091154"/>
      <w:r w:rsidRPr="00947C5E">
        <w:rPr>
          <w:rFonts w:asciiTheme="majorBidi" w:hAnsiTheme="majorBidi"/>
          <w:b/>
        </w:rPr>
        <w:t>Accesul la date pentru asigurarea eficace a respectării legii</w:t>
      </w:r>
      <w:bookmarkEnd w:id="19"/>
    </w:p>
    <w:p w14:paraId="557F2992"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În urma Concluziilor Consiliului din decembrie 2024 privind accesul la date pentru asigurarea eficace a respectării legii</w:t>
      </w:r>
      <w:r w:rsidRPr="00947C5E">
        <w:rPr>
          <w:rFonts w:asciiTheme="majorBidi" w:hAnsiTheme="majorBidi" w:cstheme="majorBidi"/>
          <w:b/>
          <w:color w:val="000000"/>
          <w:szCs w:val="24"/>
          <w:vertAlign w:val="superscript"/>
        </w:rPr>
        <w:footnoteReference w:id="11"/>
      </w:r>
      <w:r w:rsidRPr="00947C5E">
        <w:rPr>
          <w:rFonts w:asciiTheme="majorBidi" w:hAnsiTheme="majorBidi"/>
          <w:color w:val="000000"/>
        </w:rPr>
        <w:t>, președinția poloneză a propus măsuri care ar putea fi lansate pe termen scurt sau cărora li s-ar putea acorda prioritate în foaia de parcurs care se afla în curs de pregătire de către Comisie. În plus, președinția poloneză a oferit exemple de activități de comunicare și un repertoriu de mesaje-cheie neexhaustive și exemple de cazuri care ar putea ajuta autoritățile naționale, inclusiv autoritățile de aplicare a legii și autoritățile judiciare, Comisia, coordonatorul UE pentru combaterea terorismului și agențiile JAI, atunci când comunică cu privire la accesul la date pentru asigurarea eficace a respectării legii la nivel național, la nivelul UE sau la nivel internațional. Delegațiile au salutat inițiativa de a iniția imediat punerea în aplicare a unor măsuri și dezvoltarea unui discurs comun pentru modul de comunicare privind accesul la date. COSI a invitat Agenția UE pentru Cooperare în Materie de Justiție Penală (</w:t>
      </w:r>
      <w:proofErr w:type="spellStart"/>
      <w:r w:rsidRPr="00947C5E">
        <w:rPr>
          <w:rFonts w:asciiTheme="majorBidi" w:hAnsiTheme="majorBidi"/>
          <w:color w:val="000000"/>
        </w:rPr>
        <w:t>Eurojust</w:t>
      </w:r>
      <w:proofErr w:type="spellEnd"/>
      <w:r w:rsidRPr="00947C5E">
        <w:rPr>
          <w:rFonts w:asciiTheme="majorBidi" w:hAnsiTheme="majorBidi"/>
          <w:color w:val="000000"/>
        </w:rPr>
        <w:t>) și Europolul să colecteze exemple de cazuri și produse de comunicare relevante.</w:t>
      </w:r>
    </w:p>
    <w:p w14:paraId="0A6A9FE2"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În urma prezentării de către Comisie a unei foi de parcurs privind accesul legal și efectiv la date pentru autoritățile de aplicare a legii la 24 iunie 2025</w:t>
      </w:r>
      <w:r w:rsidRPr="00947C5E">
        <w:rPr>
          <w:rFonts w:asciiTheme="majorBidi" w:hAnsiTheme="majorBidi" w:cstheme="majorBidi"/>
          <w:b/>
          <w:color w:val="000000"/>
          <w:szCs w:val="24"/>
          <w:vertAlign w:val="superscript"/>
        </w:rPr>
        <w:footnoteReference w:id="12"/>
      </w:r>
      <w:r w:rsidRPr="00947C5E">
        <w:rPr>
          <w:rFonts w:asciiTheme="majorBidi" w:hAnsiTheme="majorBidi"/>
          <w:color w:val="000000"/>
        </w:rPr>
        <w:t>, în cadrul reuniunii informale a COSI de la Copenhaga din iulie 2025, delegațiile au salutat în general foaia de parcurs, unele state membre sperând însă un nivel mai ridicat de ambiție și termene mai clare. O masă rotundă privind accesul la date în cadrul serviciilor de comunicații criptate de la un capăt la altul cu reprezentanți ai mediului academic, ai sectorului și ai societății civile s-a axat pe echilibrarea drepturilor și pe dezvoltarea de soluții tehnice care urmează o abordare bazată pe riscuri. Lucrările pe această temă vor fi continuate de un grup de experți al Comisiei care va elabora o foaie de parcurs tehnologică pentru criptare până în 2026.</w:t>
      </w:r>
    </w:p>
    <w:p w14:paraId="37844C69"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În septembrie 2025, COSI a desfășurat un schimb de opinii cu privire la acțiunile ulterioare în cadrul structurilor Consiliului în pregătirea Consiliului JAI din octombrie 2025. Delegațiile au considerat că prezentarea generală pregătită de președinția daneză este un cadru adecvat pentru coordonarea, discutarea și monitorizarea punerii în aplicare a foii de parcurs și a altor măsuri cărora statele membre le acordă prioritate.</w:t>
      </w:r>
    </w:p>
    <w:p w14:paraId="69743188" w14:textId="77777777" w:rsidR="000062EA" w:rsidRPr="00947C5E" w:rsidRDefault="000062EA">
      <w:pPr>
        <w:spacing w:before="0" w:after="200" w:line="276" w:lineRule="auto"/>
        <w:rPr>
          <w:rFonts w:asciiTheme="majorBidi" w:hAnsiTheme="majorBidi" w:cstheme="majorBidi"/>
          <w:color w:val="000000"/>
          <w:szCs w:val="24"/>
        </w:rPr>
      </w:pPr>
      <w:r w:rsidRPr="00947C5E">
        <w:lastRenderedPageBreak/>
        <w:br w:type="page"/>
      </w:r>
    </w:p>
    <w:p w14:paraId="299D22FF" w14:textId="77777777" w:rsidR="0088263D" w:rsidRPr="00947C5E" w:rsidRDefault="0088263D" w:rsidP="00A0583C">
      <w:pPr>
        <w:spacing w:line="336" w:lineRule="auto"/>
        <w:rPr>
          <w:rFonts w:cstheme="minorBidi"/>
        </w:rPr>
      </w:pPr>
      <w:r w:rsidRPr="00947C5E">
        <w:rPr>
          <w:rFonts w:asciiTheme="majorBidi" w:hAnsiTheme="majorBidi"/>
          <w:color w:val="000000"/>
        </w:rPr>
        <w:lastRenderedPageBreak/>
        <w:t>În noiembrie 2025, COSI a aprobat calea de urmat în legătură cu lucrările din cadrul structurilor Consiliului privind accesul la date pentru asigurarea eficace a respectării legii</w:t>
      </w:r>
      <w:r w:rsidRPr="00947C5E">
        <w:rPr>
          <w:rFonts w:asciiTheme="majorBidi" w:hAnsiTheme="majorBidi" w:cstheme="majorBidi"/>
          <w:b/>
          <w:color w:val="000000"/>
          <w:szCs w:val="24"/>
          <w:vertAlign w:val="superscript"/>
        </w:rPr>
        <w:footnoteReference w:id="13"/>
      </w:r>
      <w:r w:rsidRPr="00947C5E">
        <w:rPr>
          <w:rFonts w:asciiTheme="majorBidi" w:hAnsiTheme="majorBidi"/>
          <w:color w:val="000000"/>
        </w:rPr>
        <w:t xml:space="preserve"> și a desfășurat un schimb de opinii cu privire la aspectele legate de standardizare ale accesului la date pentru asigurarea eficace a respectării legii. Delegațiile au explorat soluții pentru o mai bună coordonare și </w:t>
      </w:r>
      <w:proofErr w:type="spellStart"/>
      <w:r w:rsidRPr="00947C5E">
        <w:rPr>
          <w:rFonts w:asciiTheme="majorBidi" w:hAnsiTheme="majorBidi"/>
          <w:color w:val="000000"/>
        </w:rPr>
        <w:t>prioritizare</w:t>
      </w:r>
      <w:proofErr w:type="spellEnd"/>
      <w:r w:rsidRPr="00947C5E">
        <w:rPr>
          <w:rFonts w:asciiTheme="majorBidi" w:hAnsiTheme="majorBidi"/>
          <w:color w:val="000000"/>
        </w:rPr>
        <w:t xml:space="preserve"> a reprezentării autorităților de aplicare a legii în cadrul organismelor de standardizare și au invitat Comisia și Europolul să sprijine statele membre în dezvoltarea în continuare a acestora. Delegațiile au subliniat că ar trebui să se pună la dispoziția statelor membre o finanțare suficientă în cadrul următorului CFM.</w:t>
      </w:r>
    </w:p>
    <w:p w14:paraId="0C545C65" w14:textId="77777777" w:rsidR="0088263D" w:rsidRPr="00947C5E" w:rsidRDefault="0088263D" w:rsidP="00A0583C">
      <w:pPr>
        <w:spacing w:line="336" w:lineRule="auto"/>
        <w:rPr>
          <w:rFonts w:asciiTheme="majorBidi" w:hAnsiTheme="majorBidi" w:cstheme="majorBidi"/>
          <w:color w:val="000000"/>
          <w:szCs w:val="24"/>
        </w:rPr>
      </w:pPr>
      <w:r w:rsidRPr="00947C5E">
        <w:rPr>
          <w:rFonts w:asciiTheme="majorBidi" w:hAnsiTheme="majorBidi"/>
          <w:color w:val="000000"/>
        </w:rPr>
        <w:t>În mai 2026, delegații COSI și-au exprimat așteptările cu privire la discuțiile viitoare din cadrul structurilor Consiliului privind păstrarea datelor și foaia de parcurs tehnologică privind criptarea. Alte subiecte subliniate au inclus necesitatea de a intensifica eforturile în domeniul criminalisticii digitale, consolidarea implicării în standardizare și comunicarea mai activă în legătură cu provocările cu care se confruntă autoritățile de aplicare a legii.</w:t>
      </w:r>
    </w:p>
    <w:p w14:paraId="1B69344F" w14:textId="77777777" w:rsidR="0088263D" w:rsidRPr="00947C5E" w:rsidRDefault="0088263D" w:rsidP="00A0583C">
      <w:pPr>
        <w:spacing w:line="336" w:lineRule="auto"/>
        <w:rPr>
          <w:rFonts w:asciiTheme="majorBidi" w:hAnsiTheme="majorBidi" w:cstheme="majorBidi"/>
          <w:color w:val="000000"/>
          <w:szCs w:val="24"/>
        </w:rPr>
      </w:pPr>
      <w:r w:rsidRPr="00947C5E">
        <w:rPr>
          <w:rFonts w:asciiTheme="majorBidi" w:hAnsiTheme="majorBidi"/>
          <w:color w:val="000000"/>
        </w:rPr>
        <w:t xml:space="preserve">În iunie 2026, Agenția pentru Drepturi Fundamentale a UE (FRA) a prezentat Grupului de sprijin al COSI un sondaj privind percepțiile publicului cu privire la accesul la date, care ilustrează o mare diferență în ceea ce privește opinia publică în rândul diverselor statele membre, inclusiv în ceea ce privește încrederea în autoritățile naționale. Europolul și </w:t>
      </w:r>
      <w:proofErr w:type="spellStart"/>
      <w:r w:rsidRPr="00947C5E">
        <w:rPr>
          <w:rFonts w:asciiTheme="majorBidi" w:hAnsiTheme="majorBidi"/>
          <w:color w:val="000000"/>
        </w:rPr>
        <w:t>Eurojustul</w:t>
      </w:r>
      <w:proofErr w:type="spellEnd"/>
      <w:r w:rsidRPr="00947C5E">
        <w:rPr>
          <w:rFonts w:asciiTheme="majorBidi" w:hAnsiTheme="majorBidi"/>
          <w:color w:val="000000"/>
        </w:rPr>
        <w:t xml:space="preserve"> au informat despre exemple ilustrative de cazuri pe care acestea le-au colectat și care includ anchete eșuate sau întârziate, precum și reușite. Grupul de sprijin al COSI a subliniat că este important să se continue colectarea de exemple de cazuri. Suedia a anunțat că va organiza împreună cu Regatul Unit cel de al doilea Simpozion internațional privind accesul legal (ISLA) la Stockholm, în perioada 17-18 noiembrie 2026.</w:t>
      </w:r>
    </w:p>
    <w:p w14:paraId="2E087538" w14:textId="77777777" w:rsidR="0088263D" w:rsidRPr="00947C5E" w:rsidRDefault="0088263D" w:rsidP="00A0583C">
      <w:pPr>
        <w:numPr>
          <w:ilvl w:val="1"/>
          <w:numId w:val="25"/>
        </w:numPr>
        <w:spacing w:line="336" w:lineRule="auto"/>
        <w:ind w:left="567"/>
        <w:jc w:val="both"/>
        <w:outlineLvl w:val="2"/>
        <w:rPr>
          <w:rFonts w:asciiTheme="majorBidi" w:eastAsia="Times New Roman" w:hAnsiTheme="majorBidi" w:cstheme="majorBidi"/>
          <w:b/>
          <w:bCs/>
          <w:szCs w:val="24"/>
        </w:rPr>
      </w:pPr>
      <w:bookmarkStart w:id="20" w:name="_Toc239091155"/>
      <w:r w:rsidRPr="00947C5E">
        <w:rPr>
          <w:rFonts w:asciiTheme="majorBidi" w:hAnsiTheme="majorBidi"/>
          <w:b/>
        </w:rPr>
        <w:t xml:space="preserve">Cooperarea operațională pentru contracararea amenințărilor reprezentate de </w:t>
      </w:r>
      <w:proofErr w:type="spellStart"/>
      <w:r w:rsidRPr="00947C5E">
        <w:rPr>
          <w:rFonts w:asciiTheme="majorBidi" w:hAnsiTheme="majorBidi"/>
          <w:b/>
        </w:rPr>
        <w:t>drone</w:t>
      </w:r>
      <w:bookmarkEnd w:id="20"/>
      <w:proofErr w:type="spellEnd"/>
    </w:p>
    <w:p w14:paraId="1585B9DE" w14:textId="77777777" w:rsidR="0088263D" w:rsidRPr="00947C5E" w:rsidRDefault="0088263D" w:rsidP="00A0583C">
      <w:pPr>
        <w:spacing w:line="336" w:lineRule="auto"/>
        <w:rPr>
          <w:rFonts w:asciiTheme="majorBidi" w:eastAsia="Times New Roman" w:hAnsiTheme="majorBidi" w:cstheme="majorBidi"/>
          <w:szCs w:val="24"/>
        </w:rPr>
      </w:pPr>
      <w:r w:rsidRPr="00947C5E">
        <w:rPr>
          <w:rFonts w:asciiTheme="majorBidi" w:hAnsiTheme="majorBidi"/>
        </w:rPr>
        <w:t xml:space="preserve">În mai 2026, COSI a salutat Planul de acțiune al Comisiei privind securitatea în materie de </w:t>
      </w:r>
      <w:proofErr w:type="spellStart"/>
      <w:r w:rsidRPr="00947C5E">
        <w:rPr>
          <w:rFonts w:asciiTheme="majorBidi" w:hAnsiTheme="majorBidi"/>
        </w:rPr>
        <w:t>drone</w:t>
      </w:r>
      <w:proofErr w:type="spellEnd"/>
      <w:r w:rsidRPr="00947C5E">
        <w:rPr>
          <w:rFonts w:asciiTheme="majorBidi" w:hAnsiTheme="majorBidi"/>
        </w:rPr>
        <w:t xml:space="preserve"> și soluții </w:t>
      </w:r>
      <w:proofErr w:type="spellStart"/>
      <w:r w:rsidRPr="00947C5E">
        <w:rPr>
          <w:rFonts w:asciiTheme="majorBidi" w:hAnsiTheme="majorBidi"/>
        </w:rPr>
        <w:t>antidrone</w:t>
      </w:r>
      <w:proofErr w:type="spellEnd"/>
      <w:r w:rsidRPr="00947C5E">
        <w:rPr>
          <w:rFonts w:asciiTheme="majorBidi" w:hAnsiTheme="majorBidi"/>
        </w:rPr>
        <w:t xml:space="preserve"> și a remarcat creșterea frecvenței și a gradului de sofisticare a activităților ostile cu utilizarea </w:t>
      </w:r>
      <w:proofErr w:type="spellStart"/>
      <w:r w:rsidRPr="00947C5E">
        <w:rPr>
          <w:rFonts w:asciiTheme="majorBidi" w:hAnsiTheme="majorBidi"/>
        </w:rPr>
        <w:t>dronelor</w:t>
      </w:r>
      <w:proofErr w:type="spellEnd"/>
      <w:r w:rsidRPr="00947C5E">
        <w:rPr>
          <w:rFonts w:asciiTheme="majorBidi" w:hAnsiTheme="majorBidi"/>
        </w:rPr>
        <w:t>. Consolidarea schimbului de informații la nivelul UE, alături de achizițiile publice, formare, cercetare și exercițiile comune, au fost identificate ca priorități-cheie. Contribuțiile COSI au fost incluse în raportul elaborat de Grupul de lucru ad-hoc pentru pregătirea, capacitatea de răspuns și reziliența la crize viitoare (AHWP Reziliență), care a fost prezentat Comitetului Reprezentanților Permanenți în iunie 2026.</w:t>
      </w:r>
    </w:p>
    <w:p w14:paraId="463828EE" w14:textId="77777777" w:rsidR="000062EA" w:rsidRPr="00947C5E" w:rsidRDefault="000062EA">
      <w:pPr>
        <w:spacing w:before="0" w:after="200" w:line="276" w:lineRule="auto"/>
        <w:rPr>
          <w:rFonts w:asciiTheme="majorBidi" w:eastAsia="Times New Roman" w:hAnsiTheme="majorBidi" w:cstheme="majorBidi"/>
          <w:szCs w:val="24"/>
        </w:rPr>
      </w:pPr>
      <w:bookmarkStart w:id="21" w:name="_Toc239091156"/>
      <w:r w:rsidRPr="00947C5E">
        <w:br w:type="page"/>
      </w:r>
    </w:p>
    <w:p w14:paraId="7386FD89" w14:textId="77777777" w:rsidR="0088263D" w:rsidRPr="00947C5E" w:rsidRDefault="0088263D" w:rsidP="00D04E4E">
      <w:pPr>
        <w:numPr>
          <w:ilvl w:val="1"/>
          <w:numId w:val="25"/>
        </w:numPr>
        <w:spacing w:before="0" w:after="0"/>
        <w:ind w:left="567"/>
        <w:contextualSpacing/>
        <w:jc w:val="both"/>
        <w:outlineLvl w:val="2"/>
        <w:rPr>
          <w:rFonts w:asciiTheme="majorBidi" w:eastAsia="Times New Roman" w:hAnsiTheme="majorBidi" w:cstheme="majorBidi"/>
          <w:b/>
          <w:bCs/>
          <w:szCs w:val="24"/>
        </w:rPr>
      </w:pPr>
      <w:r w:rsidRPr="00947C5E">
        <w:rPr>
          <w:rFonts w:asciiTheme="majorBidi" w:hAnsiTheme="majorBidi"/>
          <w:b/>
        </w:rPr>
        <w:lastRenderedPageBreak/>
        <w:t>Centrul UE de inovare pentru securitatea internă</w:t>
      </w:r>
      <w:bookmarkEnd w:id="21"/>
    </w:p>
    <w:p w14:paraId="1CB97120"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 xml:space="preserve">Sub orientarea strategică a COSI, Centrul UE de inovare pentru securitatea internă (Centrul de inovare) a fost înființat ca rețea de colaborare a agențiilor și organismelor JAI, cu scopul de a sprijini activitatea actorilor din domeniul securității interne din UE și din statele sale membre prin furnizarea de informații actualizate în materie de inovare și de soluții eficace. Centrul de inovare și-a organizat evenimentul anual la Bruxelles în noiembrie 2025, ocazie cu care experții au discutat despre analiza prospectivă strategică, biometrie, IA, criptare și </w:t>
      </w:r>
      <w:proofErr w:type="spellStart"/>
      <w:r w:rsidRPr="00947C5E">
        <w:rPr>
          <w:rFonts w:asciiTheme="majorBidi" w:hAnsiTheme="majorBidi"/>
        </w:rPr>
        <w:t>drone</w:t>
      </w:r>
      <w:proofErr w:type="spellEnd"/>
      <w:r w:rsidRPr="00947C5E">
        <w:rPr>
          <w:rFonts w:asciiTheme="majorBidi" w:hAnsiTheme="majorBidi"/>
        </w:rPr>
        <w:t>.</w:t>
      </w:r>
    </w:p>
    <w:p w14:paraId="113591F3"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COSI a luat act de informațiile furnizate de grupul de coordonare al Centrului UE de inovare pentru securitatea internă (evaluarea la jumătatea perioadei a priorităților, planurile de lucru pentru 2025 și 2026, rapoartele anuale de activitate pentru 2024 și 2025). COSI a aprobat componența reînnoită a grupului de coordonare al Centrului de inovare pentru perioada iulie 2026-decembrie 2027.</w:t>
      </w:r>
    </w:p>
    <w:p w14:paraId="4F2CC907" w14:textId="77777777" w:rsidR="0088263D" w:rsidRPr="00947C5E" w:rsidRDefault="0088263D" w:rsidP="00D04E4E">
      <w:pPr>
        <w:numPr>
          <w:ilvl w:val="0"/>
          <w:numId w:val="22"/>
        </w:numPr>
        <w:jc w:val="both"/>
        <w:outlineLvl w:val="2"/>
        <w:rPr>
          <w:rFonts w:asciiTheme="majorBidi" w:eastAsia="Times New Roman" w:hAnsiTheme="majorBidi" w:cstheme="majorBidi"/>
          <w:b/>
          <w:bCs/>
          <w:szCs w:val="24"/>
          <w:u w:val="single"/>
        </w:rPr>
      </w:pPr>
      <w:r w:rsidRPr="00947C5E">
        <w:br w:type="page"/>
      </w:r>
      <w:bookmarkStart w:id="22" w:name="_Toc239091157"/>
      <w:r w:rsidRPr="00947C5E">
        <w:rPr>
          <w:rFonts w:asciiTheme="majorBidi" w:hAnsiTheme="majorBidi"/>
          <w:b/>
          <w:u w:val="single"/>
        </w:rPr>
        <w:lastRenderedPageBreak/>
        <w:t>COOPERAREA INTERNAȚIONALĂ</w:t>
      </w:r>
      <w:bookmarkEnd w:id="22"/>
    </w:p>
    <w:p w14:paraId="042902C3" w14:textId="77777777" w:rsidR="0088263D" w:rsidRPr="00947C5E" w:rsidRDefault="0088263D" w:rsidP="00D04E4E">
      <w:pPr>
        <w:numPr>
          <w:ilvl w:val="1"/>
          <w:numId w:val="26"/>
        </w:numPr>
        <w:ind w:left="567"/>
        <w:jc w:val="both"/>
        <w:outlineLvl w:val="2"/>
        <w:rPr>
          <w:rFonts w:asciiTheme="majorBidi" w:eastAsia="Times New Roman" w:hAnsiTheme="majorBidi" w:cstheme="majorBidi"/>
          <w:b/>
          <w:bCs/>
          <w:szCs w:val="24"/>
        </w:rPr>
      </w:pPr>
      <w:bookmarkStart w:id="23" w:name="_Toc239091158"/>
      <w:r w:rsidRPr="00947C5E">
        <w:rPr>
          <w:rFonts w:asciiTheme="majorBidi" w:hAnsiTheme="majorBidi"/>
          <w:b/>
        </w:rPr>
        <w:t>Cooperarea cu țările din America Latină</w:t>
      </w:r>
      <w:bookmarkEnd w:id="23"/>
    </w:p>
    <w:p w14:paraId="345BB7ED" w14:textId="77777777" w:rsidR="0088263D" w:rsidRPr="00947C5E" w:rsidRDefault="0088263D" w:rsidP="00D04E4E">
      <w:pPr>
        <w:outlineLvl w:val="3"/>
        <w:rPr>
          <w:rFonts w:asciiTheme="majorBidi" w:eastAsia="Times New Roman" w:hAnsiTheme="majorBidi" w:cstheme="majorBidi"/>
          <w:szCs w:val="24"/>
        </w:rPr>
      </w:pPr>
      <w:r w:rsidRPr="00947C5E">
        <w:rPr>
          <w:rFonts w:asciiTheme="majorBidi" w:hAnsiTheme="majorBidi"/>
        </w:rPr>
        <w:t>Pe durata trioului de președinții, COSI a lucrat la consolidarea în continuare a parteneriatului în materie de securitate internă cu țările din America Latină. COSI a contribuit la pregătirea celei de a treia reuniuni ministeriale UE-CLASI, care a avut loc în marja Consiliului JAI de la Bruxelles din martie 2025, precum și la Declarația comună UE-CLASI, care a inclus pentru prima dată o anexă care prevede o foaie de parcurs pentru punerea în aplicare a priorităților pentru cooperarea operațională.</w:t>
      </w:r>
    </w:p>
    <w:p w14:paraId="3DABC4B5" w14:textId="77777777" w:rsidR="0088263D" w:rsidRPr="00947C5E" w:rsidRDefault="0088263D" w:rsidP="00D04E4E">
      <w:pPr>
        <w:outlineLvl w:val="3"/>
        <w:rPr>
          <w:rFonts w:asciiTheme="majorBidi" w:eastAsia="Times New Roman" w:hAnsiTheme="majorBidi" w:cstheme="majorBidi"/>
          <w:szCs w:val="24"/>
        </w:rPr>
      </w:pPr>
      <w:r w:rsidRPr="00947C5E">
        <w:rPr>
          <w:rFonts w:asciiTheme="majorBidi" w:hAnsiTheme="majorBidi"/>
        </w:rPr>
        <w:t xml:space="preserve">În noiembrie 2025, delegații COSI s-au întâlnit pentru a doua oară cu omologii lor din America Latină sub forma unei reuniuni a înalților funcționari UE-CLASI pentru a discuta chestiuni de interes comun legate de criminalitatea gravă și organizată. Aceștia au discutat despre modalitățile de consolidare a cooperării operaționale </w:t>
      </w:r>
      <w:proofErr w:type="spellStart"/>
      <w:r w:rsidRPr="00947C5E">
        <w:rPr>
          <w:rFonts w:asciiTheme="majorBidi" w:hAnsiTheme="majorBidi"/>
        </w:rPr>
        <w:t>biregionale</w:t>
      </w:r>
      <w:proofErr w:type="spellEnd"/>
      <w:r w:rsidRPr="00947C5E">
        <w:rPr>
          <w:rFonts w:asciiTheme="majorBidi" w:hAnsiTheme="majorBidi"/>
        </w:rPr>
        <w:t xml:space="preserve"> pe baza EMPACT și a noilor PAO ale CLASI. Au fost menționate mai multe exemple de cooperare operațională reușită. Ambele părți au subliniat o aliniere puternică a priorităților în combaterea criminalității transnaționale, în special în domenii infracționale precum traficul de persoane, traficul de arme de foc și de droguri.</w:t>
      </w:r>
    </w:p>
    <w:p w14:paraId="01A623C8" w14:textId="77777777" w:rsidR="0088263D" w:rsidRPr="00947C5E" w:rsidRDefault="0088263D" w:rsidP="00D04E4E">
      <w:pPr>
        <w:outlineLvl w:val="3"/>
        <w:rPr>
          <w:rFonts w:asciiTheme="majorBidi" w:eastAsia="Times New Roman" w:hAnsiTheme="majorBidi" w:cstheme="majorBidi"/>
          <w:szCs w:val="24"/>
        </w:rPr>
      </w:pPr>
      <w:r w:rsidRPr="00947C5E">
        <w:rPr>
          <w:rFonts w:asciiTheme="majorBidi" w:hAnsiTheme="majorBidi"/>
        </w:rPr>
        <w:t xml:space="preserve">COSI și CLASI au discutat despre provocările legate de schimbul de informații în scopul asigurării respectării legii între cele două regiuni. Delegațiile au subliniat importanța sistemelor de cooperare bilaterală existente și a cooperării în curs cu Europolul și Interpolul, recomandând, în același timp, încheierea rapidă de noi acorduri internaționale care să permită cooperarea între țările CLASI și Europol. Viitoarea ratificare a Tratatului </w:t>
      </w:r>
      <w:proofErr w:type="spellStart"/>
      <w:r w:rsidRPr="00947C5E">
        <w:rPr>
          <w:rFonts w:asciiTheme="majorBidi" w:hAnsiTheme="majorBidi"/>
        </w:rPr>
        <w:t>Ameripol</w:t>
      </w:r>
      <w:proofErr w:type="spellEnd"/>
      <w:r w:rsidRPr="00947C5E">
        <w:rPr>
          <w:rFonts w:asciiTheme="majorBidi" w:hAnsiTheme="majorBidi"/>
        </w:rPr>
        <w:t xml:space="preserve"> a fost considerată o altă oportunitate de a facilita schimbul de informații.</w:t>
      </w:r>
    </w:p>
    <w:p w14:paraId="5DB762D5" w14:textId="77777777" w:rsidR="0088263D" w:rsidRPr="00947C5E" w:rsidRDefault="0088263D" w:rsidP="00D04E4E">
      <w:pPr>
        <w:outlineLvl w:val="3"/>
        <w:rPr>
          <w:rFonts w:asciiTheme="majorBidi" w:eastAsia="Times New Roman" w:hAnsiTheme="majorBidi" w:cstheme="majorBidi"/>
          <w:szCs w:val="24"/>
        </w:rPr>
      </w:pPr>
      <w:r w:rsidRPr="00947C5E">
        <w:rPr>
          <w:rFonts w:asciiTheme="majorBidi" w:hAnsiTheme="majorBidi"/>
        </w:rPr>
        <w:t>COSI și CLASI au desfășurat, de asemenea, un schimb de opinii cu privire la reziliența centrelor logistice împotriva infiltrării infracționale, confirmând importanța schimbului de informații, a parteneriatelor public-privat (cum ar fi Alianța portuară europeană) și a abordării vulnerabilităților, cum ar fi corupția și traficul de precursori chimici. Mai multe delegații au pledat pentru evaluări ale riscurilor și programe de formare comune. Încrederea reciprocă și cooperarea continuă pentru a aborda provocări precum corupția și infiltrarea infracțională în economia legală au fost considerate elemente necesare pentru consolidarea guvernanței democratice și a securității în ambele regiuni.</w:t>
      </w:r>
    </w:p>
    <w:p w14:paraId="5F57618A" w14:textId="77777777" w:rsidR="000062EA" w:rsidRPr="00947C5E" w:rsidRDefault="000062EA">
      <w:pPr>
        <w:spacing w:before="0" w:after="200" w:line="276" w:lineRule="auto"/>
        <w:rPr>
          <w:rFonts w:asciiTheme="majorBidi" w:eastAsia="Times New Roman" w:hAnsiTheme="majorBidi" w:cstheme="majorBidi"/>
          <w:szCs w:val="24"/>
        </w:rPr>
      </w:pPr>
      <w:r w:rsidRPr="00947C5E">
        <w:br w:type="page"/>
      </w:r>
    </w:p>
    <w:p w14:paraId="3645E079" w14:textId="77777777" w:rsidR="0088263D" w:rsidRPr="00947C5E" w:rsidRDefault="0088263D" w:rsidP="00D04E4E">
      <w:pPr>
        <w:outlineLvl w:val="3"/>
        <w:rPr>
          <w:rFonts w:asciiTheme="majorBidi" w:eastAsia="Times New Roman" w:hAnsiTheme="majorBidi" w:cstheme="majorBidi"/>
          <w:szCs w:val="24"/>
        </w:rPr>
      </w:pPr>
      <w:r w:rsidRPr="00947C5E">
        <w:rPr>
          <w:rFonts w:asciiTheme="majorBidi" w:hAnsiTheme="majorBidi"/>
        </w:rPr>
        <w:lastRenderedPageBreak/>
        <w:t>COSI a fost informat cu privire la reuniunile interinstituționale UE-CLASI de la Santiago de Chile din februarie 2026 și în format hibrid din iulie 2026. Grupul de sprijin al COSI a început lucrul la un nou proiect de declarație ministerială comună UE-CLASI în pregătirea următoarei reuniuni ministeriale UE-CLASI preconizate să aibă loc la Bruxelles în decembrie 2026.</w:t>
      </w:r>
    </w:p>
    <w:p w14:paraId="31C146AB" w14:textId="77777777" w:rsidR="0088263D" w:rsidRPr="00947C5E" w:rsidRDefault="0088263D" w:rsidP="00D04E4E">
      <w:pPr>
        <w:numPr>
          <w:ilvl w:val="1"/>
          <w:numId w:val="26"/>
        </w:numPr>
        <w:ind w:left="567"/>
        <w:jc w:val="both"/>
        <w:outlineLvl w:val="2"/>
        <w:rPr>
          <w:rFonts w:asciiTheme="majorBidi" w:eastAsia="Times New Roman" w:hAnsiTheme="majorBidi" w:cstheme="majorBidi"/>
          <w:b/>
          <w:bCs/>
          <w:szCs w:val="24"/>
        </w:rPr>
      </w:pPr>
      <w:bookmarkStart w:id="24" w:name="_Toc239091159"/>
      <w:r w:rsidRPr="00947C5E">
        <w:rPr>
          <w:rFonts w:asciiTheme="majorBidi" w:hAnsiTheme="majorBidi"/>
          <w:b/>
        </w:rPr>
        <w:t>Dialogul regional privind securitatea internă cu regiunea Mării Mediterane</w:t>
      </w:r>
      <w:bookmarkEnd w:id="24"/>
    </w:p>
    <w:p w14:paraId="5EC0D740"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În cursul trioului de președinții, COSI a avut în vedere consolidarea parteneriatului de securitate al UE cu țările mediteraneene în contextul noului pact pentru Mediterana. Delegațiile au fost de acord că regiunea are o importanță strategică și au subliniat necesitatea consolidării cooperării operaționale și a schimbului de informații în domenii precum migrația, traficul de droguri sau combaterea terorismului. În februarie 2026, majoritatea delegațiilor și-au confirmat disponibilitatea de a se angaja într-un dialog privind securitatea internă cu țările mediteraneene. Ele și-au exprimat preferința pentru o abordare progresivă, începând cu un număr limitat de priorități tematice, pe baza EMPACT, și cu un număr limitat de țări partenere. COSI a convenit că noul dialog ar trebui să vină în prelungirea inițiativelor existente, în special a dialogului de cooperare la nivel înalt UE-MENA. În ceea ce privește modalitățile de desfășurare a dialogului, delegațiile și-au exprimat preferința pentru reuniuni anuale la nivel de înalți funcționari, în mod ideal în paralel cu o reuniune COSI. Președintele COSI a invitat Comisia să pregătească un inventar al inițiativelor relevante existente în materie de securitate în regiunea MENA, care a fost prezentat ulterior de Comisie Grupului de sprijin al COSI.</w:t>
      </w:r>
    </w:p>
    <w:p w14:paraId="270E96E1" w14:textId="77777777" w:rsidR="0088263D" w:rsidRPr="00947C5E" w:rsidRDefault="0088263D" w:rsidP="00D04E4E">
      <w:pPr>
        <w:rPr>
          <w:rFonts w:asciiTheme="majorBidi" w:eastAsia="Times New Roman" w:hAnsiTheme="majorBidi" w:cstheme="majorBidi"/>
          <w:szCs w:val="24"/>
        </w:rPr>
      </w:pPr>
      <w:r w:rsidRPr="00947C5E">
        <w:rPr>
          <w:rFonts w:asciiTheme="majorBidi" w:hAnsiTheme="majorBidi"/>
        </w:rPr>
        <w:t>În mai 2026, președinția cipriotă a informat delegațiile cu privire la lucrările în curs pentru lansarea unui dialog privind securitatea internă cu partenerii de la sud de Marea Mediterană, inclusiv cu privire la primele dialoguri cu mai multe țări din regiune, împreună cu Comisia și SEAE. Viitoarea președinție irlandeză a anunțat că prima reuniune a înalților funcționari va fi planificată să aibă loc în paralel cu reuniunea COSI din noiembrie 2026.</w:t>
      </w:r>
    </w:p>
    <w:p w14:paraId="75BF0D67" w14:textId="77777777" w:rsidR="0088263D" w:rsidRPr="00947C5E" w:rsidRDefault="0088263D" w:rsidP="00D04E4E">
      <w:pPr>
        <w:numPr>
          <w:ilvl w:val="1"/>
          <w:numId w:val="26"/>
        </w:numPr>
        <w:ind w:left="567"/>
        <w:outlineLvl w:val="2"/>
        <w:rPr>
          <w:rFonts w:asciiTheme="majorBidi" w:eastAsia="Times New Roman" w:hAnsiTheme="majorBidi" w:cstheme="majorBidi"/>
          <w:b/>
          <w:bCs/>
          <w:szCs w:val="24"/>
        </w:rPr>
      </w:pPr>
      <w:bookmarkStart w:id="25" w:name="_Toc239091160"/>
      <w:r w:rsidRPr="00947C5E">
        <w:rPr>
          <w:rFonts w:asciiTheme="majorBidi" w:hAnsiTheme="majorBidi"/>
          <w:b/>
        </w:rPr>
        <w:t>Cooperarea cu Balcanii de Vest, cu Statele Unite și cu Interpolul</w:t>
      </w:r>
      <w:bookmarkEnd w:id="25"/>
    </w:p>
    <w:p w14:paraId="3D721630" w14:textId="77777777" w:rsidR="0088263D" w:rsidRPr="00947C5E" w:rsidRDefault="0088263D" w:rsidP="00D04E4E">
      <w:pPr>
        <w:rPr>
          <w:rFonts w:asciiTheme="majorBidi" w:hAnsiTheme="majorBidi" w:cstheme="majorBidi"/>
          <w:color w:val="000000"/>
          <w:szCs w:val="24"/>
        </w:rPr>
      </w:pPr>
      <w:r w:rsidRPr="00947C5E">
        <w:rPr>
          <w:rFonts w:asciiTheme="majorBidi" w:hAnsiTheme="majorBidi"/>
          <w:color w:val="000000"/>
        </w:rPr>
        <w:t>COSI a fost informat de către președinție despre pregătirea și rezultatul reuniunilor ministeriale privind justiția și afacerile interne cu partenerii din Balcanii de Vest și cu Statele Unite ale Americii, precum și despre reuniunile periodice la nivel de înalți funcționari privind justiția și afacerile interne cu partenerii din Balcanii de Vest, cu Statele Unite ale Americii și cu Interpolul. Comisia a ținut COSI la curent în legătură cu stadiul negocierilor privind un acord de cooperare între UE și Interpol.</w:t>
      </w:r>
    </w:p>
    <w:p w14:paraId="5CCA0D52" w14:textId="77777777" w:rsidR="0088263D" w:rsidRPr="00947C5E" w:rsidRDefault="0088263D" w:rsidP="00D04E4E">
      <w:pPr>
        <w:numPr>
          <w:ilvl w:val="0"/>
          <w:numId w:val="22"/>
        </w:numPr>
        <w:spacing w:before="240"/>
        <w:jc w:val="both"/>
        <w:outlineLvl w:val="2"/>
        <w:rPr>
          <w:rFonts w:asciiTheme="majorBidi" w:eastAsia="Times New Roman" w:hAnsiTheme="majorBidi" w:cstheme="majorBidi"/>
          <w:b/>
          <w:bCs/>
          <w:szCs w:val="24"/>
          <w:u w:val="single"/>
        </w:rPr>
      </w:pPr>
      <w:bookmarkStart w:id="26" w:name="_Toc239091161"/>
      <w:r w:rsidRPr="00947C5E">
        <w:rPr>
          <w:rFonts w:asciiTheme="majorBidi" w:hAnsiTheme="majorBidi"/>
          <w:b/>
          <w:u w:val="single"/>
        </w:rPr>
        <w:lastRenderedPageBreak/>
        <w:t>LEGĂTURA DINTRE SECURITATEA EXTERNĂ ȘI CEA INTERNĂ</w:t>
      </w:r>
      <w:bookmarkEnd w:id="26"/>
    </w:p>
    <w:p w14:paraId="4E6DF37B" w14:textId="77777777" w:rsidR="0088263D" w:rsidRPr="00947C5E" w:rsidRDefault="0088263D" w:rsidP="00D04E4E">
      <w:pPr>
        <w:numPr>
          <w:ilvl w:val="1"/>
          <w:numId w:val="27"/>
        </w:numPr>
        <w:jc w:val="both"/>
        <w:outlineLvl w:val="2"/>
        <w:rPr>
          <w:rFonts w:asciiTheme="majorBidi" w:eastAsia="Times New Roman" w:hAnsiTheme="majorBidi" w:cstheme="majorBidi"/>
          <w:b/>
          <w:bCs/>
          <w:szCs w:val="24"/>
        </w:rPr>
      </w:pPr>
      <w:bookmarkStart w:id="27" w:name="_Toc239091162"/>
      <w:r w:rsidRPr="00947C5E">
        <w:rPr>
          <w:rFonts w:asciiTheme="majorBidi" w:hAnsiTheme="majorBidi"/>
          <w:b/>
        </w:rPr>
        <w:t>Implicațiile în materie de securitate internă ale războiului de agresiune al Rusiei împotriva Ucrainei</w:t>
      </w:r>
      <w:bookmarkEnd w:id="27"/>
    </w:p>
    <w:p w14:paraId="6B2296B7" w14:textId="77777777" w:rsidR="0088263D" w:rsidRPr="00947C5E" w:rsidRDefault="0088263D" w:rsidP="00371273">
      <w:pPr>
        <w:rPr>
          <w:rFonts w:asciiTheme="majorBidi" w:hAnsiTheme="majorBidi" w:cstheme="majorBidi"/>
          <w:color w:val="000000"/>
          <w:szCs w:val="24"/>
        </w:rPr>
      </w:pPr>
      <w:r w:rsidRPr="00947C5E">
        <w:rPr>
          <w:rFonts w:asciiTheme="majorBidi" w:hAnsiTheme="majorBidi"/>
          <w:color w:val="000000"/>
        </w:rPr>
        <w:t>În contextul continuării războiului de agresiune al Rusiei împotriva Ucrainei, COSI a desfășurat un schimb de opinii cu privire la măsurile preventive legate de amenințarea contrabandei cu arme și muniție din Ucraina. Deși UE nu s-a confruntat până în prezent cu un aflux masiv de arme de foc din Ucraina, delegațiile au fost de acord că situația necesită o monitorizare continuă, deoarece s-ar putea schimba în viitor. Ar trebui deci avute în vedere măsuri preventive suplimentare. Delegațiile și-au confirmat disponibilitatea de a continua cooperarea strânsă cu Ucraina în ceea ce privește punerea în aplicare a listei de acțiuni a UE pentru combaterea deturnării armelor de foc.</w:t>
      </w:r>
    </w:p>
    <w:p w14:paraId="28FCCCF0" w14:textId="77777777" w:rsidR="0088263D" w:rsidRPr="00947C5E" w:rsidRDefault="0088263D" w:rsidP="00371273">
      <w:pPr>
        <w:rPr>
          <w:rFonts w:asciiTheme="majorBidi" w:hAnsiTheme="majorBidi" w:cstheme="majorBidi"/>
          <w:color w:val="000000"/>
          <w:szCs w:val="24"/>
        </w:rPr>
      </w:pPr>
      <w:r w:rsidRPr="00947C5E">
        <w:rPr>
          <w:rFonts w:asciiTheme="majorBidi" w:hAnsiTheme="majorBidi"/>
          <w:color w:val="000000"/>
        </w:rPr>
        <w:t>În noiembrie 2025, Estonia a propus un răspuns coordonat la amenințarea la adresa securității interne reprezentată de foștii combatanți ruși.</w:t>
      </w:r>
    </w:p>
    <w:p w14:paraId="054EE0BE" w14:textId="77777777" w:rsidR="0088263D" w:rsidRPr="00947C5E" w:rsidRDefault="0088263D" w:rsidP="00D04E4E">
      <w:pPr>
        <w:numPr>
          <w:ilvl w:val="1"/>
          <w:numId w:val="27"/>
        </w:numPr>
        <w:jc w:val="both"/>
        <w:outlineLvl w:val="2"/>
        <w:rPr>
          <w:rFonts w:asciiTheme="majorBidi" w:eastAsia="Times New Roman" w:hAnsiTheme="majorBidi" w:cstheme="majorBidi"/>
          <w:b/>
          <w:bCs/>
          <w:szCs w:val="24"/>
        </w:rPr>
      </w:pPr>
      <w:bookmarkStart w:id="28" w:name="_Toc239091163"/>
      <w:r w:rsidRPr="00947C5E">
        <w:rPr>
          <w:rFonts w:asciiTheme="majorBidi" w:hAnsiTheme="majorBidi"/>
          <w:b/>
        </w:rPr>
        <w:t>Implicațiile situației din Siria asupra securității interne</w:t>
      </w:r>
      <w:bookmarkEnd w:id="28"/>
    </w:p>
    <w:p w14:paraId="3E108C6D" w14:textId="77777777" w:rsidR="0088263D" w:rsidRPr="00947C5E" w:rsidRDefault="0088263D" w:rsidP="00D04E4E">
      <w:pPr>
        <w:spacing w:before="240"/>
        <w:rPr>
          <w:rFonts w:asciiTheme="majorBidi" w:eastAsia="Times New Roman" w:hAnsiTheme="majorBidi" w:cstheme="majorBidi"/>
          <w:szCs w:val="24"/>
        </w:rPr>
      </w:pPr>
      <w:r w:rsidRPr="00947C5E">
        <w:rPr>
          <w:rFonts w:asciiTheme="majorBidi" w:hAnsiTheme="majorBidi"/>
        </w:rPr>
        <w:t>Pe baza unui plan de acțiune prezentat de coordonatorul UE pentru lupta împotriva terorismului, COSI a evaluat situația din Siria și implicațiile acesteia pentru securitatea internă a UE, în pregătirea reuniunii Consiliului JAI din martie 2025. Delegațiile au convenit asupra necesității păstrării vigilenței și pregătirii, sub forma intensificării schimbului de informații, a îmbunătățirii controalelor la frontiere și a utilizării optime a Sistemului de informații Schengen.</w:t>
      </w:r>
    </w:p>
    <w:p w14:paraId="1BE7FC4E" w14:textId="77777777" w:rsidR="0088263D" w:rsidRPr="00947C5E" w:rsidRDefault="0088263D" w:rsidP="00D04E4E">
      <w:pPr>
        <w:spacing w:after="160" w:line="256" w:lineRule="auto"/>
        <w:rPr>
          <w:rFonts w:asciiTheme="majorBidi" w:eastAsia="Times New Roman" w:hAnsiTheme="majorBidi" w:cstheme="majorBidi"/>
          <w:b/>
          <w:bCs/>
          <w:color w:val="000000" w:themeColor="text1"/>
          <w:szCs w:val="24"/>
        </w:rPr>
      </w:pPr>
      <w:r w:rsidRPr="00947C5E">
        <w:br w:type="page"/>
      </w:r>
    </w:p>
    <w:p w14:paraId="2DC6F37C" w14:textId="77777777" w:rsidR="0088263D" w:rsidRPr="00947C5E" w:rsidRDefault="0088263D" w:rsidP="00D04E4E">
      <w:pPr>
        <w:jc w:val="both"/>
        <w:outlineLvl w:val="2"/>
        <w:rPr>
          <w:rFonts w:asciiTheme="majorBidi" w:eastAsia="Times New Roman" w:hAnsiTheme="majorBidi" w:cstheme="majorBidi"/>
          <w:b/>
          <w:bCs/>
          <w:color w:val="000000" w:themeColor="text1"/>
          <w:szCs w:val="24"/>
          <w:u w:val="single"/>
        </w:rPr>
      </w:pPr>
      <w:bookmarkStart w:id="29" w:name="_Toc239091164"/>
      <w:r w:rsidRPr="00947C5E">
        <w:rPr>
          <w:rFonts w:asciiTheme="majorBidi" w:hAnsiTheme="majorBidi"/>
          <w:b/>
          <w:color w:val="000000" w:themeColor="text1"/>
        </w:rPr>
        <w:lastRenderedPageBreak/>
        <w:t>(8)</w:t>
      </w:r>
      <w:r w:rsidRPr="00947C5E">
        <w:rPr>
          <w:rFonts w:asciiTheme="majorBidi" w:hAnsiTheme="majorBidi"/>
          <w:b/>
          <w:color w:val="000000" w:themeColor="text1"/>
        </w:rPr>
        <w:tab/>
      </w:r>
      <w:r w:rsidRPr="00947C5E">
        <w:rPr>
          <w:rFonts w:asciiTheme="majorBidi" w:hAnsiTheme="majorBidi"/>
          <w:b/>
          <w:color w:val="000000" w:themeColor="text1"/>
          <w:u w:val="single"/>
        </w:rPr>
        <w:t>AGENȚIILE JAI</w:t>
      </w:r>
      <w:bookmarkEnd w:id="29"/>
    </w:p>
    <w:p w14:paraId="4477A9E6" w14:textId="77777777" w:rsidR="0088263D" w:rsidRPr="00947C5E" w:rsidRDefault="0088263D" w:rsidP="00D04E4E">
      <w:pPr>
        <w:rPr>
          <w:rFonts w:cstheme="minorBidi"/>
        </w:rPr>
      </w:pPr>
      <w:r w:rsidRPr="00947C5E">
        <w:t>În februarie 2025, Agenția UE pentru Gestionarea Operațională a Sistemelor Informatice la Scară Largă în Spațiul de Libertate, Securitate și Justiție (eu-LISA) a prezentat COSI raportul anual al Rețelei agențiilor JAI 2024. Prioritățile rețelei pentru 2025 au fost prezentate de FRA. În februarie 2026, FRA a prezentat COSI raportul anual al Rețelei agențiilor JAI pe anul 2025. Prioritățile rețelei pentru 2026 au fost prezentate de Agenția UE privind Drogurile (EUDA).</w:t>
      </w:r>
    </w:p>
    <w:p w14:paraId="3DBDABD4" w14:textId="77777777" w:rsidR="0088263D" w:rsidRPr="00947C5E" w:rsidRDefault="0088263D" w:rsidP="00D04E4E">
      <w:r w:rsidRPr="00947C5E">
        <w:t>În mai 2025, COSI a purtat o discuție strategică cu privire la viitorul Europolului pentru a contribui la lucrările pregătitoare ale Comisiei în vederea unei revizuiri a mandatului agenției, ținând seama de declarația comună a șefilor polițiilor din Europa privind dezvoltarea viitoare a Europolului. Delegațiile au reiterat faptul că orice acțiune operațională a Europolului trebuie să se desfășoare în acord cu autoritățile statelor membre în cauză și că aplicarea măsurilor coercitive ar trebui să rămână responsabilitatea exclusivă a autorităților naționale. Delegațiile au indicat domeniile în care Europolul ar putea deveni mai activ în sprijinirea statelor membre, cum ar fi anchetele financiare și recuperarea activelor, punerea în comun a capacităților de inovare și tehnologice, furnizarea de instrumente pentru asigurarea respectării legii, schimbul de informații și relațiile cu părțile private și cu țările terțe.</w:t>
      </w:r>
    </w:p>
    <w:p w14:paraId="3075C499" w14:textId="77777777" w:rsidR="0088263D" w:rsidRPr="00947C5E" w:rsidRDefault="0088263D" w:rsidP="00D04E4E">
      <w:r w:rsidRPr="00947C5E">
        <w:t>Discuțiile privind viitorul Europolului au continuat în februarie 2026, în pregătirea unui schimb de opinii în cadrul Consiliului JAI din martie 2026. COSI a confirmat că rolul Europolului ca platformă centrală pentru schimbul și analiza de informații ar trebui consolidat, în special prin îmbunătățirea instrumentelor existente ale Europolului, a interoperabilității între sisteme și a standardizării. COSI a confirmat, de asemenea, că ar trebui asigurată o cooperare mai strânsă a Europolului cu alte agenții și organe ale UE și cu părți terțe, respectând în același timp mandatele individuale ale fiecărei agenții. Delegațiile au convenit asupra importanței combaterii amenințărilor hibride, dar și-au manifestat prudența în legătură cu implicarea Europolului în acest domeniu și cu o posibilă extindere a mandatului său în această privință. Numeroase delegații au subliniat necesitatea de a limita activitățile de sprijin ale Europolului în această privință la infracțiunile transfrontaliere. În ceea ce privește guvernanța, majoritatea delegațiilor și-au exprimat sprijinul pentru menținerea actualelor structuri de guvernanță ale Europolului, consolidând în același timp rolul și responsabilitățile unităților naționale Europol și ale ofițerilor de legătură, acolo unde este necesar.</w:t>
      </w:r>
    </w:p>
    <w:p w14:paraId="31040098" w14:textId="77777777" w:rsidR="000062EA" w:rsidRPr="00947C5E" w:rsidRDefault="000062EA">
      <w:pPr>
        <w:spacing w:before="0" w:after="200" w:line="276" w:lineRule="auto"/>
      </w:pPr>
      <w:r w:rsidRPr="00947C5E">
        <w:br w:type="page"/>
      </w:r>
    </w:p>
    <w:p w14:paraId="019786FD" w14:textId="77777777" w:rsidR="0088263D" w:rsidRPr="00947C5E" w:rsidRDefault="0088263D" w:rsidP="00D04E4E">
      <w:r w:rsidRPr="00947C5E">
        <w:lastRenderedPageBreak/>
        <w:t xml:space="preserve">În mai 2026, COSI a luat act de principalele constatări ale evaluării nevoilor de formare în materie de aplicare a legii în UE pentru perioada 2026-2029, prezentată de Agenția UE pentru Formare în Materie de Aplicare a Legii (CEPOL), iar președintele Comitetului de coordonare în domeniul cooperării polițienești și judiciare în materie penală (CATS) a informat cu privire la discuția privind cooperarea dintre Europol și </w:t>
      </w:r>
      <w:proofErr w:type="spellStart"/>
      <w:r w:rsidRPr="00947C5E">
        <w:t>Eurojust</w:t>
      </w:r>
      <w:proofErr w:type="spellEnd"/>
      <w:r w:rsidRPr="00947C5E">
        <w:t>, care a avut loc în cadrul reuniunii informale a comitetului respectiv din aprilie 2026.</w:t>
      </w:r>
    </w:p>
    <w:bookmarkEnd w:id="1"/>
    <w:p w14:paraId="2D223B21" w14:textId="77777777" w:rsidR="0088263D" w:rsidRPr="00D04E4E" w:rsidRDefault="0088263D" w:rsidP="00D04E4E">
      <w:pPr>
        <w:pStyle w:val="FinalLine"/>
      </w:pPr>
    </w:p>
    <w:sectPr w:rsidR="0088263D" w:rsidRPr="00D04E4E" w:rsidSect="002C5AD8">
      <w:headerReference w:type="even" r:id="rId50"/>
      <w:footerReference w:type="even" r:id="rId51"/>
      <w:headerReference w:type="first" r:id="rId52"/>
      <w:footerReference w:type="first" r:id="rId53"/>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6DC2" w14:textId="77777777" w:rsidR="00AE0990" w:rsidRDefault="00AE0990" w:rsidP="00A43C50">
      <w:r>
        <w:separator/>
      </w:r>
    </w:p>
  </w:endnote>
  <w:endnote w:type="continuationSeparator" w:id="0">
    <w:p w14:paraId="592643F8" w14:textId="77777777" w:rsidR="00AE0990" w:rsidRDefault="00AE0990"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8506" w14:textId="77777777" w:rsidR="000A12CD" w:rsidRDefault="000A1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C5AD8" w:rsidRPr="00D94637" w14:paraId="4A299E4E" w14:textId="77777777" w:rsidTr="002C5AD8">
      <w:trPr>
        <w:jc w:val="center"/>
      </w:trPr>
      <w:tc>
        <w:tcPr>
          <w:tcW w:w="5000" w:type="pct"/>
          <w:gridSpan w:val="7"/>
          <w:tcMar>
            <w:top w:w="57" w:type="dxa"/>
          </w:tcMar>
        </w:tcPr>
        <w:p w14:paraId="1041DF8B" w14:textId="77777777" w:rsidR="002C5AD8" w:rsidRPr="00D94637" w:rsidRDefault="002C5AD8" w:rsidP="00D94637">
          <w:pPr>
            <w:pStyle w:val="FooterText"/>
            <w:pBdr>
              <w:top w:val="single" w:sz="4" w:space="1" w:color="auto"/>
            </w:pBdr>
            <w:spacing w:before="200"/>
            <w:rPr>
              <w:sz w:val="2"/>
              <w:szCs w:val="2"/>
            </w:rPr>
          </w:pPr>
          <w:bookmarkStart w:id="2" w:name="FOOTER_STANDARD"/>
        </w:p>
      </w:tc>
    </w:tr>
    <w:tr w:rsidR="002C5AD8" w:rsidRPr="00B310DC" w14:paraId="2D33A721" w14:textId="77777777" w:rsidTr="002C5AD8">
      <w:trPr>
        <w:jc w:val="center"/>
      </w:trPr>
      <w:tc>
        <w:tcPr>
          <w:tcW w:w="2500" w:type="pct"/>
          <w:gridSpan w:val="2"/>
          <w:tcMar>
            <w:top w:w="0" w:type="dxa"/>
          </w:tcMar>
        </w:tcPr>
        <w:p w14:paraId="39AAE2C3" w14:textId="2812540E" w:rsidR="002C5AD8" w:rsidRPr="00AD7BF2" w:rsidRDefault="002C5AD8" w:rsidP="004F54B2">
          <w:pPr>
            <w:pStyle w:val="FooterText"/>
          </w:pPr>
          <w:r>
            <w:t>13163/26</w:t>
          </w:r>
          <w:r w:rsidRPr="002511D8">
            <w:t xml:space="preserve"> </w:t>
          </w:r>
        </w:p>
      </w:tc>
      <w:tc>
        <w:tcPr>
          <w:tcW w:w="625" w:type="pct"/>
          <w:tcMar>
            <w:top w:w="0" w:type="dxa"/>
          </w:tcMar>
        </w:tcPr>
        <w:p w14:paraId="6BCA372B" w14:textId="77777777" w:rsidR="002C5AD8" w:rsidRPr="00AD7BF2" w:rsidRDefault="002C5AD8" w:rsidP="00D94637">
          <w:pPr>
            <w:pStyle w:val="FooterText"/>
            <w:jc w:val="center"/>
          </w:pPr>
        </w:p>
      </w:tc>
      <w:tc>
        <w:tcPr>
          <w:tcW w:w="1286" w:type="pct"/>
          <w:gridSpan w:val="3"/>
          <w:tcMar>
            <w:top w:w="0" w:type="dxa"/>
          </w:tcMar>
        </w:tcPr>
        <w:p w14:paraId="47B34EC7" w14:textId="77777777" w:rsidR="002C5AD8" w:rsidRPr="002511D8" w:rsidRDefault="002C5AD8" w:rsidP="00D94637">
          <w:pPr>
            <w:pStyle w:val="FooterText"/>
            <w:jc w:val="center"/>
          </w:pPr>
        </w:p>
      </w:tc>
      <w:tc>
        <w:tcPr>
          <w:tcW w:w="589" w:type="pct"/>
          <w:tcMar>
            <w:top w:w="0" w:type="dxa"/>
          </w:tcMar>
        </w:tcPr>
        <w:p w14:paraId="44E20055" w14:textId="6DBD1E7A" w:rsidR="002C5AD8" w:rsidRPr="00B310DC" w:rsidRDefault="002C5AD8"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2C5AD8" w:rsidRPr="00D94637" w14:paraId="3158D9DC" w14:textId="77777777" w:rsidTr="002C5AD8">
      <w:trPr>
        <w:jc w:val="center"/>
      </w:trPr>
      <w:tc>
        <w:tcPr>
          <w:tcW w:w="1774" w:type="pct"/>
        </w:tcPr>
        <w:p w14:paraId="319F6632" w14:textId="7F4AA0D9" w:rsidR="002C5AD8" w:rsidRPr="00AD7BF2" w:rsidRDefault="002C5AD8" w:rsidP="00D94637">
          <w:pPr>
            <w:pStyle w:val="FooterText"/>
            <w:spacing w:before="40"/>
          </w:pPr>
        </w:p>
      </w:tc>
      <w:tc>
        <w:tcPr>
          <w:tcW w:w="1455" w:type="pct"/>
          <w:gridSpan w:val="3"/>
        </w:tcPr>
        <w:p w14:paraId="4B205166" w14:textId="76A73B8F" w:rsidR="002C5AD8" w:rsidRPr="00AD7BF2" w:rsidRDefault="002C5AD8" w:rsidP="00D204D6">
          <w:pPr>
            <w:pStyle w:val="FooterText"/>
            <w:spacing w:before="40"/>
            <w:jc w:val="center"/>
          </w:pPr>
          <w:r>
            <w:t>JAI.1</w:t>
          </w:r>
        </w:p>
      </w:tc>
      <w:tc>
        <w:tcPr>
          <w:tcW w:w="742" w:type="pct"/>
        </w:tcPr>
        <w:p w14:paraId="31DF899A" w14:textId="51C4C596" w:rsidR="002C5AD8" w:rsidRPr="00D94637" w:rsidRDefault="002C5AD8" w:rsidP="002F0099">
          <w:pPr>
            <w:pStyle w:val="FooterText"/>
            <w:jc w:val="center"/>
            <w:rPr>
              <w:b/>
              <w:position w:val="-4"/>
              <w:sz w:val="36"/>
            </w:rPr>
          </w:pPr>
        </w:p>
      </w:tc>
      <w:tc>
        <w:tcPr>
          <w:tcW w:w="1029" w:type="pct"/>
          <w:gridSpan w:val="2"/>
        </w:tcPr>
        <w:p w14:paraId="67AEA0B9" w14:textId="0D4483FA" w:rsidR="002C5AD8" w:rsidRPr="00695BAF" w:rsidRDefault="002C5AD8" w:rsidP="00D94637">
          <w:pPr>
            <w:pStyle w:val="FooterText"/>
            <w:jc w:val="right"/>
            <w:rPr>
              <w:caps/>
              <w:spacing w:val="-20"/>
              <w:sz w:val="16"/>
            </w:rPr>
          </w:pPr>
          <w:r>
            <w:rPr>
              <w:b/>
              <w:caps/>
              <w:spacing w:val="-20"/>
              <w:position w:val="-4"/>
              <w:sz w:val="36"/>
            </w:rPr>
            <w:t>RO</w:t>
          </w:r>
        </w:p>
      </w:tc>
    </w:tr>
    <w:bookmarkEnd w:id="2"/>
  </w:tbl>
  <w:p w14:paraId="6F09C82F" w14:textId="77777777" w:rsidR="00947C5E" w:rsidRPr="002C5AD8" w:rsidRDefault="00947C5E" w:rsidP="002C5AD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C5AD8" w:rsidRPr="00D94637" w14:paraId="1959FF0F" w14:textId="77777777" w:rsidTr="002C5AD8">
      <w:trPr>
        <w:jc w:val="center"/>
      </w:trPr>
      <w:tc>
        <w:tcPr>
          <w:tcW w:w="5000" w:type="pct"/>
          <w:gridSpan w:val="7"/>
          <w:tcMar>
            <w:top w:w="57" w:type="dxa"/>
          </w:tcMar>
        </w:tcPr>
        <w:p w14:paraId="08B81714" w14:textId="77777777" w:rsidR="002C5AD8" w:rsidRPr="00D94637" w:rsidRDefault="002C5AD8" w:rsidP="00D94637">
          <w:pPr>
            <w:pStyle w:val="FooterText"/>
            <w:pBdr>
              <w:top w:val="single" w:sz="4" w:space="1" w:color="auto"/>
            </w:pBdr>
            <w:spacing w:before="200"/>
            <w:rPr>
              <w:sz w:val="2"/>
              <w:szCs w:val="2"/>
            </w:rPr>
          </w:pPr>
        </w:p>
      </w:tc>
    </w:tr>
    <w:tr w:rsidR="002C5AD8" w:rsidRPr="00B310DC" w14:paraId="1EAAFC3E" w14:textId="77777777" w:rsidTr="002C5AD8">
      <w:trPr>
        <w:jc w:val="center"/>
      </w:trPr>
      <w:tc>
        <w:tcPr>
          <w:tcW w:w="2500" w:type="pct"/>
          <w:gridSpan w:val="2"/>
          <w:tcMar>
            <w:top w:w="0" w:type="dxa"/>
          </w:tcMar>
        </w:tcPr>
        <w:p w14:paraId="2C9A9D0B" w14:textId="164467F7" w:rsidR="002C5AD8" w:rsidRPr="00AD7BF2" w:rsidRDefault="002C5AD8" w:rsidP="004F54B2">
          <w:pPr>
            <w:pStyle w:val="FooterText"/>
          </w:pPr>
          <w:r>
            <w:t>13163/26</w:t>
          </w:r>
          <w:r w:rsidRPr="002511D8">
            <w:t xml:space="preserve"> </w:t>
          </w:r>
        </w:p>
      </w:tc>
      <w:tc>
        <w:tcPr>
          <w:tcW w:w="625" w:type="pct"/>
          <w:tcMar>
            <w:top w:w="0" w:type="dxa"/>
          </w:tcMar>
        </w:tcPr>
        <w:p w14:paraId="42878A7C" w14:textId="77777777" w:rsidR="002C5AD8" w:rsidRPr="00AD7BF2" w:rsidRDefault="002C5AD8" w:rsidP="00D94637">
          <w:pPr>
            <w:pStyle w:val="FooterText"/>
            <w:jc w:val="center"/>
          </w:pPr>
        </w:p>
      </w:tc>
      <w:tc>
        <w:tcPr>
          <w:tcW w:w="1286" w:type="pct"/>
          <w:gridSpan w:val="3"/>
          <w:tcMar>
            <w:top w:w="0" w:type="dxa"/>
          </w:tcMar>
        </w:tcPr>
        <w:p w14:paraId="64D88891" w14:textId="77777777" w:rsidR="002C5AD8" w:rsidRPr="002511D8" w:rsidRDefault="002C5AD8" w:rsidP="00D94637">
          <w:pPr>
            <w:pStyle w:val="FooterText"/>
            <w:jc w:val="center"/>
          </w:pPr>
        </w:p>
      </w:tc>
      <w:tc>
        <w:tcPr>
          <w:tcW w:w="589" w:type="pct"/>
          <w:tcMar>
            <w:top w:w="0" w:type="dxa"/>
          </w:tcMar>
        </w:tcPr>
        <w:p w14:paraId="61FC147D" w14:textId="7BAEEB27" w:rsidR="002C5AD8" w:rsidRPr="00B310DC" w:rsidRDefault="002C5AD8"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2C5AD8" w:rsidRPr="00D94637" w14:paraId="351E22B7" w14:textId="77777777" w:rsidTr="002C5AD8">
      <w:trPr>
        <w:jc w:val="center"/>
      </w:trPr>
      <w:tc>
        <w:tcPr>
          <w:tcW w:w="1774" w:type="pct"/>
        </w:tcPr>
        <w:p w14:paraId="209BA187" w14:textId="152582FD" w:rsidR="002C5AD8" w:rsidRPr="00AD7BF2" w:rsidRDefault="002C5AD8" w:rsidP="00D94637">
          <w:pPr>
            <w:pStyle w:val="FooterText"/>
            <w:spacing w:before="40"/>
          </w:pPr>
        </w:p>
      </w:tc>
      <w:tc>
        <w:tcPr>
          <w:tcW w:w="1455" w:type="pct"/>
          <w:gridSpan w:val="3"/>
        </w:tcPr>
        <w:p w14:paraId="0D908B11" w14:textId="41204BED" w:rsidR="002C5AD8" w:rsidRPr="00AD7BF2" w:rsidRDefault="002C5AD8" w:rsidP="00D204D6">
          <w:pPr>
            <w:pStyle w:val="FooterText"/>
            <w:spacing w:before="40"/>
            <w:jc w:val="center"/>
          </w:pPr>
          <w:r>
            <w:t>JAI.1</w:t>
          </w:r>
        </w:p>
      </w:tc>
      <w:tc>
        <w:tcPr>
          <w:tcW w:w="742" w:type="pct"/>
        </w:tcPr>
        <w:p w14:paraId="7D33C88A" w14:textId="6D552DC6" w:rsidR="002C5AD8" w:rsidRPr="00D94637" w:rsidRDefault="002C5AD8" w:rsidP="002F0099">
          <w:pPr>
            <w:pStyle w:val="FooterText"/>
            <w:jc w:val="center"/>
            <w:rPr>
              <w:b/>
              <w:position w:val="-4"/>
              <w:sz w:val="36"/>
            </w:rPr>
          </w:pPr>
        </w:p>
      </w:tc>
      <w:tc>
        <w:tcPr>
          <w:tcW w:w="1029" w:type="pct"/>
          <w:gridSpan w:val="2"/>
        </w:tcPr>
        <w:p w14:paraId="46A14D45" w14:textId="7A0BB298" w:rsidR="002C5AD8" w:rsidRPr="00695BAF" w:rsidRDefault="002C5AD8" w:rsidP="00D94637">
          <w:pPr>
            <w:pStyle w:val="FooterText"/>
            <w:jc w:val="right"/>
            <w:rPr>
              <w:caps/>
              <w:spacing w:val="-20"/>
              <w:sz w:val="16"/>
            </w:rPr>
          </w:pPr>
          <w:r>
            <w:rPr>
              <w:b/>
              <w:caps/>
              <w:spacing w:val="-20"/>
              <w:position w:val="-4"/>
              <w:sz w:val="36"/>
            </w:rPr>
            <w:t>RO</w:t>
          </w:r>
        </w:p>
      </w:tc>
    </w:tr>
  </w:tbl>
  <w:p w14:paraId="31600C3A" w14:textId="77777777" w:rsidR="00947C5E" w:rsidRPr="002C5AD8" w:rsidRDefault="00947C5E" w:rsidP="002C5AD8">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9D32" w14:textId="77777777" w:rsidR="007319B0" w:rsidRPr="002C5AD8" w:rsidRDefault="007319B0" w:rsidP="002C5A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C5AD8" w:rsidRPr="00D94637" w14:paraId="6EDBFAF6" w14:textId="77777777" w:rsidTr="002C5AD8">
      <w:trPr>
        <w:jc w:val="center"/>
      </w:trPr>
      <w:tc>
        <w:tcPr>
          <w:tcW w:w="5000" w:type="pct"/>
          <w:gridSpan w:val="7"/>
          <w:tcMar>
            <w:top w:w="57" w:type="dxa"/>
          </w:tcMar>
        </w:tcPr>
        <w:p w14:paraId="76BDEA8C" w14:textId="77777777" w:rsidR="002C5AD8" w:rsidRPr="00D94637" w:rsidRDefault="002C5AD8" w:rsidP="00D94637">
          <w:pPr>
            <w:pStyle w:val="FooterText"/>
            <w:pBdr>
              <w:top w:val="single" w:sz="4" w:space="1" w:color="auto"/>
            </w:pBdr>
            <w:spacing w:before="200"/>
            <w:rPr>
              <w:sz w:val="2"/>
              <w:szCs w:val="2"/>
            </w:rPr>
          </w:pPr>
        </w:p>
      </w:tc>
    </w:tr>
    <w:tr w:rsidR="002C5AD8" w:rsidRPr="00B310DC" w14:paraId="3C7AD302" w14:textId="77777777" w:rsidTr="002C5AD8">
      <w:trPr>
        <w:jc w:val="center"/>
      </w:trPr>
      <w:tc>
        <w:tcPr>
          <w:tcW w:w="2500" w:type="pct"/>
          <w:gridSpan w:val="2"/>
          <w:tcMar>
            <w:top w:w="0" w:type="dxa"/>
          </w:tcMar>
        </w:tcPr>
        <w:p w14:paraId="0837A42F" w14:textId="7B312A25" w:rsidR="002C5AD8" w:rsidRPr="00AD7BF2" w:rsidRDefault="002C5AD8" w:rsidP="004F54B2">
          <w:pPr>
            <w:pStyle w:val="FooterText"/>
          </w:pPr>
          <w:r>
            <w:t>13163/26</w:t>
          </w:r>
          <w:r w:rsidRPr="002511D8">
            <w:t xml:space="preserve"> </w:t>
          </w:r>
        </w:p>
      </w:tc>
      <w:tc>
        <w:tcPr>
          <w:tcW w:w="625" w:type="pct"/>
          <w:tcMar>
            <w:top w:w="0" w:type="dxa"/>
          </w:tcMar>
        </w:tcPr>
        <w:p w14:paraId="59A25971" w14:textId="77777777" w:rsidR="002C5AD8" w:rsidRPr="00AD7BF2" w:rsidRDefault="002C5AD8" w:rsidP="00D94637">
          <w:pPr>
            <w:pStyle w:val="FooterText"/>
            <w:jc w:val="center"/>
          </w:pPr>
        </w:p>
      </w:tc>
      <w:tc>
        <w:tcPr>
          <w:tcW w:w="1286" w:type="pct"/>
          <w:gridSpan w:val="3"/>
          <w:tcMar>
            <w:top w:w="0" w:type="dxa"/>
          </w:tcMar>
        </w:tcPr>
        <w:p w14:paraId="444E30FF" w14:textId="77777777" w:rsidR="002C5AD8" w:rsidRPr="002511D8" w:rsidRDefault="002C5AD8" w:rsidP="00D94637">
          <w:pPr>
            <w:pStyle w:val="FooterText"/>
            <w:jc w:val="center"/>
          </w:pPr>
        </w:p>
      </w:tc>
      <w:tc>
        <w:tcPr>
          <w:tcW w:w="589" w:type="pct"/>
          <w:tcMar>
            <w:top w:w="0" w:type="dxa"/>
          </w:tcMar>
        </w:tcPr>
        <w:p w14:paraId="06BA8487" w14:textId="0EEDCFF1" w:rsidR="002C5AD8" w:rsidRPr="00B310DC" w:rsidRDefault="002C5AD8"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2C5AD8" w:rsidRPr="00D94637" w14:paraId="4A321C5F" w14:textId="77777777" w:rsidTr="002C5AD8">
      <w:trPr>
        <w:jc w:val="center"/>
      </w:trPr>
      <w:tc>
        <w:tcPr>
          <w:tcW w:w="1774" w:type="pct"/>
        </w:tcPr>
        <w:p w14:paraId="4EFDD4C2" w14:textId="0C925BD7" w:rsidR="002C5AD8" w:rsidRPr="00AD7BF2" w:rsidRDefault="002C5AD8" w:rsidP="00D94637">
          <w:pPr>
            <w:pStyle w:val="FooterText"/>
            <w:spacing w:before="40"/>
          </w:pPr>
          <w:r>
            <w:t>ANEXĂ</w:t>
          </w:r>
        </w:p>
      </w:tc>
      <w:tc>
        <w:tcPr>
          <w:tcW w:w="1455" w:type="pct"/>
          <w:gridSpan w:val="3"/>
        </w:tcPr>
        <w:p w14:paraId="7AD7F8EE" w14:textId="6DC77E44" w:rsidR="002C5AD8" w:rsidRPr="00AD7BF2" w:rsidRDefault="002C5AD8" w:rsidP="00D204D6">
          <w:pPr>
            <w:pStyle w:val="FooterText"/>
            <w:spacing w:before="40"/>
            <w:jc w:val="center"/>
          </w:pPr>
          <w:r>
            <w:t>JAI.1</w:t>
          </w:r>
        </w:p>
      </w:tc>
      <w:tc>
        <w:tcPr>
          <w:tcW w:w="742" w:type="pct"/>
        </w:tcPr>
        <w:p w14:paraId="4A75B63A" w14:textId="5D5DA051" w:rsidR="002C5AD8" w:rsidRPr="00D94637" w:rsidRDefault="002C5AD8" w:rsidP="002F0099">
          <w:pPr>
            <w:pStyle w:val="FooterText"/>
            <w:jc w:val="center"/>
            <w:rPr>
              <w:b/>
              <w:position w:val="-4"/>
              <w:sz w:val="36"/>
            </w:rPr>
          </w:pPr>
        </w:p>
      </w:tc>
      <w:tc>
        <w:tcPr>
          <w:tcW w:w="1029" w:type="pct"/>
          <w:gridSpan w:val="2"/>
        </w:tcPr>
        <w:p w14:paraId="20DC9AFA" w14:textId="470B82AB" w:rsidR="002C5AD8" w:rsidRPr="00695BAF" w:rsidRDefault="002C5AD8" w:rsidP="00D94637">
          <w:pPr>
            <w:pStyle w:val="FooterText"/>
            <w:jc w:val="right"/>
            <w:rPr>
              <w:caps/>
              <w:spacing w:val="-20"/>
              <w:sz w:val="16"/>
            </w:rPr>
          </w:pPr>
          <w:r>
            <w:rPr>
              <w:b/>
              <w:caps/>
              <w:spacing w:val="-20"/>
              <w:position w:val="-4"/>
              <w:sz w:val="36"/>
            </w:rPr>
            <w:t>RO</w:t>
          </w:r>
        </w:p>
      </w:tc>
    </w:tr>
  </w:tbl>
  <w:p w14:paraId="3CD1229E" w14:textId="77777777" w:rsidR="007319B0" w:rsidRPr="002C5AD8" w:rsidRDefault="007319B0" w:rsidP="002C5AD8">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5E17" w14:textId="77777777" w:rsidR="007319B0" w:rsidRPr="002C5AD8" w:rsidRDefault="007319B0" w:rsidP="002C5A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606F" w14:textId="77777777" w:rsidR="007319B0" w:rsidRPr="002C5AD8" w:rsidRDefault="007319B0" w:rsidP="002C5A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83BE" w14:textId="77777777" w:rsidR="007319B0" w:rsidRPr="002C5AD8" w:rsidRDefault="007319B0" w:rsidP="002C5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143B2" w14:textId="77777777" w:rsidR="00AE0990" w:rsidRDefault="00AE0990" w:rsidP="008D3C9A">
      <w:pPr>
        <w:spacing w:before="0" w:after="0" w:line="240" w:lineRule="auto"/>
      </w:pPr>
      <w:r>
        <w:separator/>
      </w:r>
    </w:p>
  </w:footnote>
  <w:footnote w:type="continuationSeparator" w:id="0">
    <w:p w14:paraId="6B9DB2C8" w14:textId="77777777" w:rsidR="00AE0990" w:rsidRDefault="00AE0990" w:rsidP="00EC3B25">
      <w:pPr>
        <w:spacing w:before="0" w:after="0" w:line="240" w:lineRule="auto"/>
      </w:pPr>
      <w:r>
        <w:continuationSeparator/>
      </w:r>
    </w:p>
  </w:footnote>
  <w:footnote w:id="1">
    <w:p w14:paraId="6FD639AE" w14:textId="77777777" w:rsidR="0088263D" w:rsidRPr="00947C5E" w:rsidRDefault="0088263D" w:rsidP="00D04E4E">
      <w:pPr>
        <w:pStyle w:val="FootnoteText"/>
      </w:pPr>
      <w:r w:rsidRPr="00947C5E">
        <w:rPr>
          <w:rStyle w:val="FootnoteReference"/>
        </w:rPr>
        <w:footnoteRef/>
      </w:r>
      <w:r w:rsidRPr="00947C5E">
        <w:tab/>
        <w:t>16515/09.</w:t>
      </w:r>
    </w:p>
  </w:footnote>
  <w:footnote w:id="2">
    <w:p w14:paraId="086FB9BB" w14:textId="77777777" w:rsidR="0088263D" w:rsidRPr="00947C5E" w:rsidRDefault="0088263D" w:rsidP="00D04E4E">
      <w:pPr>
        <w:pStyle w:val="FootnoteText"/>
      </w:pPr>
      <w:r w:rsidRPr="00947C5E">
        <w:rPr>
          <w:rStyle w:val="FootnoteReference"/>
        </w:rPr>
        <w:footnoteRef/>
      </w:r>
      <w:r w:rsidRPr="00947C5E">
        <w:tab/>
      </w:r>
      <w:r w:rsidRPr="00947C5E">
        <w:t>16343/24.</w:t>
      </w:r>
    </w:p>
  </w:footnote>
  <w:footnote w:id="3">
    <w:p w14:paraId="4134F59A" w14:textId="77777777" w:rsidR="0088263D" w:rsidRPr="00947C5E" w:rsidRDefault="0088263D" w:rsidP="00D04E4E">
      <w:pPr>
        <w:pStyle w:val="FootnoteText"/>
      </w:pPr>
      <w:r w:rsidRPr="00947C5E">
        <w:rPr>
          <w:rStyle w:val="FootnoteReference"/>
        </w:rPr>
        <w:footnoteRef/>
      </w:r>
      <w:r w:rsidRPr="00947C5E">
        <w:tab/>
      </w:r>
      <w:r w:rsidRPr="00947C5E">
        <w:t>6403/25.</w:t>
      </w:r>
    </w:p>
  </w:footnote>
  <w:footnote w:id="4">
    <w:p w14:paraId="27BEF767" w14:textId="77777777" w:rsidR="0088263D" w:rsidRPr="00947C5E" w:rsidRDefault="0088263D" w:rsidP="00371273">
      <w:pPr>
        <w:pStyle w:val="FootnoteText"/>
      </w:pPr>
      <w:r w:rsidRPr="00947C5E">
        <w:rPr>
          <w:rStyle w:val="FootnoteReference"/>
        </w:rPr>
        <w:footnoteRef/>
      </w:r>
      <w:r w:rsidRPr="00947C5E">
        <w:tab/>
      </w:r>
      <w:r w:rsidRPr="00947C5E">
        <w:t>7750/25.</w:t>
      </w:r>
    </w:p>
  </w:footnote>
  <w:footnote w:id="5">
    <w:p w14:paraId="6425F7D1" w14:textId="77777777" w:rsidR="0088263D" w:rsidRPr="00947C5E" w:rsidRDefault="0088263D" w:rsidP="00371273">
      <w:pPr>
        <w:pStyle w:val="FootnoteText"/>
      </w:pPr>
      <w:r w:rsidRPr="00947C5E">
        <w:rPr>
          <w:rStyle w:val="FootnoteReference"/>
        </w:rPr>
        <w:footnoteRef/>
      </w:r>
      <w:r w:rsidRPr="00947C5E">
        <w:tab/>
      </w:r>
      <w:r w:rsidRPr="00947C5E">
        <w:t>Președinția poloneză a pregătit un raport al președinției (9267/25) care sintetizează discuțiile purtate în cadrul Consiliului și al grupurilor sale de pregătire.</w:t>
      </w:r>
    </w:p>
  </w:footnote>
  <w:footnote w:id="6">
    <w:p w14:paraId="1FA0FF1E" w14:textId="77777777" w:rsidR="0088263D" w:rsidRPr="00947C5E" w:rsidRDefault="0088263D" w:rsidP="00371273">
      <w:pPr>
        <w:pStyle w:val="FootnoteText"/>
      </w:pPr>
      <w:r w:rsidRPr="00947C5E">
        <w:rPr>
          <w:rStyle w:val="FootnoteReference"/>
        </w:rPr>
        <w:footnoteRef/>
      </w:r>
      <w:r w:rsidRPr="00947C5E">
        <w:tab/>
      </w:r>
      <w:r w:rsidRPr="00947C5E">
        <w:t>14470/1/25 REV 1.</w:t>
      </w:r>
    </w:p>
  </w:footnote>
  <w:footnote w:id="7">
    <w:p w14:paraId="7E67F4D7" w14:textId="77777777" w:rsidR="0088263D" w:rsidRPr="00947C5E" w:rsidRDefault="0088263D" w:rsidP="00371273">
      <w:pPr>
        <w:pStyle w:val="FootnoteText"/>
      </w:pPr>
      <w:r w:rsidRPr="00947C5E">
        <w:rPr>
          <w:rStyle w:val="FootnoteReference"/>
        </w:rPr>
        <w:footnoteRef/>
      </w:r>
      <w:r w:rsidRPr="00947C5E">
        <w:tab/>
      </w:r>
      <w:r w:rsidRPr="00947C5E">
        <w:t xml:space="preserve">Următoarele șapte priorități ale UE în materie de criminalitate au fost identificate de Consiliu în concluziile sale pentru următorul ciclu EMPACT: (1) identificarea și neutralizarea celor mai amenințătoare rețele infracționale și persoane; (2) combaterea infracțiunilor cu cea mai rapidă creștere în mediul online, și anume atacurile cibernetice, exploatarea sexuală online a copiilor și sistemele de fraudă online; (3) combaterea traficului de droguri prin concentrarea asupra producerii, traficului și distribuirii de canabis, cocaină, heroină, droguri sintetice și substanțe </w:t>
      </w:r>
      <w:proofErr w:type="spellStart"/>
      <w:r w:rsidRPr="00947C5E">
        <w:t>psihoactive</w:t>
      </w:r>
      <w:proofErr w:type="spellEnd"/>
      <w:r w:rsidRPr="00947C5E">
        <w:t xml:space="preserve"> noi; (4) combaterea introducerii ilegale de </w:t>
      </w:r>
      <w:proofErr w:type="spellStart"/>
      <w:r w:rsidRPr="00947C5E">
        <w:t>migranți</w:t>
      </w:r>
      <w:proofErr w:type="spellEnd"/>
      <w:r w:rsidRPr="00947C5E">
        <w:t xml:space="preserve"> și a traficului de ființe umane; (5) vizarea criminalității legate de armele de foc și explozivi; (6) neutralizarea rețelelor implicate în infracțiuni împotriva mediului; (7) combaterea criminalității economice și financiare, cum ar fi frauda în materie de TVA și frauda intracomunitară cu firme „fantomă” (</w:t>
      </w:r>
      <w:proofErr w:type="spellStart"/>
      <w:r w:rsidRPr="00947C5E">
        <w:t>Missing</w:t>
      </w:r>
      <w:proofErr w:type="spellEnd"/>
      <w:r w:rsidRPr="00947C5E">
        <w:t xml:space="preserve"> </w:t>
      </w:r>
      <w:proofErr w:type="spellStart"/>
      <w:r w:rsidRPr="00947C5E">
        <w:t>Trader</w:t>
      </w:r>
      <w:proofErr w:type="spellEnd"/>
      <w:r w:rsidRPr="00947C5E">
        <w:t xml:space="preserve"> Intra-</w:t>
      </w:r>
      <w:proofErr w:type="spellStart"/>
      <w:r w:rsidRPr="00947C5E">
        <w:t>Community</w:t>
      </w:r>
      <w:proofErr w:type="spellEnd"/>
      <w:r w:rsidRPr="00947C5E">
        <w:t xml:space="preserve"> – MTIC), frauda privind accizele și frauda vamală, infracțiuni în materie de proprietate intelectuală și contrafacerea mărfurilor și falsificarea banilor.</w:t>
      </w:r>
    </w:p>
  </w:footnote>
  <w:footnote w:id="8">
    <w:p w14:paraId="7528DF3A" w14:textId="77777777" w:rsidR="0088263D" w:rsidRPr="00947C5E" w:rsidRDefault="0088263D" w:rsidP="00D04E4E">
      <w:pPr>
        <w:pStyle w:val="FootnoteText"/>
      </w:pPr>
      <w:r w:rsidRPr="00947C5E">
        <w:rPr>
          <w:rStyle w:val="FootnoteReference"/>
        </w:rPr>
        <w:footnoteRef/>
      </w:r>
      <w:r w:rsidRPr="00947C5E">
        <w:tab/>
      </w:r>
      <w:r w:rsidRPr="00947C5E">
        <w:t>9397/25.</w:t>
      </w:r>
    </w:p>
  </w:footnote>
  <w:footnote w:id="9">
    <w:p w14:paraId="3C08AF7A" w14:textId="77777777" w:rsidR="0088263D" w:rsidRPr="00947C5E" w:rsidRDefault="0088263D" w:rsidP="00D04E4E">
      <w:pPr>
        <w:pStyle w:val="FootnoteText"/>
      </w:pPr>
      <w:r w:rsidRPr="00947C5E">
        <w:rPr>
          <w:rStyle w:val="FootnoteReference"/>
        </w:rPr>
        <w:footnoteRef/>
      </w:r>
      <w:r w:rsidRPr="00947C5E">
        <w:tab/>
      </w:r>
      <w:r w:rsidRPr="00947C5E">
        <w:t>9974/26.</w:t>
      </w:r>
    </w:p>
  </w:footnote>
  <w:footnote w:id="10">
    <w:p w14:paraId="3440BB74" w14:textId="77777777" w:rsidR="0088263D" w:rsidRPr="00947C5E" w:rsidRDefault="0088263D" w:rsidP="00D04E4E">
      <w:pPr>
        <w:pStyle w:val="FootnoteText"/>
      </w:pPr>
      <w:r w:rsidRPr="00947C5E">
        <w:rPr>
          <w:rStyle w:val="FootnoteReference"/>
        </w:rPr>
        <w:footnoteRef/>
      </w:r>
      <w:r w:rsidRPr="00947C5E">
        <w:tab/>
      </w:r>
      <w:r w:rsidRPr="00947C5E">
        <w:t>9312/26.</w:t>
      </w:r>
    </w:p>
  </w:footnote>
  <w:footnote w:id="11">
    <w:p w14:paraId="32642CB4" w14:textId="77777777" w:rsidR="0088263D" w:rsidRPr="00947C5E" w:rsidRDefault="0088263D" w:rsidP="00D04E4E">
      <w:pPr>
        <w:pStyle w:val="FootnoteText"/>
      </w:pPr>
      <w:r w:rsidRPr="00947C5E">
        <w:rPr>
          <w:rStyle w:val="FootnoteReference"/>
        </w:rPr>
        <w:footnoteRef/>
      </w:r>
      <w:r w:rsidRPr="00947C5E">
        <w:tab/>
      </w:r>
      <w:r w:rsidRPr="00947C5E">
        <w:t>16448/24.</w:t>
      </w:r>
    </w:p>
  </w:footnote>
  <w:footnote w:id="12">
    <w:p w14:paraId="4813CDE1" w14:textId="77777777" w:rsidR="0088263D" w:rsidRPr="00947C5E" w:rsidRDefault="0088263D" w:rsidP="00D04E4E">
      <w:pPr>
        <w:pStyle w:val="FootnoteText"/>
      </w:pPr>
      <w:r w:rsidRPr="00947C5E">
        <w:rPr>
          <w:rStyle w:val="FootnoteReference"/>
        </w:rPr>
        <w:footnoteRef/>
      </w:r>
      <w:r w:rsidRPr="00947C5E">
        <w:tab/>
      </w:r>
      <w:r w:rsidRPr="00947C5E">
        <w:t>10806/25.</w:t>
      </w:r>
    </w:p>
  </w:footnote>
  <w:footnote w:id="13">
    <w:p w14:paraId="3ACE1E6F" w14:textId="77777777" w:rsidR="0088263D" w:rsidRPr="00947C5E" w:rsidRDefault="0088263D" w:rsidP="00D04E4E">
      <w:pPr>
        <w:pStyle w:val="FootnoteText"/>
      </w:pPr>
      <w:r w:rsidRPr="00947C5E">
        <w:rPr>
          <w:rStyle w:val="FootnoteReference"/>
        </w:rPr>
        <w:footnoteRef/>
      </w:r>
      <w:r w:rsidRPr="00947C5E">
        <w:tab/>
      </w:r>
      <w:r w:rsidRPr="00947C5E">
        <w:t>14472/1/25 REV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5D67" w14:textId="77777777" w:rsidR="000A12CD" w:rsidRDefault="000A1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38A7" w14:textId="650240B8" w:rsidR="00947C5E" w:rsidRPr="002C5AD8" w:rsidRDefault="002C5AD8" w:rsidP="002C5AD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0009" w14:textId="1F8C8323" w:rsidR="00947C5E" w:rsidRPr="002C5AD8" w:rsidRDefault="002C5AD8" w:rsidP="002C5AD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F0A7" w14:textId="77777777" w:rsidR="007319B0" w:rsidRPr="002C5AD8" w:rsidRDefault="007319B0" w:rsidP="002C5A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04EF" w14:textId="77777777" w:rsidR="007319B0" w:rsidRPr="002C5AD8" w:rsidRDefault="007319B0" w:rsidP="002C5A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3BAE" w14:textId="77777777" w:rsidR="007319B0" w:rsidRPr="002C5AD8" w:rsidRDefault="007319B0" w:rsidP="002C5A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EBB" w14:textId="77777777" w:rsidR="007319B0" w:rsidRPr="002C5AD8" w:rsidRDefault="007319B0" w:rsidP="002C5A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5B8D" w14:textId="77777777" w:rsidR="007319B0" w:rsidRPr="002C5AD8" w:rsidRDefault="007319B0" w:rsidP="002C5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790A82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84C5BEE"/>
    <w:multiLevelType w:val="multilevel"/>
    <w:tmpl w:val="3662C0B0"/>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3C9680A"/>
    <w:multiLevelType w:val="multilevel"/>
    <w:tmpl w:val="2FBC8D9E"/>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3B0F5E0C"/>
    <w:multiLevelType w:val="multilevel"/>
    <w:tmpl w:val="3662C0B0"/>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3" w15:restartNumberingAfterBreak="0">
    <w:nsid w:val="569D7E33"/>
    <w:multiLevelType w:val="multilevel"/>
    <w:tmpl w:val="3662C0B0"/>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7" w15:restartNumberingAfterBreak="0">
    <w:nsid w:val="618C0193"/>
    <w:multiLevelType w:val="multilevel"/>
    <w:tmpl w:val="03460DBA"/>
    <w:lvl w:ilvl="0">
      <w:start w:val="1"/>
      <w:numFmt w:val="decimal"/>
      <w:lvlText w:val="%1."/>
      <w:lvlJc w:val="left"/>
      <w:pPr>
        <w:ind w:left="360" w:hanging="360"/>
      </w:pPr>
    </w:lvl>
    <w:lvl w:ilvl="1">
      <w:start w:val="2"/>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8" w15:restartNumberingAfterBreak="0">
    <w:nsid w:val="629245CC"/>
    <w:multiLevelType w:val="multilevel"/>
    <w:tmpl w:val="2FBC8D9E"/>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280040904">
    <w:abstractNumId w:val="1"/>
  </w:num>
  <w:num w:numId="2" w16cid:durableId="933249094">
    <w:abstractNumId w:val="8"/>
  </w:num>
  <w:num w:numId="3" w16cid:durableId="574318280">
    <w:abstractNumId w:val="12"/>
  </w:num>
  <w:num w:numId="4" w16cid:durableId="2011370032">
    <w:abstractNumId w:val="7"/>
  </w:num>
  <w:num w:numId="5" w16cid:durableId="228080677">
    <w:abstractNumId w:val="5"/>
  </w:num>
  <w:num w:numId="6" w16cid:durableId="39205857">
    <w:abstractNumId w:val="20"/>
  </w:num>
  <w:num w:numId="7" w16cid:durableId="1818840854">
    <w:abstractNumId w:val="25"/>
  </w:num>
  <w:num w:numId="8" w16cid:durableId="1763800961">
    <w:abstractNumId w:val="21"/>
  </w:num>
  <w:num w:numId="9" w16cid:durableId="1221094982">
    <w:abstractNumId w:val="2"/>
  </w:num>
  <w:num w:numId="10" w16cid:durableId="1684624409">
    <w:abstractNumId w:val="22"/>
  </w:num>
  <w:num w:numId="11" w16cid:durableId="576478823">
    <w:abstractNumId w:val="16"/>
  </w:num>
  <w:num w:numId="12" w16cid:durableId="1116366448">
    <w:abstractNumId w:val="3"/>
  </w:num>
  <w:num w:numId="13" w16cid:durableId="2077822143">
    <w:abstractNumId w:val="24"/>
  </w:num>
  <w:num w:numId="14" w16cid:durableId="186916281">
    <w:abstractNumId w:val="26"/>
  </w:num>
  <w:num w:numId="15" w16cid:durableId="1890148303">
    <w:abstractNumId w:val="14"/>
  </w:num>
  <w:num w:numId="16" w16cid:durableId="121584226">
    <w:abstractNumId w:val="23"/>
  </w:num>
  <w:num w:numId="17" w16cid:durableId="2038966884">
    <w:abstractNumId w:val="19"/>
  </w:num>
  <w:num w:numId="18" w16cid:durableId="1983995994">
    <w:abstractNumId w:val="15"/>
  </w:num>
  <w:num w:numId="19" w16cid:durableId="433592595">
    <w:abstractNumId w:val="9"/>
  </w:num>
  <w:num w:numId="20" w16cid:durableId="306668785">
    <w:abstractNumId w:val="4"/>
  </w:num>
  <w:num w:numId="21" w16cid:durableId="2101753493">
    <w:abstractNumId w:val="0"/>
  </w:num>
  <w:num w:numId="22" w16cid:durableId="239368755">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517299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53019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630471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702955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6231453">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6873009686762138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36&quot; text=&quot;NOT&amp;#258;&quot; /&gt;_x000d__x000a_    &lt;/basicdatatype&gt;_x000d__x000a_  &lt;/metadata&gt;_x000d__x000a_  &lt;metadata key=&quot;md_HeadingText&quot; translate=&quot;false&quot;&gt;_x000d__x000a_    &lt;headingtext text=&quot;NOT&amp;#258;&quot;&gt;_x000d__x000a_      &lt;formattedtext&gt;_x000d__x000a_        &lt;xaml text=&quot;NOT&amp;#258;&quot;&gt;&amp;lt;FlowDocument xmlns=&quot;http://schemas.microsoft.com/winfx/2006/xaml/presentation&quot;&amp;gt;&amp;lt;Paragraph&amp;gt;NOT&amp;#258;&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9-16&lt;/text&gt;_x000d__x000a_  &lt;/metadata&gt;_x000d__x000a_  &lt;metadata key=&quot;md_Prefix&quot; translate=&quot;false&quot;&gt;_x000d__x000a_    &lt;text&gt;&lt;/text&gt;_x000d__x000a_  &lt;/metadata&gt;_x000d__x000a_  &lt;metadata key=&quot;md_DocumentNumber&quot; translate=&quot;false&quot;&gt;_x000d__x000a_    &lt;text&gt;13163&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COSI 139&lt;/text&gt;_x000d__x000a_      &lt;text&gt;CRIMORG 194&lt;/text&gt;_x000d__x000a_      &lt;text&gt;JAI 1144&lt;/text&gt;_x000d__x000a_      &lt;text&gt;PARLNAT 169&lt;/text&gt;_x000d__x000a_    &lt;/textlist&gt;_x000d__x000a_  &lt;/metadata&gt;_x000d__x000a_  &lt;metadata key=&quot;md_ThirdPartyDistributionMarkers&quot; translate=&quot;false&quot;&gt;_x000d__x000a_    &lt;textlist&gt;_x000d__x000a_      &lt;text&gt;EP&lt;/tex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or_12&quot; text=&quot;Pre&amp;#537;edin&amp;#539;ia&quot; /&gt;_x000d__x000a_    &lt;/basicdatatype&gt;_x000d__x000a_  &lt;/metadata&gt;_x000d__x000a_  &lt;metadata key=&quot;md_Recipient&quot; translate=&quot;false&quot;&gt;_x000d__x000a_    &lt;basicdatatype&gt;_x000d__x000a_      &lt;recipient key=&quot;re_07&quot; text=&quot;Delega&amp;#539;iile&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gt;_x000d__x000a_      &lt;text&gt;12602/26&lt;/text&gt;_x000d__x000a_    &lt;/textlist&gt;_x000d__x000a_  &lt;/metadata&gt;_x000d__x000a_  &lt;metadata key=&quot;md_CommissionDocuments&quot; translate=&quot;false&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Raport c&amp;#259;tre Parlamentul European &amp;#537;i parlamentele na&amp;#539;ionale cu privire la lucr&amp;#259;rile Comitetului permanent pentru cooperarea opera&amp;#539;ional&amp;#259; în materie de securitate intern&amp;#259; pentru perioada ianuarie 2025-iunie 2026&quot;&gt;&amp;lt;FlowDocument FontFamily=&quot;Segoe UI&quot; FontSize=&quot;12&quot; PagePadding=&quot;2,2,2,2&quot; AllowDrop=&quot;False&quot; xmlns=&quot;http://schemas.microsoft.com/winfx/2006/xaml/presentation&quot;&amp;gt;&amp;lt;Paragraph&amp;gt;Raport c&amp;#259;tre Parlamentul European &amp;#537;i parlamentele na&amp;#539;ionale cu privire la lucr&amp;#259;rile Comitetului permanent pentru cooperarea opera&amp;#539;ional&amp;#259; în materie de securitate intern&amp;#259; pentru perioada ianuarie 2025-iunie 2026&amp;lt;/Paragraph&amp;gt;&amp;lt;/FlowDocument&amp;gt;&lt;/xaml&gt;_x000d__x000a_  &lt;/metadata&gt;_x000d__x000a_  &lt;metadata key=&quot;md_SubjectFootnote&quot; translate=&quot;false&quot;&gt;_x000d__x000a_    &lt;text&gt;&lt;/text&gt;_x000d__x000a_  &lt;/metadata&gt;_x000d__x000a_  &lt;metadata key=&quot;md_DG&quot; translate=&quot;false&quot;&gt;_x000d__x000a_    &lt;text&gt;JAI.1&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 /&gt;_x000d__x000a_  &lt;metadata key=&quot;md_Rectif_Source2_UniqueHeading&quot; /&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 /&gt;_x000d__x000a_  &lt;metadata key=&quot;md_CoverPageDocWithCouncilFooter&quot; translate=&quot;false&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translate=&quot;false&quot;&gt;_x000d__x000a_    &lt;text&gt;fals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COUNCIL"/>
    <w:docVar w:name="DW_TechnicalBlockHash" w:val="b2ba8eb991f98b7b47f4867a3b447aff9ab3d40565c5b4899af37a8d30eab166"/>
  </w:docVars>
  <w:rsids>
    <w:rsidRoot w:val="00A86151"/>
    <w:rsid w:val="000062EA"/>
    <w:rsid w:val="00052D7C"/>
    <w:rsid w:val="000A12CD"/>
    <w:rsid w:val="000A1631"/>
    <w:rsid w:val="00144FF1"/>
    <w:rsid w:val="001C16E9"/>
    <w:rsid w:val="001E64A5"/>
    <w:rsid w:val="002C5AD8"/>
    <w:rsid w:val="002F338E"/>
    <w:rsid w:val="003558E4"/>
    <w:rsid w:val="00367D83"/>
    <w:rsid w:val="003B3627"/>
    <w:rsid w:val="003C184A"/>
    <w:rsid w:val="003F170D"/>
    <w:rsid w:val="00443A64"/>
    <w:rsid w:val="0054146C"/>
    <w:rsid w:val="00546796"/>
    <w:rsid w:val="00684327"/>
    <w:rsid w:val="006E7FFC"/>
    <w:rsid w:val="007319B0"/>
    <w:rsid w:val="007D29D6"/>
    <w:rsid w:val="007F499B"/>
    <w:rsid w:val="00835A9F"/>
    <w:rsid w:val="00854E58"/>
    <w:rsid w:val="0088263D"/>
    <w:rsid w:val="00894139"/>
    <w:rsid w:val="00947C5E"/>
    <w:rsid w:val="00A0583C"/>
    <w:rsid w:val="00A166FD"/>
    <w:rsid w:val="00A43C50"/>
    <w:rsid w:val="00A86151"/>
    <w:rsid w:val="00AE0990"/>
    <w:rsid w:val="00BC26A2"/>
    <w:rsid w:val="00D3039B"/>
    <w:rsid w:val="00D93DFA"/>
    <w:rsid w:val="00DD7F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B6E4F"/>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character" w:customStyle="1" w:styleId="EntReferChar">
    <w:name w:val="EntRefer Char"/>
    <w:basedOn w:val="DefaultParagraphFont"/>
    <w:rsid w:val="00A43C50"/>
    <w:rPr>
      <w:rFonts w:ascii="Arial" w:eastAsia="Times New Roman" w:hAnsi="Arial" w:cs="Arial"/>
      <w:b/>
      <w:kern w:val="0"/>
      <w:sz w:val="23"/>
      <w:szCs w:val="20"/>
      <w:u w:color="606060"/>
      <w:lang w:val="ro-RO" w:eastAsia="ro-RO" w:bidi="ro-RO"/>
    </w:rPr>
  </w:style>
  <w:style w:type="paragraph" w:customStyle="1" w:styleId="TBDistrbMarkers">
    <w:name w:val="TBDistrbMarkers"/>
    <w:basedOn w:val="TBEntRefer"/>
    <w:qFormat/>
    <w:rsid w:val="000A12CD"/>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0A12C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0A12CD"/>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paragraph" w:customStyle="1" w:styleId="TBEntInstit">
    <w:name w:val="TBEntInstit"/>
    <w:basedOn w:val="TechnicalBlockBase"/>
    <w:link w:val="EntInstitChar"/>
    <w:rsid w:val="000A12C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0A12C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0A12C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A12C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0A12C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A12CD"/>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semiHidden/>
    <w:unhideWhenUsed/>
    <w:rsid w:val="007212BA"/>
    <w:pPr>
      <w:widowControl w:val="0"/>
      <w:numPr>
        <w:numId w:val="21"/>
      </w:numPr>
      <w:tabs>
        <w:tab w:val="clear" w:pos="643"/>
      </w:tabs>
      <w:spacing w:before="0" w:after="0" w:line="216" w:lineRule="auto"/>
      <w:ind w:left="0" w:firstLine="0"/>
      <w:contextualSpacing/>
    </w:pPr>
    <w:rPr>
      <w:rFonts w:ascii="Arial" w:eastAsia="Times New Roman" w:hAnsi="Arial" w:cs="Arial"/>
      <w:sz w:val="23"/>
      <w:szCs w:val="20"/>
    </w:rPr>
  </w:style>
  <w:style w:type="paragraph" w:customStyle="1" w:styleId="TBSousEmbargo">
    <w:name w:val="TBSousEmbargo"/>
    <w:basedOn w:val="TechnicalBlockBase"/>
    <w:qFormat/>
    <w:rsid w:val="000A12C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0A12CD"/>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0A12C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0A12C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0A12C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0A12CD"/>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0A12CD"/>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7212BA"/>
    <w:pPr>
      <w:spacing w:before="0" w:after="440"/>
      <w:jc w:val="right"/>
    </w:pPr>
    <w:rPr>
      <w:rFonts w:eastAsia="Times New Roman"/>
      <w:b/>
      <w:dstrike/>
      <w:color w:val="606060"/>
      <w:w w:val="98"/>
      <w:sz w:val="2"/>
      <w:szCs w:val="20"/>
      <w:u w:val="words" w:color="606060"/>
      <w:lang w:eastAsia="fr-BE" w:bidi="ar-SA"/>
    </w:rPr>
  </w:style>
  <w:style w:type="character" w:customStyle="1" w:styleId="TBNormalTechnicalBlockChar">
    <w:name w:val="TBNormalTechnicalBlock Char"/>
    <w:basedOn w:val="TechnicalBlockBaseChar"/>
    <w:link w:val="TBNormalTechnicalBlock"/>
    <w:rsid w:val="007212BA"/>
    <w:rPr>
      <w:rFonts w:ascii="Arial" w:eastAsia="Times New Roman" w:hAnsi="Arial" w:cs="Arial"/>
      <w:b/>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7212BA"/>
    <w:rPr>
      <w:rFonts w:ascii="Times New Roman" w:eastAsia="Times New Roman" w:hAnsi="Times New Roman" w:cs="Times New Roman"/>
      <w:b/>
      <w:i w:val="0"/>
      <w:dstrike/>
      <w:color w:val="606060"/>
      <w:w w:val="98"/>
      <w:sz w:val="2"/>
      <w:szCs w:val="20"/>
      <w:u w:val="words" w:color="606060"/>
      <w:lang w:eastAsia="fr-BE" w:bidi="ar-SA"/>
    </w:rPr>
  </w:style>
  <w:style w:type="paragraph" w:customStyle="1" w:styleId="FooterText">
    <w:name w:val="Footer Text"/>
    <w:basedOn w:val="Normal"/>
    <w:rsid w:val="007212BA"/>
    <w:pPr>
      <w:spacing w:before="0" w:after="0" w:line="240" w:lineRule="auto"/>
    </w:pPr>
    <w:rPr>
      <w:rFonts w:eastAsia="Times New Roman"/>
      <w:szCs w:val="24"/>
    </w:rPr>
  </w:style>
  <w:style w:type="character" w:styleId="PlaceholderText">
    <w:name w:val="Placeholder Text"/>
    <w:basedOn w:val="DefaultParagraphFont"/>
    <w:uiPriority w:val="99"/>
    <w:semiHidden/>
    <w:rsid w:val="007212BA"/>
    <w:rPr>
      <w:color w:val="808080"/>
    </w:rPr>
  </w:style>
  <w:style w:type="paragraph" w:styleId="NoSpacing">
    <w:name w:val="No Spacing"/>
    <w:uiPriority w:val="1"/>
    <w:qFormat/>
    <w:rsid w:val="00D04E4E"/>
    <w:pPr>
      <w:spacing w:after="0" w:line="240" w:lineRule="auto"/>
    </w:pPr>
    <w:rPr>
      <w:rFonts w:ascii="Times New Roman" w:hAnsi="Times New Roman"/>
      <w:sz w:val="24"/>
    </w:rPr>
  </w:style>
  <w:style w:type="character" w:styleId="Hyperlink">
    <w:name w:val="Hyperlink"/>
    <w:basedOn w:val="DefaultParagraphFont"/>
    <w:uiPriority w:val="99"/>
    <w:semiHidden/>
    <w:unhideWhenUsed/>
    <w:rsid w:val="00D04E4E"/>
    <w:rPr>
      <w:color w:val="0000FF"/>
      <w:u w:val="single"/>
    </w:rPr>
  </w:style>
  <w:style w:type="character" w:styleId="CommentReference">
    <w:name w:val="annotation reference"/>
    <w:basedOn w:val="DefaultParagraphFont"/>
    <w:uiPriority w:val="99"/>
    <w:semiHidden/>
    <w:unhideWhenUsed/>
    <w:rsid w:val="000A1631"/>
    <w:rPr>
      <w:sz w:val="16"/>
      <w:szCs w:val="16"/>
    </w:rPr>
  </w:style>
  <w:style w:type="paragraph" w:styleId="CommentText">
    <w:name w:val="annotation text"/>
    <w:basedOn w:val="Normal"/>
    <w:link w:val="CommentTextChar"/>
    <w:uiPriority w:val="99"/>
    <w:semiHidden/>
    <w:unhideWhenUsed/>
    <w:rsid w:val="000A1631"/>
    <w:pPr>
      <w:spacing w:line="240" w:lineRule="auto"/>
    </w:pPr>
    <w:rPr>
      <w:sz w:val="20"/>
      <w:szCs w:val="20"/>
    </w:rPr>
  </w:style>
  <w:style w:type="character" w:customStyle="1" w:styleId="CommentTextChar">
    <w:name w:val="Comment Text Char"/>
    <w:basedOn w:val="DefaultParagraphFont"/>
    <w:link w:val="CommentText"/>
    <w:uiPriority w:val="99"/>
    <w:semiHidden/>
    <w:rsid w:val="000A1631"/>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0A1631"/>
    <w:rPr>
      <w:b/>
      <w:bCs/>
    </w:rPr>
  </w:style>
  <w:style w:type="character" w:customStyle="1" w:styleId="CommentSubjectChar">
    <w:name w:val="Comment Subject Char"/>
    <w:basedOn w:val="CommentTextChar"/>
    <w:link w:val="CommentSubject"/>
    <w:uiPriority w:val="99"/>
    <w:semiHidden/>
    <w:rsid w:val="000A1631"/>
    <w:rPr>
      <w:rFonts w:ascii="Times New Roman" w:hAnsi="Times New Roman" w:cs="Times New Roman"/>
      <w:b/>
      <w:bCs/>
      <w:sz w:val="20"/>
      <w:szCs w:val="20"/>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file:///\\hdm04.consilium.eu.int\HOME\Desktop\DRAFT%2012602_26.docx" TargetMode="External"/><Relationship Id="rId26" Type="http://schemas.openxmlformats.org/officeDocument/2006/relationships/hyperlink" Target="file:///\\hdm04.consilium.eu.int\HOME\Desktop\DRAFT%2012602_26.docx" TargetMode="External"/><Relationship Id="rId39" Type="http://schemas.openxmlformats.org/officeDocument/2006/relationships/hyperlink" Target="file:///\\hdm04.consilium.eu.int\HOME\Desktop\DRAFT%2012602_26.docx" TargetMode="External"/><Relationship Id="rId21" Type="http://schemas.openxmlformats.org/officeDocument/2006/relationships/hyperlink" Target="file:///\\hdm04.consilium.eu.int\HOME\Desktop\DRAFT%2012602_26.docx" TargetMode="External"/><Relationship Id="rId34" Type="http://schemas.openxmlformats.org/officeDocument/2006/relationships/hyperlink" Target="file:///\\hdm04.consilium.eu.int\HOME\Desktop\DRAFT%2012602_26.docx" TargetMode="External"/><Relationship Id="rId42" Type="http://schemas.openxmlformats.org/officeDocument/2006/relationships/hyperlink" Target="file:///\\hdm04.consilium.eu.int\HOME\Desktop\DRAFT%2012602_26.docx" TargetMode="External"/><Relationship Id="rId47" Type="http://schemas.openxmlformats.org/officeDocument/2006/relationships/footer" Target="footer5.xml"/><Relationship Id="rId50" Type="http://schemas.openxmlformats.org/officeDocument/2006/relationships/header" Target="header7.xm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file:///\\hdm04.consilium.eu.int\HOME\Desktop\DRAFT%2012602_26.docx" TargetMode="External"/><Relationship Id="rId11" Type="http://schemas.openxmlformats.org/officeDocument/2006/relationships/header" Target="header1.xml"/><Relationship Id="rId24" Type="http://schemas.openxmlformats.org/officeDocument/2006/relationships/hyperlink" Target="file:///\\hdm04.consilium.eu.int\HOME\Desktop\DRAFT%2012602_26.docx" TargetMode="External"/><Relationship Id="rId32" Type="http://schemas.openxmlformats.org/officeDocument/2006/relationships/hyperlink" Target="file:///\\hdm04.consilium.eu.int\HOME\Desktop\DRAFT%2012602_26.docx" TargetMode="External"/><Relationship Id="rId37" Type="http://schemas.openxmlformats.org/officeDocument/2006/relationships/hyperlink" Target="file:///\\hdm04.consilium.eu.int\HOME\Desktop\DRAFT%2012602_26.docx" TargetMode="External"/><Relationship Id="rId40" Type="http://schemas.openxmlformats.org/officeDocument/2006/relationships/hyperlink" Target="file:///\\hdm04.consilium.eu.int\HOME\Desktop\DRAFT%2012602_26.docx" TargetMode="External"/><Relationship Id="rId45" Type="http://schemas.openxmlformats.org/officeDocument/2006/relationships/header" Target="header5.xml"/><Relationship Id="rId53" Type="http://schemas.openxmlformats.org/officeDocument/2006/relationships/footer" Target="footer8.xml"/><Relationship Id="rId5" Type="http://schemas.openxmlformats.org/officeDocument/2006/relationships/styles" Target="styles.xml"/><Relationship Id="rId10" Type="http://schemas.openxmlformats.org/officeDocument/2006/relationships/image" Target="media/image1.bin"/><Relationship Id="rId19" Type="http://schemas.openxmlformats.org/officeDocument/2006/relationships/hyperlink" Target="file:///\\hdm04.consilium.eu.int\HOME\Desktop\DRAFT%2012602_26.docx" TargetMode="External"/><Relationship Id="rId31" Type="http://schemas.openxmlformats.org/officeDocument/2006/relationships/hyperlink" Target="file:///\\hdm04.consilium.eu.int\HOME\Desktop\DRAFT%2012602_26.docx" TargetMode="External"/><Relationship Id="rId44" Type="http://schemas.openxmlformats.org/officeDocument/2006/relationships/header" Target="header4.xml"/><Relationship Id="rId52" Type="http://schemas.openxmlformats.org/officeDocument/2006/relationships/header" Target="head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file:///\\hdm04.consilium.eu.int\HOME\Desktop\DRAFT%2012602_26.docx" TargetMode="External"/><Relationship Id="rId27" Type="http://schemas.openxmlformats.org/officeDocument/2006/relationships/hyperlink" Target="file:///\\hdm04.consilium.eu.int\HOME\Desktop\DRAFT%2012602_26.docx" TargetMode="External"/><Relationship Id="rId30" Type="http://schemas.openxmlformats.org/officeDocument/2006/relationships/hyperlink" Target="file:///\\hdm04.consilium.eu.int\HOME\Desktop\DRAFT%2012602_26.docx" TargetMode="External"/><Relationship Id="rId35" Type="http://schemas.openxmlformats.org/officeDocument/2006/relationships/hyperlink" Target="file:///\\hdm04.consilium.eu.int\HOME\Desktop\DRAFT%2012602_26.docx" TargetMode="External"/><Relationship Id="rId43" Type="http://schemas.openxmlformats.org/officeDocument/2006/relationships/hyperlink" Target="file:///\\hdm04.consilium.eu.int\HOME\Desktop\DRAFT%2012602_26.docx" TargetMode="External"/><Relationship Id="rId48" Type="http://schemas.openxmlformats.org/officeDocument/2006/relationships/header" Target="header6.xml"/><Relationship Id="rId8" Type="http://schemas.openxmlformats.org/officeDocument/2006/relationships/footnotes" Target="footnotes.xml"/><Relationship Id="rId51"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file:///\\hdm04.consilium.eu.int\HOME\Desktop\DRAFT%2012602_26.docx" TargetMode="External"/><Relationship Id="rId25" Type="http://schemas.openxmlformats.org/officeDocument/2006/relationships/hyperlink" Target="file:///\\hdm04.consilium.eu.int\HOME\Desktop\DRAFT%2012602_26.docx" TargetMode="External"/><Relationship Id="rId33" Type="http://schemas.openxmlformats.org/officeDocument/2006/relationships/hyperlink" Target="file:///\\hdm04.consilium.eu.int\HOME\Desktop\DRAFT%2012602_26.docx" TargetMode="External"/><Relationship Id="rId38" Type="http://schemas.openxmlformats.org/officeDocument/2006/relationships/hyperlink" Target="file:///\\hdm04.consilium.eu.int\HOME\Desktop\DRAFT%2012602_26.docx" TargetMode="External"/><Relationship Id="rId46" Type="http://schemas.openxmlformats.org/officeDocument/2006/relationships/footer" Target="footer4.xml"/><Relationship Id="rId20" Type="http://schemas.openxmlformats.org/officeDocument/2006/relationships/hyperlink" Target="file:///\\hdm04.consilium.eu.int\HOME\Desktop\DRAFT%2012602_26.docx" TargetMode="External"/><Relationship Id="rId41" Type="http://schemas.openxmlformats.org/officeDocument/2006/relationships/hyperlink" Target="file:///\\hdm04.consilium.eu.int\HOME\Desktop\DRAFT%2012602_26.doc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file:///\\hdm04.consilium.eu.int\HOME\Desktop\DRAFT%2012602_26.docx" TargetMode="External"/><Relationship Id="rId28" Type="http://schemas.openxmlformats.org/officeDocument/2006/relationships/hyperlink" Target="file:///\\hdm04.consilium.eu.int\HOME\Desktop\DRAFT%2012602_26.docx" TargetMode="External"/><Relationship Id="rId36" Type="http://schemas.openxmlformats.org/officeDocument/2006/relationships/hyperlink" Target="file:///\\hdm04.consilium.eu.int\HOME\Desktop\DRAFT%2012602_26.docx" TargetMode="External"/><Relationship Id="rId49"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268C59-0079-446B-80FF-02D228B0F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974B9C0-AD37-4DA1-A6D1-34F8D07BCE45}">
  <ds:schemaRefs>
    <ds:schemaRef ds:uri="http://schemas.microsoft.com/sharepoint/v3/contenttype/forms"/>
  </ds:schemaRefs>
</ds:datastoreItem>
</file>

<file path=customXml/itemProps3.xml><?xml version="1.0" encoding="utf-8"?>
<ds:datastoreItem xmlns:ds="http://schemas.openxmlformats.org/officeDocument/2006/customXml" ds:itemID="{FB1BFBEF-44D9-43B5-BA53-837A6A6F52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DW_COUNCIL.dotm</Template>
  <TotalTime>1</TotalTime>
  <Pages>22</Pages>
  <Words>6682</Words>
  <Characters>38357</Characters>
  <Application>Microsoft Office Word</Application>
  <DocSecurity>0</DocSecurity>
  <Lines>618</Lines>
  <Paragraphs>191</Paragraphs>
  <ScaleCrop>false</ScaleCrop>
  <Company/>
  <LinksUpToDate>false</LinksUpToDate>
  <CharactersWithSpaces>44848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JOVER BUSTILLO Vanessa</dc:creator>
  <cp:keywords/>
  <dc:description/>
  <cp:lastModifiedBy>STROESCU Silviu-Octavian</cp:lastModifiedBy>
  <cp:revision>3</cp:revision>
  <dcterms:created xsi:type="dcterms:W3CDTF">2026-09-24T09:50:00Z</dcterms:created>
  <dcterms:modified xsi:type="dcterms:W3CDTF">2026-09-24T09:57:00Z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2026-09-16T15:05:48Z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0x0101007818E9B9B6B6C74E848735DCDD5F12C9</vt:lpwstr>
  </property>
</Properties>
</file>