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eastAsia="en-US"/>
        </w:rPr>
        <w:alias w:val="TechnicalBlock"/>
        <w:tag w:val="LCK:TechnicalBlock"/>
        <w:id w:val="-485475644"/>
        <w:lock w:val="contentLocked"/>
      </w:sdtPr>
      <w:sdtEndPr>
        <w:rPr>
          <w:szCs w:val="22"/>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B35CF3" w:rsidRPr="005F5A6B" w14:paraId="405C3C15" w14:textId="77777777" w:rsidTr="00EE7DE6">
            <w:trPr>
              <w:cantSplit/>
              <w:trHeight w:val="510"/>
              <w:jc w:val="center"/>
            </w:trPr>
            <w:tc>
              <w:tcPr>
                <w:tcW w:w="11344" w:type="dxa"/>
                <w:gridSpan w:val="6"/>
                <w:vAlign w:val="bottom"/>
              </w:tcPr>
              <w:p w14:paraId="4CD5C7BB" w14:textId="485D5967" w:rsidR="00B35CF3" w:rsidRPr="005F5A6B" w:rsidRDefault="00B35CF3" w:rsidP="00EE7DE6">
                <w:pPr>
                  <w:pStyle w:val="TBNormalTechnicalBlock"/>
                  <w:jc w:val="right"/>
                  <w:rPr>
                    <w:b w:val="0"/>
                    <w:bCs/>
                  </w:rPr>
                </w:pPr>
              </w:p>
            </w:tc>
          </w:tr>
          <w:tr w:rsidR="00B35CF3" w:rsidRPr="006720F9" w14:paraId="1C73204F" w14:textId="77777777" w:rsidTr="00296074">
            <w:trPr>
              <w:cantSplit/>
              <w:trHeight w:val="567"/>
              <w:jc w:val="center"/>
            </w:trPr>
            <w:tc>
              <w:tcPr>
                <w:tcW w:w="1820" w:type="dxa"/>
                <w:gridSpan w:val="2"/>
                <w:vAlign w:val="bottom"/>
              </w:tcPr>
              <w:p w14:paraId="2D79C1BB" w14:textId="77777777" w:rsidR="00B35CF3" w:rsidRPr="006C5D93" w:rsidRDefault="00B35CF3" w:rsidP="003C6CD1">
                <w:pPr>
                  <w:pStyle w:val="TBEntInstit"/>
                </w:pPr>
                <w:r w:rsidRPr="006C5D93">
                  <w:rPr>
                    <w:noProof/>
                  </w:rPr>
                  <w:drawing>
                    <wp:inline distT="0" distB="0" distL="0" distR="0" wp14:anchorId="0935F9DC" wp14:editId="76BF2A6F">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3309DD14" w14:textId="77777777" w:rsidR="00B35CF3" w:rsidRPr="008414C3" w:rsidRDefault="00B35CF3" w:rsidP="005125B1">
                <w:pPr>
                  <w:pStyle w:val="TBInstitution"/>
                </w:pPr>
                <w:r>
                  <w:t>Consiliul</w:t>
                </w:r>
                <w:r>
                  <w:br/>
                  <w:t>Uniunii Europene</w:t>
                </w:r>
              </w:p>
            </w:tc>
          </w:tr>
          <w:tr w:rsidR="00B35CF3" w:rsidRPr="006720F9" w14:paraId="358CBC13" w14:textId="77777777" w:rsidTr="00D5364D">
            <w:trPr>
              <w:gridBefore w:val="2"/>
              <w:wBefore w:w="1820" w:type="dxa"/>
              <w:cantSplit/>
              <w:trHeight w:val="1191"/>
              <w:jc w:val="center"/>
            </w:trPr>
            <w:tc>
              <w:tcPr>
                <w:tcW w:w="4558" w:type="dxa"/>
                <w:gridSpan w:val="2"/>
                <w:tcMar>
                  <w:top w:w="28" w:type="dxa"/>
                  <w:left w:w="85" w:type="dxa"/>
                </w:tcMar>
              </w:tcPr>
              <w:p w14:paraId="07AB3A97" w14:textId="77777777" w:rsidR="00B35CF3" w:rsidRPr="00327887" w:rsidRDefault="00B35CF3" w:rsidP="00762DBC">
                <w:pPr>
                  <w:pStyle w:val="TBInstitutionSubwordmark"/>
                </w:pPr>
              </w:p>
            </w:tc>
            <w:tc>
              <w:tcPr>
                <w:tcW w:w="147" w:type="dxa"/>
                <w:vAlign w:val="bottom"/>
              </w:tcPr>
              <w:p w14:paraId="4EF355B2" w14:textId="77777777" w:rsidR="00B35CF3" w:rsidRPr="00093255" w:rsidRDefault="00B35CF3" w:rsidP="00D5364D">
                <w:pPr>
                  <w:pStyle w:val="TBNormalTechnicalBlock"/>
                  <w:jc w:val="right"/>
                  <w:rPr>
                    <w:b w:val="0"/>
                    <w:bCs/>
                  </w:rPr>
                </w:pPr>
              </w:p>
            </w:tc>
            <w:tc>
              <w:tcPr>
                <w:tcW w:w="4819" w:type="dxa"/>
                <w:vMerge w:val="restart"/>
                <w:tcMar>
                  <w:top w:w="0" w:type="dxa"/>
                </w:tcMar>
              </w:tcPr>
              <w:p w14:paraId="682B7942" w14:textId="77777777" w:rsidR="00B35CF3" w:rsidRPr="0012121B" w:rsidRDefault="00B35CF3" w:rsidP="001A5B8F">
                <w:pPr>
                  <w:pStyle w:val="TBNormalTechnicalBlock"/>
                </w:pPr>
                <w:r>
                  <w:t>Bruxelles, 17 februarie 2026</w:t>
                </w:r>
              </w:p>
              <w:p w14:paraId="66D7D2E2" w14:textId="77777777" w:rsidR="00B35CF3" w:rsidRPr="00871A20" w:rsidRDefault="00B35CF3" w:rsidP="009024D2">
                <w:pPr>
                  <w:pStyle w:val="TBNormalTechnicalBlock"/>
                  <w:rPr>
                    <w:bCs/>
                  </w:rPr>
                </w:pPr>
                <w:r w:rsidRPr="00E60683">
                  <w:rPr>
                    <w:bCs/>
                  </w:rPr>
                  <w:t xml:space="preserve">(OR. </w:t>
                </w:r>
                <w:r>
                  <w:rPr>
                    <w:bCs/>
                  </w:rPr>
                  <w:t>en</w:t>
                </w:r>
                <w:r w:rsidRPr="00871A20">
                  <w:rPr>
                    <w:bCs/>
                  </w:rPr>
                  <w:t>)</w:t>
                </w:r>
              </w:p>
              <w:p w14:paraId="00C21640" w14:textId="77777777" w:rsidR="00B35CF3" w:rsidRPr="00871A20" w:rsidRDefault="00B35CF3" w:rsidP="00871A20">
                <w:pPr>
                  <w:pStyle w:val="TBNormalTechnicalBlock"/>
                  <w:jc w:val="right"/>
                </w:pPr>
              </w:p>
              <w:p w14:paraId="30DC492D" w14:textId="77777777" w:rsidR="00B35CF3" w:rsidRPr="00871A20" w:rsidRDefault="00B35CF3" w:rsidP="00871A20">
                <w:pPr>
                  <w:pStyle w:val="TBNormalTechnicalBlock"/>
                  <w:jc w:val="right"/>
                </w:pPr>
              </w:p>
              <w:p w14:paraId="0DF01879" w14:textId="77777777" w:rsidR="00B35CF3" w:rsidRPr="00F65A71" w:rsidRDefault="00B35CF3" w:rsidP="009024D2">
                <w:pPr>
                  <w:pStyle w:val="TBNormalTechnicalBlock"/>
                  <w:rPr>
                    <w:bCs/>
                    <w:lang w:val="en-US"/>
                  </w:rPr>
                </w:pPr>
                <w:r>
                  <w:rPr>
                    <w:bCs/>
                    <w:lang w:val="en-US"/>
                  </w:rPr>
                  <w:t>14144/1</w:t>
                </w:r>
                <w:r w:rsidRPr="00F65A71">
                  <w:rPr>
                    <w:bCs/>
                    <w:lang w:val="en-US"/>
                  </w:rPr>
                  <w:t>/</w:t>
                </w:r>
                <w:r>
                  <w:rPr>
                    <w:bCs/>
                    <w:lang w:val="en-US"/>
                  </w:rPr>
                  <w:t>25</w:t>
                </w:r>
              </w:p>
              <w:p w14:paraId="4EE77FC2" w14:textId="77777777" w:rsidR="00B35CF3" w:rsidRPr="00F65A71" w:rsidRDefault="00B35CF3" w:rsidP="009024D2">
                <w:pPr>
                  <w:pStyle w:val="TBNormalTechnicalBlock"/>
                  <w:rPr>
                    <w:lang w:val="en-US"/>
                  </w:rPr>
                </w:pPr>
                <w:r>
                  <w:rPr>
                    <w:lang w:val="en-US"/>
                  </w:rPr>
                  <w:t>REV 1</w:t>
                </w:r>
              </w:p>
              <w:p w14:paraId="221D149A" w14:textId="77777777" w:rsidR="00B35CF3" w:rsidRPr="00F65A71" w:rsidRDefault="00B35CF3" w:rsidP="00871A20">
                <w:pPr>
                  <w:pStyle w:val="TBNormalTechnicalBlock"/>
                  <w:jc w:val="right"/>
                  <w:rPr>
                    <w:lang w:val="en-US"/>
                  </w:rPr>
                </w:pPr>
              </w:p>
              <w:p w14:paraId="50AC0EF1" w14:textId="77777777" w:rsidR="00B35CF3" w:rsidRDefault="00B35CF3" w:rsidP="009024D2">
                <w:pPr>
                  <w:pStyle w:val="TBNormalTechnicalBlock"/>
                </w:pPr>
              </w:p>
              <w:p w14:paraId="73C619D3" w14:textId="77777777" w:rsidR="00B35CF3" w:rsidRDefault="00B35CF3" w:rsidP="00871A20">
                <w:pPr>
                  <w:pStyle w:val="TBNormalTechnicalBlock"/>
                  <w:jc w:val="right"/>
                </w:pPr>
              </w:p>
              <w:p w14:paraId="11D9B189" w14:textId="77777777" w:rsidR="00B35CF3" w:rsidRDefault="00B35CF3">
                <w:pPr>
                  <w:pStyle w:val="TBEntRefer"/>
                  <w:tabs>
                    <w:tab w:val="left" w:pos="2265"/>
                  </w:tabs>
                </w:pPr>
                <w:r>
                  <w:t>ENV 1039</w:t>
                </w:r>
              </w:p>
              <w:p w14:paraId="677C8E3D" w14:textId="77777777" w:rsidR="00B35CF3" w:rsidRDefault="00B35CF3">
                <w:pPr>
                  <w:pStyle w:val="TBEntRefer"/>
                  <w:tabs>
                    <w:tab w:val="left" w:pos="2265"/>
                  </w:tabs>
                </w:pPr>
                <w:r>
                  <w:t>CLIMA 445</w:t>
                </w:r>
              </w:p>
              <w:p w14:paraId="3069A037" w14:textId="77777777" w:rsidR="00B35CF3" w:rsidRDefault="00B35CF3">
                <w:pPr>
                  <w:pStyle w:val="TBEntRefer"/>
                  <w:tabs>
                    <w:tab w:val="left" w:pos="2265"/>
                  </w:tabs>
                </w:pPr>
                <w:r>
                  <w:t>AGRI 499</w:t>
                </w:r>
              </w:p>
              <w:p w14:paraId="5F342097" w14:textId="77777777" w:rsidR="00B35CF3" w:rsidRDefault="00B35CF3">
                <w:pPr>
                  <w:pStyle w:val="TBEntRefer"/>
                  <w:tabs>
                    <w:tab w:val="left" w:pos="2265"/>
                  </w:tabs>
                </w:pPr>
                <w:r>
                  <w:t>FORETS 89</w:t>
                </w:r>
              </w:p>
              <w:p w14:paraId="6DD32D0D" w14:textId="77777777" w:rsidR="00B35CF3" w:rsidRDefault="00B35CF3">
                <w:pPr>
                  <w:pStyle w:val="TBEntRefer"/>
                  <w:tabs>
                    <w:tab w:val="left" w:pos="2265"/>
                  </w:tabs>
                </w:pPr>
                <w:r>
                  <w:t>ENER 534</w:t>
                </w:r>
              </w:p>
              <w:p w14:paraId="597430A6" w14:textId="77777777" w:rsidR="00B35CF3" w:rsidRDefault="00B35CF3">
                <w:pPr>
                  <w:pStyle w:val="TBEntRefer"/>
                  <w:tabs>
                    <w:tab w:val="left" w:pos="2265"/>
                  </w:tabs>
                </w:pPr>
                <w:r>
                  <w:t>TRANS 474</w:t>
                </w:r>
              </w:p>
              <w:p w14:paraId="597B43EB" w14:textId="77777777" w:rsidR="00B35CF3" w:rsidRDefault="00B35CF3">
                <w:pPr>
                  <w:pStyle w:val="TBEntRefer"/>
                  <w:tabs>
                    <w:tab w:val="left" w:pos="2265"/>
                  </w:tabs>
                </w:pPr>
                <w:r>
                  <w:t>CODEC 1560</w:t>
                </w:r>
              </w:p>
              <w:p w14:paraId="68E9729F" w14:textId="77777777" w:rsidR="00B35CF3" w:rsidRPr="00073AB8" w:rsidRDefault="00B35CF3" w:rsidP="00DF51D5">
                <w:pPr>
                  <w:pStyle w:val="TBEntRefer"/>
                  <w:tabs>
                    <w:tab w:val="left" w:pos="2262"/>
                  </w:tabs>
                  <w:rPr>
                    <w:sz w:val="4"/>
                    <w:szCs w:val="4"/>
                  </w:rPr>
                </w:pPr>
              </w:p>
              <w:p w14:paraId="5EDF3F50" w14:textId="77777777" w:rsidR="00B35CF3" w:rsidRPr="00AF13E4" w:rsidRDefault="00B35CF3" w:rsidP="00AF13E4">
                <w:pPr>
                  <w:pStyle w:val="TBDistrbMarkers"/>
                </w:pPr>
                <w:r>
                  <w:t>PARLNAT</w:t>
                </w:r>
              </w:p>
            </w:tc>
          </w:tr>
          <w:tr w:rsidR="00B35CF3" w:rsidRPr="006720F9" w14:paraId="5B50FBCC" w14:textId="77777777" w:rsidTr="00EE7DE6">
            <w:trPr>
              <w:gridBefore w:val="1"/>
              <w:wBefore w:w="850" w:type="dxa"/>
              <w:cantSplit/>
              <w:trHeight w:val="837"/>
              <w:jc w:val="center"/>
            </w:trPr>
            <w:tc>
              <w:tcPr>
                <w:tcW w:w="3832" w:type="dxa"/>
                <w:gridSpan w:val="2"/>
                <w:vAlign w:val="center"/>
              </w:tcPr>
              <w:p w14:paraId="731800D6" w14:textId="77777777" w:rsidR="00B35CF3" w:rsidRDefault="00B35CF3">
                <w:pPr>
                  <w:pStyle w:val="TBEntReferNew"/>
                  <w:pBdr>
                    <w:top w:val="double" w:sz="6" w:space="2" w:color="auto"/>
                    <w:bottom w:val="double" w:sz="6" w:space="2" w:color="auto"/>
                  </w:pBdr>
                  <w:rPr>
                    <w:sz w:val="23"/>
                    <w:szCs w:val="23"/>
                  </w:rPr>
                </w:pPr>
                <w:r>
                  <w:rPr>
                    <w:sz w:val="23"/>
                    <w:szCs w:val="23"/>
                  </w:rPr>
                  <w:t>Dosar interinstituțional:</w:t>
                </w:r>
              </w:p>
              <w:p w14:paraId="7AE50D12" w14:textId="77777777" w:rsidR="00B35CF3" w:rsidRDefault="00B35CF3">
                <w:pPr>
                  <w:pStyle w:val="TBEntReferNew"/>
                  <w:pBdr>
                    <w:top w:val="double" w:sz="6" w:space="2" w:color="auto"/>
                    <w:bottom w:val="double" w:sz="6" w:space="2" w:color="auto"/>
                  </w:pBdr>
                  <w:rPr>
                    <w:sz w:val="23"/>
                    <w:szCs w:val="23"/>
                  </w:rPr>
                </w:pPr>
                <w:r>
                  <w:rPr>
                    <w:sz w:val="23"/>
                    <w:szCs w:val="23"/>
                  </w:rPr>
                  <w:t>2022/0344(COD)</w:t>
                </w:r>
              </w:p>
            </w:tc>
            <w:tc>
              <w:tcPr>
                <w:tcW w:w="1843" w:type="dxa"/>
                <w:gridSpan w:val="2"/>
                <w:vMerge w:val="restart"/>
                <w:vAlign w:val="bottom"/>
              </w:tcPr>
              <w:p w14:paraId="40336B24" w14:textId="77777777" w:rsidR="00B35CF3" w:rsidRPr="008F6E25" w:rsidRDefault="00B35CF3" w:rsidP="00EE7DE6">
                <w:pPr>
                  <w:pStyle w:val="TBNormalTechnicalBlock"/>
                  <w:jc w:val="right"/>
                  <w:rPr>
                    <w:b w:val="0"/>
                    <w:bCs/>
                  </w:rPr>
                </w:pPr>
              </w:p>
            </w:tc>
            <w:tc>
              <w:tcPr>
                <w:tcW w:w="4819" w:type="dxa"/>
                <w:vMerge/>
              </w:tcPr>
              <w:p w14:paraId="0FA22ACF" w14:textId="77777777" w:rsidR="00B35CF3" w:rsidRPr="00F26BF3" w:rsidRDefault="00B35CF3">
                <w:pPr>
                  <w:pStyle w:val="TBEntRefer"/>
                  <w:rPr>
                    <w:szCs w:val="23"/>
                  </w:rPr>
                </w:pPr>
              </w:p>
            </w:tc>
          </w:tr>
          <w:tr w:rsidR="00B35CF3" w:rsidRPr="007D65B2" w14:paraId="09D92F7A" w14:textId="77777777" w:rsidTr="00327887">
            <w:trPr>
              <w:gridBefore w:val="1"/>
              <w:wBefore w:w="850" w:type="dxa"/>
              <w:cantSplit/>
              <w:trHeight w:val="998"/>
              <w:jc w:val="center"/>
            </w:trPr>
            <w:tc>
              <w:tcPr>
                <w:tcW w:w="3832" w:type="dxa"/>
                <w:gridSpan w:val="2"/>
                <w:vAlign w:val="center"/>
              </w:tcPr>
              <w:p w14:paraId="4CD8AE94" w14:textId="77777777" w:rsidR="00B35CF3" w:rsidRPr="007D65B2" w:rsidRDefault="00B35CF3" w:rsidP="0058695F">
                <w:pPr>
                  <w:pStyle w:val="TBSousEmbargo"/>
                </w:pPr>
              </w:p>
            </w:tc>
            <w:tc>
              <w:tcPr>
                <w:tcW w:w="1843" w:type="dxa"/>
                <w:gridSpan w:val="2"/>
                <w:vMerge/>
                <w:vAlign w:val="center"/>
              </w:tcPr>
              <w:p w14:paraId="2FAE4C11" w14:textId="77777777" w:rsidR="00B35CF3" w:rsidRPr="008F6E25" w:rsidRDefault="00B35CF3" w:rsidP="008F6E25">
                <w:pPr>
                  <w:pStyle w:val="TBNormalTechnicalBlock"/>
                  <w:rPr>
                    <w:b w:val="0"/>
                    <w:bCs/>
                  </w:rPr>
                </w:pPr>
              </w:p>
            </w:tc>
            <w:tc>
              <w:tcPr>
                <w:tcW w:w="4819" w:type="dxa"/>
                <w:vMerge/>
              </w:tcPr>
              <w:p w14:paraId="4CA8FC05" w14:textId="77777777" w:rsidR="00B35CF3" w:rsidRPr="007D65B2" w:rsidRDefault="00B35CF3">
                <w:pPr>
                  <w:pStyle w:val="TBEntRefer"/>
                  <w:rPr>
                    <w:szCs w:val="23"/>
                  </w:rPr>
                </w:pPr>
              </w:p>
            </w:tc>
          </w:tr>
        </w:tbl>
        <w:p w14:paraId="6BFEFEC2" w14:textId="77777777" w:rsidR="00B35CF3" w:rsidRPr="007D65B2" w:rsidRDefault="00B35CF3"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B35CF3" w:rsidRPr="008C093D" w14:paraId="465B4272" w14:textId="77777777" w:rsidTr="000E0DFC">
            <w:trPr>
              <w:jc w:val="center"/>
            </w:trPr>
            <w:tc>
              <w:tcPr>
                <w:tcW w:w="9640" w:type="dxa"/>
                <w:gridSpan w:val="2"/>
              </w:tcPr>
              <w:p w14:paraId="30805575" w14:textId="77777777" w:rsidR="00B35CF3" w:rsidRPr="008C093D" w:rsidRDefault="00B35CF3" w:rsidP="004F2640">
                <w:pPr>
                  <w:pStyle w:val="TBHeadingTable"/>
                </w:pPr>
                <w:r>
                  <w:t>ACTE LEGISLATIVE ȘI ALTE INSTRUMENTE</w:t>
                </w:r>
              </w:p>
            </w:tc>
          </w:tr>
          <w:tr w:rsidR="00B35CF3" w:rsidRPr="00F13D39" w14:paraId="7C8689E2" w14:textId="77777777" w:rsidTr="00B511A2">
            <w:trPr>
              <w:jc w:val="center"/>
            </w:trPr>
            <w:tc>
              <w:tcPr>
                <w:tcW w:w="1985" w:type="dxa"/>
                <w:tcBorders>
                  <w:top w:val="single" w:sz="4" w:space="0" w:color="auto"/>
                  <w:bottom w:val="single" w:sz="4" w:space="0" w:color="auto"/>
                </w:tcBorders>
              </w:tcPr>
              <w:p w14:paraId="3610DA32" w14:textId="77777777" w:rsidR="00B35CF3" w:rsidRPr="00F13D39" w:rsidRDefault="00B35CF3" w:rsidP="00F13D39">
                <w:pPr>
                  <w:pStyle w:val="TBSubjectTable"/>
                </w:pPr>
                <w:r>
                  <w:t>Subiect:</w:t>
                </w:r>
              </w:p>
            </w:tc>
            <w:tc>
              <w:tcPr>
                <w:tcW w:w="7660" w:type="dxa"/>
                <w:tcBorders>
                  <w:top w:val="single" w:sz="4" w:space="0" w:color="auto"/>
                  <w:bottom w:val="single" w:sz="4" w:space="0" w:color="auto"/>
                </w:tcBorders>
              </w:tcPr>
              <w:p w14:paraId="3F8F6E48" w14:textId="77777777" w:rsidR="00B35CF3" w:rsidRPr="00F13D39" w:rsidRDefault="00B35CF3" w:rsidP="00A56B75">
                <w:pPr>
                  <w:pStyle w:val="TBSubjectText"/>
                </w:pPr>
                <w:bookmarkStart w:id="0" w:name="SplitParasInCell_1"/>
                <w:bookmarkEnd w:id="0"/>
                <w:r>
                  <w:t>Poziție în primă lectură a Consiliului în vederea adoptării DIRECTIVEI PARLAMENTULUI EUROPEAN ȘI A CONSILIULUI de modificare a Directivei 2000/60/CE de stabilire a unui cadru de politică comunitară în domeniul apei, a Directivei 2006/118/CE privind protecția apelor subterane împotriva poluării și a deteriorării și a Directivei 2008/105/CE privind standardele de calitate a mediului în domeniul apei</w:t>
                </w:r>
                <w:r>
                  <w:br/>
                  <w:t>- Adoptată de Consiliu la 17 februarie 2026</w:t>
                </w:r>
              </w:p>
            </w:tc>
          </w:tr>
        </w:tbl>
        <w:p w14:paraId="5064991D" w14:textId="77777777" w:rsidR="00B35CF3" w:rsidRPr="00F751C6" w:rsidRDefault="00F470FA" w:rsidP="00F751C6">
          <w:pPr>
            <w:spacing w:before="20" w:after="240" w:line="20" w:lineRule="exact"/>
            <w:rPr>
              <w:sz w:val="2"/>
              <w:szCs w:val="2"/>
            </w:rPr>
          </w:pPr>
        </w:p>
      </w:sdtContent>
    </w:sdt>
    <w:p w14:paraId="357DFCA3" w14:textId="77777777" w:rsidR="001D2FF1" w:rsidRPr="00602AA0" w:rsidRDefault="001D2FF1">
      <w:pPr>
        <w:sectPr w:rsidR="001D2FF1" w:rsidRPr="00602AA0" w:rsidSect="00B35CF3">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p>
    <w:p w14:paraId="4F40E8C1" w14:textId="77777777" w:rsidR="00647D0C" w:rsidRPr="00A61195" w:rsidRDefault="00647D0C" w:rsidP="00A61195">
      <w:pPr>
        <w:pStyle w:val="Typedudocument"/>
        <w:rPr>
          <w:bCs/>
        </w:rPr>
      </w:pPr>
      <w:r w:rsidRPr="00A61195">
        <w:lastRenderedPageBreak/>
        <w:t xml:space="preserve">DIRECTIVA (UE) …/… </w:t>
      </w:r>
      <w:r w:rsidRPr="00A61195">
        <w:br/>
        <w:t>PARLAMENTULUI EUROPEAN ȘI A CONSILIULUI</w:t>
      </w:r>
    </w:p>
    <w:p w14:paraId="082E0A5C" w14:textId="77777777" w:rsidR="00647D0C" w:rsidRPr="00A61195" w:rsidRDefault="00647D0C" w:rsidP="00A61195">
      <w:pPr>
        <w:pStyle w:val="Datedadoption"/>
        <w:rPr>
          <w:bCs/>
        </w:rPr>
      </w:pPr>
      <w:r w:rsidRPr="00A61195">
        <w:t>din …</w:t>
      </w:r>
    </w:p>
    <w:p w14:paraId="69502185" w14:textId="69F442A2" w:rsidR="00647D0C" w:rsidRPr="00A61195" w:rsidRDefault="00647D0C" w:rsidP="00A61195">
      <w:pPr>
        <w:pStyle w:val="Titreobjet"/>
        <w:rPr>
          <w:bCs/>
        </w:rPr>
      </w:pPr>
      <w:r w:rsidRPr="00A61195">
        <w:t xml:space="preserve">de modificare a Directivei 2000/60/CE de stabilire a unui cadru </w:t>
      </w:r>
      <w:r w:rsidR="009B37F7" w:rsidRPr="00A61195">
        <w:br/>
      </w:r>
      <w:r w:rsidRPr="00A61195">
        <w:t xml:space="preserve">de politică comunitară în domeniul apei, </w:t>
      </w:r>
      <w:r w:rsidR="009B37F7" w:rsidRPr="00A61195">
        <w:br/>
      </w:r>
      <w:r w:rsidRPr="00A61195">
        <w:t xml:space="preserve">a Directivei 2006/118/CE privind protecția apelor subterane </w:t>
      </w:r>
      <w:r w:rsidR="009B37F7" w:rsidRPr="00A61195">
        <w:br/>
      </w:r>
      <w:r w:rsidRPr="00A61195">
        <w:t xml:space="preserve">împotriva poluării și a deteriorării </w:t>
      </w:r>
      <w:r w:rsidR="009B37F7" w:rsidRPr="00A61195">
        <w:br/>
      </w:r>
      <w:r w:rsidRPr="00A61195">
        <w:t xml:space="preserve">și a Directivei 2008/105/CE privind standardele de calitate a mediului </w:t>
      </w:r>
      <w:r w:rsidR="009B37F7" w:rsidRPr="00A61195">
        <w:br/>
      </w:r>
      <w:r w:rsidRPr="00A61195">
        <w:t>în domeniul apei</w:t>
      </w:r>
    </w:p>
    <w:p w14:paraId="4222CAB3" w14:textId="77777777" w:rsidR="00647D0C" w:rsidRPr="00A61195" w:rsidRDefault="00647D0C" w:rsidP="00A61195">
      <w:pPr>
        <w:pStyle w:val="Sous-titreobjet"/>
        <w:rPr>
          <w:bCs/>
        </w:rPr>
      </w:pPr>
      <w:r w:rsidRPr="00A61195">
        <w:t>(Text cu relevanță pentru SEE)</w:t>
      </w:r>
    </w:p>
    <w:p w14:paraId="4BC717A2" w14:textId="77777777" w:rsidR="00647D0C" w:rsidRPr="00A61195" w:rsidRDefault="00647D0C" w:rsidP="00A61195">
      <w:pPr>
        <w:pStyle w:val="Institutionquiagit"/>
      </w:pPr>
      <w:r w:rsidRPr="00A61195">
        <w:t>PARLAMENTUL EUROPEAN ȘI CONSILIUL UNIUNII EUROPENE,</w:t>
      </w:r>
    </w:p>
    <w:p w14:paraId="2FE27D31" w14:textId="77777777" w:rsidR="00647D0C" w:rsidRPr="00A61195" w:rsidRDefault="00647D0C" w:rsidP="00647D0C">
      <w:r w:rsidRPr="00A61195">
        <w:t>având în vedere Tratatul privind funcționarea Uniunii Europene, în special articolul 192 alineatul (1),</w:t>
      </w:r>
    </w:p>
    <w:p w14:paraId="1EE98463" w14:textId="77777777" w:rsidR="00647D0C" w:rsidRPr="00A61195" w:rsidRDefault="00647D0C" w:rsidP="00647D0C">
      <w:r w:rsidRPr="00A61195">
        <w:t>având în vedere propunerea Comisiei Europene,</w:t>
      </w:r>
    </w:p>
    <w:p w14:paraId="7F889DA8" w14:textId="77777777" w:rsidR="00647D0C" w:rsidRPr="00A61195" w:rsidRDefault="00647D0C" w:rsidP="00647D0C">
      <w:r w:rsidRPr="00A61195">
        <w:t>după transmiterea proiectului de act legislativ către parlamentele naționale,</w:t>
      </w:r>
    </w:p>
    <w:p w14:paraId="40EDBD7B" w14:textId="77777777" w:rsidR="00647D0C" w:rsidRPr="00A61195" w:rsidRDefault="00647D0C">
      <w:pPr>
        <w:spacing w:before="0" w:after="160" w:line="259" w:lineRule="auto"/>
      </w:pPr>
      <w:r w:rsidRPr="00A61195">
        <w:br w:type="page"/>
      </w:r>
    </w:p>
    <w:p w14:paraId="3715321D" w14:textId="0089C8EC" w:rsidR="00647D0C" w:rsidRPr="00A61195" w:rsidRDefault="00647D0C" w:rsidP="00647D0C">
      <w:r w:rsidRPr="00A61195">
        <w:lastRenderedPageBreak/>
        <w:t>având în vedere avizul Comitetului Economic și Social European</w:t>
      </w:r>
      <w:r w:rsidRPr="00275CA3">
        <w:rPr>
          <w:rStyle w:val="FootnoteReference"/>
        </w:rPr>
        <w:footnoteReference w:id="1"/>
      </w:r>
      <w:r w:rsidRPr="00A61195">
        <w:t>,</w:t>
      </w:r>
    </w:p>
    <w:p w14:paraId="43305495" w14:textId="274B4F83" w:rsidR="00647D0C" w:rsidRPr="00A61195" w:rsidRDefault="00647D0C" w:rsidP="00647D0C">
      <w:r w:rsidRPr="00A61195">
        <w:t>după consultarea Comitetului Regiunilor,</w:t>
      </w:r>
    </w:p>
    <w:p w14:paraId="3029ADFF" w14:textId="77777777" w:rsidR="00647D0C" w:rsidRPr="00A61195" w:rsidRDefault="00647D0C" w:rsidP="00647D0C">
      <w:r w:rsidRPr="00A61195">
        <w:t>hotărând în conformitate cu procedura legislativă ordinară</w:t>
      </w:r>
      <w:r w:rsidRPr="00275CA3">
        <w:rPr>
          <w:rStyle w:val="FootnoteReference"/>
        </w:rPr>
        <w:footnoteReference w:id="2"/>
      </w:r>
      <w:r w:rsidRPr="00A61195">
        <w:t>,</w:t>
      </w:r>
    </w:p>
    <w:p w14:paraId="4A04EF9F" w14:textId="77777777" w:rsidR="00647D0C" w:rsidRPr="00A61195" w:rsidRDefault="00647D0C" w:rsidP="00647D0C">
      <w:r w:rsidRPr="00A61195">
        <w:br w:type="page"/>
      </w:r>
    </w:p>
    <w:p w14:paraId="3A697463" w14:textId="77777777" w:rsidR="00647D0C" w:rsidRPr="00A61195" w:rsidRDefault="00647D0C" w:rsidP="00647D0C">
      <w:r w:rsidRPr="00A61195">
        <w:lastRenderedPageBreak/>
        <w:t>întrucât:</w:t>
      </w:r>
    </w:p>
    <w:p w14:paraId="7AA2DAB2" w14:textId="0F36097E" w:rsidR="00647D0C" w:rsidRPr="00A61195" w:rsidRDefault="00647D0C" w:rsidP="00A61195">
      <w:pPr>
        <w:pStyle w:val="ManualConsidrant"/>
        <w:rPr>
          <w:bCs/>
          <w:iCs/>
        </w:rPr>
      </w:pPr>
      <w:r w:rsidRPr="00A61195">
        <w:t>(1)</w:t>
      </w:r>
      <w:r w:rsidRPr="00A61195">
        <w:tab/>
        <w:t>La 28 iulie 2010, Adunarea Generală a Organizației Națiunilor Unite a recunoscut că dreptul la apă potabilă sigură și curată și la salubritate este un drept al omului esențial pentru a se profita pe deplin de viață și pentru exercitarea deplină a tuturor drepturilor omului. Pentru ca respectivul drept să fie realizat întru totul în Uniune, statele membre ar trebui să îmbunătățească accesul la apă curată și la salubritate, în special prin îmbunătățirea calității apelor de suprafață și a apelor subterane utilizate pentru captarea apei potabile prin punerea în aplicare a Directivei 2000/60/CE</w:t>
      </w:r>
      <w:r w:rsidRPr="00275CA3">
        <w:rPr>
          <w:rStyle w:val="FootnoteReference"/>
        </w:rPr>
        <w:footnoteReference w:id="3"/>
      </w:r>
      <w:r w:rsidRPr="00A61195">
        <w:t xml:space="preserve"> și prin punerea în aplicare efectivă a Directivelor (UE) 2020/2184</w:t>
      </w:r>
      <w:r w:rsidRPr="00275CA3">
        <w:rPr>
          <w:rStyle w:val="FootnoteReference"/>
        </w:rPr>
        <w:footnoteReference w:id="4"/>
      </w:r>
      <w:bookmarkStart w:id="2" w:name="DQCErrorScope0B4F5EA4096A08431E1E7AE0A8E"/>
      <w:r w:rsidRPr="00A61195">
        <w:t xml:space="preserve"> </w:t>
      </w:r>
      <w:bookmarkEnd w:id="2"/>
      <w:r w:rsidRPr="00A61195">
        <w:t>și (UE) 2024/3019</w:t>
      </w:r>
      <w:r w:rsidRPr="00275CA3">
        <w:rPr>
          <w:rStyle w:val="FootnoteReference"/>
        </w:rPr>
        <w:footnoteReference w:id="5"/>
      </w:r>
      <w:r w:rsidRPr="00A61195">
        <w:t xml:space="preserve"> ale Parlamentului European și ale Consiliului.</w:t>
      </w:r>
    </w:p>
    <w:p w14:paraId="54ACCB9C" w14:textId="77777777" w:rsidR="00647D0C" w:rsidRPr="00A61195" w:rsidRDefault="00647D0C" w:rsidP="00A61195">
      <w:pPr>
        <w:pStyle w:val="ManualConsidrant"/>
      </w:pPr>
      <w:r w:rsidRPr="00A61195">
        <w:t>(2)</w:t>
      </w:r>
      <w:r w:rsidRPr="00A61195">
        <w:tab/>
        <w:t>Poluarea chimică a apelor de suprafață și a apelor subterane reprezintă o amenințare atât pentru mediul acvatic, cu efecte cum ar fi toxicitatea acută și cronică în organismele acvatice, acumularea de poluanți în ecosistem, dispariția habitatelor și pierderea biodiversității, cât și pentru sănătatea umană. Prin stabilirea unor standarde de calitate a mediului se contribuie la punerea în aplicare a obiectivului ambițios de reducere a poluării la zero pentru un mediu fără substanțe toxice.</w:t>
      </w:r>
    </w:p>
    <w:p w14:paraId="040BFDB6" w14:textId="77777777" w:rsidR="00647D0C" w:rsidRPr="00A61195" w:rsidRDefault="00647D0C" w:rsidP="00A61195">
      <w:pPr>
        <w:pStyle w:val="ManualConsidrant"/>
      </w:pPr>
      <w:r w:rsidRPr="00A61195">
        <w:br w:type="page"/>
      </w:r>
    </w:p>
    <w:p w14:paraId="5B10E105" w14:textId="14A6E9F9" w:rsidR="00647D0C" w:rsidRPr="00A61195" w:rsidRDefault="00647D0C" w:rsidP="00A61195">
      <w:pPr>
        <w:pStyle w:val="ManualConsidrant"/>
        <w:rPr>
          <w:bCs/>
          <w:iCs/>
        </w:rPr>
      </w:pPr>
      <w:r w:rsidRPr="00A61195">
        <w:lastRenderedPageBreak/>
        <w:t>(3)</w:t>
      </w:r>
      <w:r w:rsidRPr="00A61195">
        <w:tab/>
        <w:t>Potrivit raportului Agenției Europene de Mediu intitulat „Starea apei în Europa 2024”, în</w:t>
      </w:r>
      <w:r w:rsidR="00484F04">
        <w:t> </w:t>
      </w:r>
      <w:r w:rsidRPr="00A61195">
        <w:t xml:space="preserve">2021 statele membre au raportat că aproximativ 90 % din suprafața corpurilor de apă subterană se afla într-o stare cantitativă bună și aproximativ 75 % se afla într-o stare chimică bună, în timp ce 40 % din corpurile de apă de suprafață se aflau într-o stare ecologică bună sau foarte bună, iar 38 % în stare chimică bună. Astfel cum s-a subliniat în cel de al șaptelea raport al Comisiei privind punerea în aplicare (2024), care evaluează cel de al treilea set de planuri de gestionare a bazinelor hidrografice, motivele sunt multiple. În ceea ce privește starea chimică, unele tendințe pozitive sunt mascate de contaminarea istorică, pe scară largă, cu mercur și cu alți poluanți </w:t>
      </w:r>
      <w:proofErr w:type="spellStart"/>
      <w:r w:rsidRPr="00A61195">
        <w:t>bioacumulativi</w:t>
      </w:r>
      <w:proofErr w:type="spellEnd"/>
      <w:r w:rsidRPr="00A61195">
        <w:t xml:space="preserve"> și toxici omniprezenți sau sunt eclipsate de provocări noi, emergente, în materie de poluare. Referitor la starea ecologică, s-au înregistrat unele îmbunătățiri în ceea ce privește anumite elemente calitative biologice. Cu toate acestea, râurile, lacurile și apele de coastă din Uniune sunt încă supuse unor presiuni semnificative și, chiar și atunci când se iau măsuri eficace, este posibil ca rezultatele monitorizării să nu indice progrese pe termen scurt, deoarece natura are nevoie de timp suficient pentru a se reface.</w:t>
      </w:r>
    </w:p>
    <w:p w14:paraId="3195559C" w14:textId="77777777" w:rsidR="00647D0C" w:rsidRPr="00A61195" w:rsidRDefault="00647D0C" w:rsidP="00A61195">
      <w:pPr>
        <w:rPr>
          <w:b/>
          <w:i/>
        </w:rPr>
      </w:pPr>
      <w:r w:rsidRPr="00A61195">
        <w:br w:type="page"/>
      </w:r>
    </w:p>
    <w:p w14:paraId="4901FE83" w14:textId="77777777" w:rsidR="00647D0C" w:rsidRPr="00A61195" w:rsidRDefault="00647D0C" w:rsidP="00A61195">
      <w:pPr>
        <w:pStyle w:val="ManualConsidrant"/>
        <w:rPr>
          <w:bCs/>
          <w:iCs/>
        </w:rPr>
      </w:pPr>
      <w:r w:rsidRPr="00A61195">
        <w:lastRenderedPageBreak/>
        <w:t>(4)</w:t>
      </w:r>
      <w:r w:rsidRPr="00A61195">
        <w:tab/>
        <w:t>În general, concluziile verificării adecvării din 2019 a Directivelor 2000/60/CE, 2006/118/CE</w:t>
      </w:r>
      <w:r w:rsidRPr="00275CA3">
        <w:rPr>
          <w:rStyle w:val="FootnoteReference"/>
        </w:rPr>
        <w:footnoteReference w:id="6"/>
      </w:r>
      <w:r w:rsidRPr="00A61195">
        <w:t>, 2007/60/CE</w:t>
      </w:r>
      <w:r w:rsidRPr="00275CA3">
        <w:rPr>
          <w:rStyle w:val="FootnoteReference"/>
        </w:rPr>
        <w:footnoteReference w:id="7"/>
      </w:r>
      <w:r w:rsidRPr="00A61195">
        <w:t xml:space="preserve"> și 2008/105/CE</w:t>
      </w:r>
      <w:r w:rsidRPr="00275CA3">
        <w:rPr>
          <w:rStyle w:val="FootnoteReference"/>
        </w:rPr>
        <w:footnoteReference w:id="8"/>
      </w:r>
      <w:r w:rsidRPr="00A61195">
        <w:t xml:space="preserve"> ale Parlamentului European și ale Consiliului (denumită în continuare „verificarea adecvării”) indică faptul că directivele respective sunt, în linii mari, adecvate scopului urmărit, cu unele posibilități de îmbunătățire. Concluziile arată că, până în prezent, directivele menționate au condus în general la un nivel mai ridicat de protecție a corpurilor de apă și la îmbunătățirea gestionării riscului de inundații. Cu toate acestea, ele subliniază, de asemenea, că, în prezent, mai mult de jumătate din totalul corpurilor de apă europene fac obiectul unor derogări în temeiul Directivei 2000/60/CE, ceea ce indică faptul că statele membre se confruntă cu dificultăți considerabile în ceea ce privește atingerea obiectivului privind starea bună a apelor și, în special, în ceea ce privește respectarea standardelor de calitate a mediului (SCM) pentru substanțele prioritare, în termenele stabilite. În plus, verificarea adecvării a concluzionat că ritmul lent al progreselor înregistrate în ceea ce privește atingerea obiectivelor directivelor menționate poate fi atribuit, printre altele, punerii în aplicare lente, parțial din cauza lipsei unor resurse financiare suficiente, precum și a integrării insuficiente a obiectivelor de mediu în legislația sectorială.</w:t>
      </w:r>
    </w:p>
    <w:p w14:paraId="6C8DD44F" w14:textId="77777777" w:rsidR="00647D0C" w:rsidRPr="00A61195" w:rsidRDefault="00647D0C" w:rsidP="00A61195">
      <w:r w:rsidRPr="00A61195">
        <w:br w:type="page"/>
      </w:r>
    </w:p>
    <w:p w14:paraId="3D51DED7" w14:textId="730F36AC" w:rsidR="00647D0C" w:rsidRPr="00A61195" w:rsidRDefault="00647D0C" w:rsidP="00A61195">
      <w:pPr>
        <w:pStyle w:val="ManualConsidrant"/>
        <w:rPr>
          <w:bCs/>
          <w:iCs/>
        </w:rPr>
      </w:pPr>
      <w:r w:rsidRPr="00A61195">
        <w:lastRenderedPageBreak/>
        <w:t>(5)</w:t>
      </w:r>
      <w:r w:rsidRPr="00A61195">
        <w:tab/>
        <w:t xml:space="preserve">Astfel cum s-a arătat în evaluarea Comisiei din 4 februarie 2025 privind punerea în aplicare a Directivei 2000/60/CE pe baza celui de al treilea set de planuri de gestionare a bazinelor hidrografice ale statelor membre, resursele de apă ale Uniunii sunt în continuare supuse unei presiuni puternice din cauza gestionării structurale defectuoase, a utilizării </w:t>
      </w:r>
      <w:proofErr w:type="spellStart"/>
      <w:r w:rsidRPr="00A61195">
        <w:t>nesustenabile</w:t>
      </w:r>
      <w:proofErr w:type="spellEnd"/>
      <w:r w:rsidRPr="00A61195">
        <w:t xml:space="preserve"> a terenurilor, a schimbărilor </w:t>
      </w:r>
      <w:proofErr w:type="spellStart"/>
      <w:r w:rsidRPr="00A61195">
        <w:t>hidromorfologice</w:t>
      </w:r>
      <w:proofErr w:type="spellEnd"/>
      <w:r w:rsidRPr="00A61195">
        <w:t xml:space="preserve">, a poluării, a schimbărilor climatice, a creșterii cererii de apă și a urbanizării. Cele mai semnificative presiuni asupra corpurilor de apă de suprafață din toate statele membre raportoare sunt, în ordinea descrescătoare a procentului corpurilor de apă afectate: poluarea cauzată de depunerile atmosferice, schimbările </w:t>
      </w:r>
      <w:proofErr w:type="spellStart"/>
      <w:r w:rsidRPr="00A61195">
        <w:t>hidromorfologice</w:t>
      </w:r>
      <w:proofErr w:type="spellEnd"/>
      <w:r w:rsidRPr="00A61195">
        <w:t xml:space="preserve"> care rezultă din drenajul și irigarea pentru agricultură, energia hidroelectrică, protecția împotriva inundațiilor, navigația sau aprovizionarea cu apă potabilă și poluarea cauzată de agricultură. În mod similar, cele mai mari presiuni asupra corpurilor de apă subterană sunt, în primul rând, poluarea agricolă difuză, cauzată, de exemplu, de utilizarea pesticidelor și a îngrășămintelor și, în al doilea rând, în ordine descrescătoare, captarea pentru aprovizionarea publică cu apă, pentru agricultură, pentru utilizarea industrială și în alte scopuri. Pentru asigurarea gestionării durabile și a protecției corpurilor de apă, este esențial să se răspundă respectivelor presiuni combinate. Acest lucru necesită abordări integrate care să promoveze reducerea poluării la sursă și remedierea poluării existente, refacerea ecosistemelor, adoptarea unor tehnologii eficiente de utilizare a apei și punerea în aplicare a unor practici durabile în toate sectoarele. Statele membre ar trebui să consolideze coordonarea dintre politicile privind apa și politicile sectoriale pentru a reduce impactul negativ asupra resurselor de apă și pentru a sprijini atingerea unei stări ecologice, cantitative și chimice bune, astfel cum se prevede în Directiva 2000/60/CE.</w:t>
      </w:r>
    </w:p>
    <w:p w14:paraId="08DEA597" w14:textId="77777777" w:rsidR="00647D0C" w:rsidRPr="00A61195" w:rsidRDefault="00647D0C" w:rsidP="00A61195">
      <w:r w:rsidRPr="00A61195">
        <w:br w:type="page"/>
      </w:r>
    </w:p>
    <w:p w14:paraId="60835045" w14:textId="77777777" w:rsidR="00647D0C" w:rsidRPr="00A61195" w:rsidRDefault="00647D0C" w:rsidP="00A61195">
      <w:pPr>
        <w:pStyle w:val="ManualConsidrant"/>
      </w:pPr>
      <w:r w:rsidRPr="00A61195">
        <w:lastRenderedPageBreak/>
        <w:t>(6)</w:t>
      </w:r>
      <w:r w:rsidRPr="00A61195">
        <w:tab/>
        <w:t>În temeiul articolului 191 alineatul (2) din Tratatul privind funcționarea Uniunii Europene (TFUE), politica Uniunii în domeniul mediului trebuie să se bazeze pe principiile precauției și acțiunii preventive, pe principiul remedierii, cu prioritate la sursă, a daunelor provocate mediului și pe principiul „poluatorul plătește”.</w:t>
      </w:r>
    </w:p>
    <w:p w14:paraId="28AB4CAC" w14:textId="4E6BDB6B" w:rsidR="00647D0C" w:rsidRPr="00A61195" w:rsidRDefault="00647D0C" w:rsidP="00A61195">
      <w:pPr>
        <w:pStyle w:val="ManualConsidrant"/>
        <w:rPr>
          <w:bCs/>
          <w:iCs/>
        </w:rPr>
      </w:pPr>
      <w:r w:rsidRPr="00A61195">
        <w:t>(7)</w:t>
      </w:r>
      <w:r w:rsidRPr="00A61195">
        <w:tab/>
        <w:t>În încercarea de a atinge un nivel ridicat de protecție a mediului și în punerea în aplicare a Planului de acțiune privind reducerea la zero a poluării stabilit în Comunicarea Comisiei din</w:t>
      </w:r>
      <w:r w:rsidR="00484F04">
        <w:t> </w:t>
      </w:r>
      <w:r w:rsidRPr="00A61195">
        <w:t>12</w:t>
      </w:r>
      <w:r w:rsidR="00484F04">
        <w:t> </w:t>
      </w:r>
      <w:r w:rsidRPr="00A61195">
        <w:t>mai</w:t>
      </w:r>
      <w:r w:rsidR="00484F04">
        <w:t> </w:t>
      </w:r>
      <w:r w:rsidRPr="00A61195">
        <w:t>2021 privind Calea către o planetă sănătoasă pentru toți – Plan de acțiune al UE: „Către reducerea la zero a poluării aerului, apei și solului”, Uniunea ar trebui să țină seama de diversitatea situațiilor din diferitele regiuni ale Uniunii, de impactul asupra securității alimentare, a producției alimentare și a accesibilității prețurilor alimentelor, precum și asupra unei alimentații sănătoase și durabile.</w:t>
      </w:r>
    </w:p>
    <w:p w14:paraId="4EA921A6" w14:textId="77777777" w:rsidR="00647D0C" w:rsidRPr="00A61195" w:rsidRDefault="00647D0C" w:rsidP="00A61195">
      <w:r w:rsidRPr="00A61195">
        <w:br w:type="page"/>
      </w:r>
    </w:p>
    <w:p w14:paraId="497CBBDD" w14:textId="0AC79BF5" w:rsidR="00647D0C" w:rsidRPr="00A61195" w:rsidRDefault="00647D0C" w:rsidP="00A61195">
      <w:pPr>
        <w:pStyle w:val="ManualConsidrant"/>
        <w:rPr>
          <w:bCs/>
          <w:iCs/>
        </w:rPr>
      </w:pPr>
      <w:r w:rsidRPr="00A61195">
        <w:lastRenderedPageBreak/>
        <w:t>(8)</w:t>
      </w:r>
      <w:r w:rsidRPr="00A61195">
        <w:tab/>
        <w:t>Comunicarea Comisiei din 11 decembrie 2019 privind Pactul verde european prezintă o strategie vizând asigurarea faptului că, până în 2050, economia devine neutră din punct de vedere climatic, curată și circulară, prin optimizarea gestionării resurselor și prin reducerea la minimum a poluării. Comunicarea Comisiei din 14 octombrie 2020 privind Strategia pentru promovarea sustenabilității în domeniul substanțelor chimice – Către un mediu fără substanțe toxice și Planul de acțiune privind reducerea la zero a poluării abordează în mod specific aspectele legate de poluare din cadrul Pactului verde european. Alte politici deosebit de relevante și complementare sunt prezentate în Comunicările Comisiei din</w:t>
      </w:r>
      <w:r w:rsidR="00484F04">
        <w:t> </w:t>
      </w:r>
      <w:r w:rsidRPr="00A61195">
        <w:t>16</w:t>
      </w:r>
      <w:r w:rsidR="00484F04">
        <w:t> </w:t>
      </w:r>
      <w:r w:rsidRPr="00A61195">
        <w:t>ianuarie 2018 privind o strategie europeană pentru materialele plastice într-o economie circulară, din 19 februarie 2020 privind conturarea viitorului digital al Europei, din</w:t>
      </w:r>
      <w:r w:rsidR="00484F04">
        <w:t> </w:t>
      </w:r>
      <w:r w:rsidRPr="00A61195">
        <w:t>19</w:t>
      </w:r>
      <w:r w:rsidR="00484F04">
        <w:t> </w:t>
      </w:r>
      <w:r w:rsidRPr="00A61195">
        <w:t>februarie 2020 privind o strategie europeană privind datele, din 20 mai 2020 privind o strategie „De la fermă la consumator” pentru un sistem alimentar echitabil, sănătos și ecologic, din 20 mai 2020 privind Strategia UE privind biodiversitatea pentru 2030 – Readucerea naturii în viețile noastre, din 25 noiembrie 2020 privind Strategia farmaceutică pentru Europa, din 17 noiembrie 2021 privind Strategia UE privind solul pentru 2030 – Valorificarea beneficiilor solurilor sănătoase pentru ființele umane, alimentație, natură și climă și din 4 iunie 2025 privind o strategie europeană pentru reziliența în domeniul apei.</w:t>
      </w:r>
    </w:p>
    <w:p w14:paraId="1CE5B90A" w14:textId="77777777" w:rsidR="00647D0C" w:rsidRPr="00A61195" w:rsidRDefault="00647D0C" w:rsidP="00A61195">
      <w:pPr>
        <w:pStyle w:val="ManualConsidrant"/>
        <w:rPr>
          <w:bCs/>
          <w:iCs/>
        </w:rPr>
      </w:pPr>
      <w:r w:rsidRPr="00A61195">
        <w:t>(9)</w:t>
      </w:r>
      <w:r w:rsidRPr="00A61195">
        <w:tab/>
        <w:t>Obiectivele de a atinge o „stare bună a corpurilor de apă” și de a asigura disponibilitatea apei sunt transversale și adesea nu sunt urmărite într-un mod suficient de coerent. Gestionarea durabilă a apei ar trebui să fie integrată în toate politicile Uniunii privind sectoarele consumatoare de apă.</w:t>
      </w:r>
    </w:p>
    <w:p w14:paraId="33F87419" w14:textId="77777777" w:rsidR="00647D0C" w:rsidRPr="00A61195" w:rsidRDefault="00647D0C" w:rsidP="00A61195">
      <w:r w:rsidRPr="00A61195">
        <w:br w:type="page"/>
      </w:r>
    </w:p>
    <w:p w14:paraId="5D8AB726" w14:textId="50006569" w:rsidR="00647D0C" w:rsidRPr="00A61195" w:rsidRDefault="00647D0C" w:rsidP="00A61195">
      <w:pPr>
        <w:pStyle w:val="ManualConsidrant"/>
      </w:pPr>
      <w:r w:rsidRPr="00A61195">
        <w:lastRenderedPageBreak/>
        <w:t>(10)</w:t>
      </w:r>
      <w:r w:rsidRPr="00A61195">
        <w:tab/>
        <w:t>Directiva 2000/60/CE stabilește un cadru pentru protecția apelor interioare de suprafață, a apelor de tranziție, a apelor de coastă și a apelor subterane. Cadrul în chestiune implică identificarea substanțelor prioritare dintre cele care prezintă un risc semnificativ pentru mediul acvatic, sau prin intermediul mediului acvatic, la nivelul Uniunii. Directiva 2008/105/CE stabilește SCM la nivelul Uniunii pentru cele 45 de substanțe prioritare care figurau înainte pe lista din anexa X la Directiva 2000/60/CE și pentru alți opt poluanți care erau deja reglementați la nivelul Uniunii înainte de introducerea anexei respective prin Decizia nr. 2455/2001/CE a Parlamentului European și a Consiliului</w:t>
      </w:r>
      <w:r w:rsidRPr="00275CA3">
        <w:rPr>
          <w:rStyle w:val="FootnoteReference"/>
        </w:rPr>
        <w:footnoteReference w:id="9"/>
      </w:r>
      <w:r w:rsidRPr="00A61195">
        <w:t>. Directiva 2006/118/CE stabilește standarde de calitate a apelor subterane la nivelul Uniunii pentru nitrați și pentru substanțele active din pesticide, precum și criterii pentru stabilirea valorilor prag naționale pentru alți poluanți ai apelor subterane. Directiva menționată stabilește, de asemenea, o listă minimală cu 12 poluanți și cu indicatorii poluării pentru care statele membre trebuie să aibă în vedere stabilirea unor astfel de valori prag naționale. Standardele de calitate a apelor subterane sunt stabilite în anexa I la Directiva 2006/118/CE.</w:t>
      </w:r>
    </w:p>
    <w:p w14:paraId="2DA1255E" w14:textId="77777777" w:rsidR="00647D0C" w:rsidRPr="00A61195" w:rsidRDefault="00647D0C" w:rsidP="00A61195">
      <w:pPr>
        <w:rPr>
          <w:bCs/>
          <w:iCs/>
        </w:rPr>
      </w:pPr>
      <w:r w:rsidRPr="00A61195">
        <w:br w:type="page"/>
      </w:r>
    </w:p>
    <w:p w14:paraId="1A234498" w14:textId="435FF983" w:rsidR="00647D0C" w:rsidRPr="00A61195" w:rsidRDefault="00647D0C" w:rsidP="00A61195">
      <w:pPr>
        <w:pStyle w:val="ManualConsidrant"/>
        <w:rPr>
          <w:bCs/>
          <w:iCs/>
        </w:rPr>
      </w:pPr>
      <w:r w:rsidRPr="00A61195">
        <w:lastRenderedPageBreak/>
        <w:t>(11)</w:t>
      </w:r>
      <w:r w:rsidRPr="00A61195">
        <w:tab/>
        <w:t>Ar trebui să se asigure că evacuările, emisiile și pierderile de substanțe periculoase prioritare încetează sau sunt eliminate treptat într-un termen adecvat și, în orice caz, nu mai târziu de 20 de ani de la includerea unei anumite substanțe prioritare ca fiind periculoasă în partea A din anexa I la Directiva 2008/105/CE. Calendarul respectiv ar trebui să se aplice fără a aduce atingere aplicării unor termene mai stricte prevăzute în orice alt act legislativ aplicabil al Uniunii.</w:t>
      </w:r>
    </w:p>
    <w:p w14:paraId="560B2C98" w14:textId="275C8C13" w:rsidR="00647D0C" w:rsidRPr="00A61195" w:rsidRDefault="00647D0C" w:rsidP="00A61195">
      <w:pPr>
        <w:pStyle w:val="ManualConsidrant"/>
      </w:pPr>
      <w:r w:rsidRPr="00A61195">
        <w:t>(12)</w:t>
      </w:r>
      <w:r w:rsidRPr="00A61195">
        <w:tab/>
        <w:t>Eventuala includere de substanțe în partea A din anexa I la Directiva 2008/105/CE sau în anexa I sau</w:t>
      </w:r>
      <w:r w:rsidR="00484F04">
        <w:t xml:space="preserve"> </w:t>
      </w:r>
      <w:r w:rsidRPr="00A61195">
        <w:t>în partea</w:t>
      </w:r>
      <w:r w:rsidR="00484F04">
        <w:t> </w:t>
      </w:r>
      <w:r w:rsidRPr="00A61195">
        <w:t>B din anexa</w:t>
      </w:r>
      <w:r w:rsidR="00484F04">
        <w:t> </w:t>
      </w:r>
      <w:r w:rsidRPr="00A61195">
        <w:t>II la Directiva 2006/118/CE se bazează pe o evaluare a riscului prezentat de substanțele în cauză pentru oameni și pentru mediul acvatic. Componentele-cheie ale acestei evaluări sunt cunoașterea concentrațiilor în mediu ale substanțelor, inclusiv informațiile colectate din monitorizarea substanțelor care figurează pe lista de supraveghere, și (</w:t>
      </w:r>
      <w:proofErr w:type="spellStart"/>
      <w:r w:rsidRPr="00A61195">
        <w:t>eco</w:t>
      </w:r>
      <w:proofErr w:type="spellEnd"/>
      <w:r w:rsidRPr="00A61195">
        <w:t xml:space="preserve">)toxicitatea substanțelor, precum și persistența, bioacumularea, mobilitatea, </w:t>
      </w:r>
      <w:proofErr w:type="spellStart"/>
      <w:r w:rsidRPr="00A61195">
        <w:t>carcinogenitatea</w:t>
      </w:r>
      <w:proofErr w:type="spellEnd"/>
      <w:r w:rsidRPr="00A61195">
        <w:t xml:space="preserve">, </w:t>
      </w:r>
      <w:proofErr w:type="spellStart"/>
      <w:r w:rsidRPr="00A61195">
        <w:t>mutagenitatea</w:t>
      </w:r>
      <w:proofErr w:type="spellEnd"/>
      <w:r w:rsidRPr="00A61195">
        <w:t>, toxicitatea pentru reproducere și potențialul lor de perturbare a sistemului endocrin.</w:t>
      </w:r>
    </w:p>
    <w:p w14:paraId="05BAB7F6" w14:textId="77777777" w:rsidR="00647D0C" w:rsidRPr="00A61195" w:rsidRDefault="00647D0C" w:rsidP="00A61195">
      <w:r w:rsidRPr="00A61195">
        <w:br w:type="page"/>
      </w:r>
    </w:p>
    <w:p w14:paraId="67300BB1" w14:textId="02C3492B" w:rsidR="00647D0C" w:rsidRPr="00A61195" w:rsidRDefault="00647D0C" w:rsidP="00A61195">
      <w:pPr>
        <w:pStyle w:val="ManualConsidrant"/>
      </w:pPr>
      <w:r w:rsidRPr="00A61195">
        <w:lastRenderedPageBreak/>
        <w:t>(13)</w:t>
      </w:r>
      <w:r w:rsidRPr="00A61195">
        <w:tab/>
        <w:t>Comisia a efectuat o revizuire a listei de substanțe prioritare care figurau înainte în anexa</w:t>
      </w:r>
      <w:r w:rsidR="00484F04">
        <w:t> </w:t>
      </w:r>
      <w:r w:rsidRPr="00A61195">
        <w:t>X la Directiva 2000/60/CE, în conformitate cu articolul 16 din directiva respectivă și cu articolul 8 din Directiva 2008/105/CE, precum și o revizuire a listelor de substanțe din anexa I și</w:t>
      </w:r>
      <w:r w:rsidR="00484F04">
        <w:t xml:space="preserve"> </w:t>
      </w:r>
      <w:r w:rsidRPr="00A61195">
        <w:t>din partea</w:t>
      </w:r>
      <w:r w:rsidR="00484F04">
        <w:t> </w:t>
      </w:r>
      <w:r w:rsidRPr="00A61195">
        <w:t>B din anexa</w:t>
      </w:r>
      <w:r w:rsidR="00484F04">
        <w:t> </w:t>
      </w:r>
      <w:r w:rsidRPr="00A61195">
        <w:t xml:space="preserve">II la Directiva 2006/118/CE, în conformitate cu articolul 10 din directiva respectivă, concluzionând, în lumina noilor cunoștințe științifice, că este indicat să se modifice listele respective prin adăugarea de noi substanțe, prin stabilirea de SCM-uri sau de standarde de calitate a apelor subterane pentru respectivele substanțe nou-adăugate, prin revizuirea SCM-urilor pentru anumite substanțe existente în conformitate cu progresele științifice și prin stabilirea de SCM-uri pentru </w:t>
      </w:r>
      <w:proofErr w:type="spellStart"/>
      <w:r w:rsidRPr="00A61195">
        <w:t>biotă</w:t>
      </w:r>
      <w:proofErr w:type="spellEnd"/>
      <w:r w:rsidRPr="00A61195">
        <w:t xml:space="preserve"> sau pentru sedimente în cazul unor substanțe existente și al unor substanțe nou-adăugate. Comisia a identificat, de asemenea, ce substanțe suplimentare ar putea să se acumuleze în sedimente sau în </w:t>
      </w:r>
      <w:proofErr w:type="spellStart"/>
      <w:r w:rsidRPr="00A61195">
        <w:t>biotă</w:t>
      </w:r>
      <w:proofErr w:type="spellEnd"/>
      <w:r w:rsidRPr="00A61195">
        <w:t xml:space="preserve"> și a clarificat că monitorizarea tendințelor unor astfel de substanțe ar trebui să fie efectuată în sedimente sau în </w:t>
      </w:r>
      <w:proofErr w:type="spellStart"/>
      <w:r w:rsidRPr="00A61195">
        <w:t>biotă</w:t>
      </w:r>
      <w:proofErr w:type="spellEnd"/>
      <w:r w:rsidRPr="00A61195">
        <w:t>. Revizuirile listelor de substanțe s-au sprijinit pe o consultare amplă cu experți din cadrul serviciilor Comisiei, cu statele membre, cu grupuri ale părților interesate și cu Comitetul științific pentru riscurile asupra sănătății și mediului și riscurile emergente.</w:t>
      </w:r>
    </w:p>
    <w:p w14:paraId="393D6F66" w14:textId="77777777" w:rsidR="00647D0C" w:rsidRPr="00A61195" w:rsidRDefault="00647D0C" w:rsidP="00A61195">
      <w:r w:rsidRPr="00A61195">
        <w:br w:type="page"/>
      </w:r>
    </w:p>
    <w:p w14:paraId="04E77DB1" w14:textId="785A7E4A" w:rsidR="00647D0C" w:rsidRPr="00A61195" w:rsidRDefault="00647D0C" w:rsidP="00A61195">
      <w:pPr>
        <w:pStyle w:val="ManualConsidrant"/>
      </w:pPr>
      <w:r w:rsidRPr="00A61195">
        <w:lastRenderedPageBreak/>
        <w:t>(14)</w:t>
      </w:r>
      <w:r w:rsidRPr="00A61195">
        <w:tab/>
        <w:t>Se impune o combinație de măsuri de control la sursă și la punctul de evacuare pentru gestionarea eficace a majorității poluanților de-a lungul ciclului lor de viață, inclusiv, după caz, la conceperea, autorizarea sau aprobarea substanțelor chimice, la controlul emisiilor în cursul producerii și al utilizării sau al altor procese și la manipularea deșeurilor. Prin stabilirea de standarde de calitate noi sau mai stricte pentru corpurile de apă se completează, așadar, și se asigură coerența cu alte acte legislative ale Uniunii care abordează sau ar putea aborda problema poluării în una sau mai multe dintre respectivele etape, printre care se numără Directiva 2001/83/CE a Parlamentului European și a Consiliului</w:t>
      </w:r>
      <w:r w:rsidRPr="00275CA3">
        <w:rPr>
          <w:rStyle w:val="FootnoteReference"/>
        </w:rPr>
        <w:footnoteReference w:id="10"/>
      </w:r>
      <w:r w:rsidRPr="00A61195">
        <w:t>, Regulamentele (CE) nr. 1907/2006</w:t>
      </w:r>
      <w:r w:rsidRPr="00275CA3">
        <w:rPr>
          <w:rStyle w:val="FootnoteReference"/>
        </w:rPr>
        <w:footnoteReference w:id="11"/>
      </w:r>
      <w:r w:rsidRPr="00A61195">
        <w:t xml:space="preserve"> și (CE) nr. 1107/2009</w:t>
      </w:r>
      <w:r w:rsidRPr="00275CA3">
        <w:rPr>
          <w:rStyle w:val="FootnoteReference"/>
        </w:rPr>
        <w:footnoteReference w:id="12"/>
      </w:r>
      <w:r w:rsidRPr="00A61195">
        <w:t xml:space="preserve"> ale Parlamentului European și ale Consiliului, </w:t>
      </w:r>
      <w:r w:rsidRPr="00A61195">
        <w:br w:type="page"/>
      </w:r>
      <w:r w:rsidRPr="00A61195">
        <w:lastRenderedPageBreak/>
        <w:t>Directivele 2009/128/CE</w:t>
      </w:r>
      <w:r w:rsidRPr="00275CA3">
        <w:rPr>
          <w:rStyle w:val="FootnoteReference"/>
        </w:rPr>
        <w:footnoteReference w:id="13"/>
      </w:r>
      <w:r w:rsidRPr="00A61195">
        <w:t xml:space="preserve"> și 2010/75/UE</w:t>
      </w:r>
      <w:r w:rsidRPr="00275CA3">
        <w:rPr>
          <w:rStyle w:val="FootnoteReference"/>
        </w:rPr>
        <w:footnoteReference w:id="14"/>
      </w:r>
      <w:r w:rsidRPr="00A61195">
        <w:t xml:space="preserve"> ale Parlamentului European și ale Consiliului, Regulamentele (UE) nr. 528/2012</w:t>
      </w:r>
      <w:r w:rsidRPr="00275CA3">
        <w:rPr>
          <w:rStyle w:val="FootnoteReference"/>
        </w:rPr>
        <w:footnoteReference w:id="15"/>
      </w:r>
      <w:r w:rsidRPr="00A61195">
        <w:t xml:space="preserve"> și (UE) 2019/6</w:t>
      </w:r>
      <w:r w:rsidRPr="00275CA3">
        <w:rPr>
          <w:rStyle w:val="FootnoteReference"/>
        </w:rPr>
        <w:footnoteReference w:id="16"/>
      </w:r>
      <w:r w:rsidRPr="00A61195">
        <w:t xml:space="preserve"> ale Parlamentului European și ale Consiliului și Directiva (UE) 2024/3019. Pentru a atinge obiectivele de mediu prevăzute la articolul 4 din Directiva 2000/60/CE în cel mai eficient mod posibil din punctul de vedere al costurilor, Comisia și statele membre ar trebui să acorde prioritate, atunci când este posibil, în acțiunile și, respectiv, în programele lor de măsuri, măsurilor de control la sursă, precum și asigurării punerii lor în aplicare. Ar trebui să fie asigurată coerența între toate actele legislative ale Uniunii și cele naționale care abordează emisiile poluante la sursă, pentru a se reduce poluarea la niveluri care nu mai sunt considerate dăunătoare sănătății și ecosistemelor naturale.</w:t>
      </w:r>
    </w:p>
    <w:p w14:paraId="3FCD966A" w14:textId="77777777" w:rsidR="00647D0C" w:rsidRPr="00A61195" w:rsidRDefault="00647D0C" w:rsidP="00A61195">
      <w:r w:rsidRPr="00A61195">
        <w:br w:type="page"/>
      </w:r>
    </w:p>
    <w:p w14:paraId="1A323008" w14:textId="2EC86CAC" w:rsidR="00647D0C" w:rsidRPr="00A61195" w:rsidRDefault="00647D0C" w:rsidP="00A61195">
      <w:pPr>
        <w:pStyle w:val="ManualConsidrant"/>
        <w:rPr>
          <w:bCs/>
          <w:iCs/>
        </w:rPr>
      </w:pPr>
      <w:r w:rsidRPr="00A61195">
        <w:lastRenderedPageBreak/>
        <w:t>(15)</w:t>
      </w:r>
      <w:r w:rsidRPr="00A61195">
        <w:tab/>
        <w:t xml:space="preserve">Conform noilor dovezi științifice, câțiva alți poluanți care se găsesc în corpurile de apă, pe lângă cei deja reglementați, prezintă un risc semnificativ. Prin monitorizarea voluntară a substanțelor </w:t>
      </w:r>
      <w:proofErr w:type="spellStart"/>
      <w:r w:rsidRPr="00A61195">
        <w:t>perfluoroalchilate</w:t>
      </w:r>
      <w:proofErr w:type="spellEnd"/>
      <w:r w:rsidRPr="00A61195">
        <w:t xml:space="preserve"> și </w:t>
      </w:r>
      <w:proofErr w:type="spellStart"/>
      <w:r w:rsidRPr="00A61195">
        <w:t>polifluoroalchilate</w:t>
      </w:r>
      <w:proofErr w:type="spellEnd"/>
      <w:r w:rsidRPr="00A61195">
        <w:t xml:space="preserve"> (PFAS) și a produselor farmaceutice din apele subterane a fost identificată o problemă deosebită. Prezența PFAS a fost detectată în peste 70 % din punctele de măsurare a apelor subterane din Uniune, iar valorile prag naționale existente sunt clar depășite într-un număr considerabil de locuri. Un subset de PFAS specifice ar trebui, prin urmare, să fie adăugat pe lista poluanților din apele subterane. În ceea ce privește apele de suprafață, acidul </w:t>
      </w:r>
      <w:proofErr w:type="spellStart"/>
      <w:r w:rsidRPr="00A61195">
        <w:t>perfluoroctan</w:t>
      </w:r>
      <w:proofErr w:type="spellEnd"/>
      <w:r w:rsidRPr="00A61195">
        <w:t xml:space="preserve"> </w:t>
      </w:r>
      <w:proofErr w:type="spellStart"/>
      <w:r w:rsidRPr="00A61195">
        <w:t>sulfonic</w:t>
      </w:r>
      <w:proofErr w:type="spellEnd"/>
      <w:r w:rsidRPr="00A61195">
        <w:t xml:space="preserve"> (PFOS) și derivații săi figurează deja pe lista substanțelor prioritare, dar în prezent se recunoaște că și alte PFAS prezintă riscuri. Un subset de PFAS specifice ar trebui, prin urmare, să fie adăugat pe lista substanțelor prioritare. Prin monitorizarea voluntară a apelor subterane și monitorizarea substanțelor care figurează pe lista de supraveghere prevăzută la articolul 8b din Directiva 2008/105/CE s-a confirmat de asemenea existența, în apele subterane și în apele de suprafață, a unui risc din partea unei serii de substanțe farmaceutice, care ar trebui, prin urmare, să fie adăugate, după caz, pe lista poluanților din anexa I la Directiva 2006/118/CE sau pe lista substanțelor prioritare din anexa</w:t>
      </w:r>
      <w:r w:rsidR="00484F04">
        <w:t> </w:t>
      </w:r>
      <w:r w:rsidRPr="00A61195">
        <w:t>I la Directiva</w:t>
      </w:r>
      <w:r w:rsidR="00484F04">
        <w:t> </w:t>
      </w:r>
      <w:r w:rsidRPr="00A61195">
        <w:t>2008/105/CE. În ceea ce privește apele subterane, Comisia ar trebui să aibă în vedere eliminarea riscului cumulativ pe care îl prezintă produsele farmaceutice, prin stabilirea unor standarde de calitate pentru suma (sumele) anumitor produse farmaceutice, eventual pe baza modului de acțiune, la următoarea revizuire.</w:t>
      </w:r>
      <w:r w:rsidRPr="00A61195">
        <w:br w:type="page"/>
      </w:r>
      <w:r w:rsidRPr="00A61195">
        <w:lastRenderedPageBreak/>
        <w:t>Din acest motiv, în anexa</w:t>
      </w:r>
      <w:r w:rsidR="00484F04">
        <w:t> </w:t>
      </w:r>
      <w:r w:rsidRPr="00A61195">
        <w:t>V la Directiva 2006/118/CE ar trebui să se adauge „suma (sumele) anumitor produse farmaceutice selectate în funcție de modul de acțiune”. În ceea ce privește apele de suprafață, riscul cumulativ al produselor farmaceutice estrogene ar trebui să fie abordat prin monitorizarea bazată pe efecte și, ținând seama de datele provenite din monitorizarea mai recentă și continuă a substanțelor care figurează pe lista de supraveghere, Comisia ar trebui să ia în considerare stabilirea de standarde pentru suma (sumele) anumitor produse farmaceutice selectate, eventual pe baza modului de acțiune, la următoarea revizuire; din acest motiv, în anexa III la Directiva 2008/105/CE ar trebui să se adauge „suma (sumele) anumitor produse farmaceutice selectate în funcție de modul de acțiune”. Comisia ar trebui, de asemenea, să ia în considerare stabilirea unor standarde pentru cantitatea totală a produselor farmaceutice, standarde care să fie susținute de metode de monitorizare adecvate. Statele membre sunt încurajate să monitorizeze, de asemenea, totalitatea PFAS (denumite în continuare „PFAS total”) din apele subterane utilizând orientările adoptate în temeiul articolului 13 alineatul (7) din Directiva (UE) 2020/2184. Comisia ar trebui să ia în considerare orientările și rezultatele obținute de statele membre în definirea unei metode de monitorizare pentru PFAS total în mod specific în apele subterane și să încurajeze statele membre să o aplice. Comisia ar trebui să adapteze metoda de monitorizare respectivă pentru a facilita monitorizarea PFAS total în apele de suprafață și să încurajeze statele membre să o aplice. Comisia ar trebui, de asemenea, să ia în considerare stabilirea de standarde de calitate pentru PFAS total în apele subterane și în apele de suprafață în cadrul următoarei revizuiri a listelor de poluanți prevăzute în anexa I la Directiva 2006/118/CE și în anexa I la Directiva 2008/105/CE.</w:t>
      </w:r>
    </w:p>
    <w:p w14:paraId="12697448" w14:textId="77777777" w:rsidR="00647D0C" w:rsidRPr="00A61195" w:rsidRDefault="00647D0C" w:rsidP="00A61195">
      <w:pPr>
        <w:rPr>
          <w:bCs/>
          <w:iCs/>
        </w:rPr>
      </w:pPr>
      <w:r w:rsidRPr="00A61195">
        <w:br w:type="page"/>
      </w:r>
    </w:p>
    <w:p w14:paraId="729EB72C" w14:textId="3D574F6B" w:rsidR="00647D0C" w:rsidRPr="00A61195" w:rsidRDefault="00647D0C" w:rsidP="00A61195">
      <w:pPr>
        <w:pStyle w:val="ManualConsidrant"/>
        <w:rPr>
          <w:bCs/>
          <w:iCs/>
        </w:rPr>
      </w:pPr>
      <w:r w:rsidRPr="00A61195">
        <w:lastRenderedPageBreak/>
        <w:t>(16)</w:t>
      </w:r>
      <w:r w:rsidRPr="00A61195">
        <w:tab/>
      </w:r>
      <w:proofErr w:type="spellStart"/>
      <w:r w:rsidRPr="00A61195">
        <w:t>Bisfenolul</w:t>
      </w:r>
      <w:proofErr w:type="spellEnd"/>
      <w:r w:rsidRPr="00A61195">
        <w:t xml:space="preserve"> A ar trebui să fie adăugat pe lista substanțelor din anexa I la Directiva</w:t>
      </w:r>
      <w:r w:rsidR="00484F04">
        <w:t> </w:t>
      </w:r>
      <w:r w:rsidRPr="00A61195">
        <w:t xml:space="preserve">2008/105/CE și desemnat drept substanță periculoasă prioritară. Dovezile științifice arată că </w:t>
      </w:r>
      <w:proofErr w:type="spellStart"/>
      <w:r w:rsidRPr="00A61195">
        <w:t>bisfenolii</w:t>
      </w:r>
      <w:proofErr w:type="spellEnd"/>
      <w:r w:rsidRPr="00A61195">
        <w:t xml:space="preserve">, alții decât </w:t>
      </w:r>
      <w:proofErr w:type="spellStart"/>
      <w:r w:rsidRPr="00A61195">
        <w:t>bisfenolul</w:t>
      </w:r>
      <w:proofErr w:type="spellEnd"/>
      <w:r w:rsidRPr="00A61195">
        <w:t xml:space="preserve"> A, au un potențial de perturbare a sistemului endocrin și că, prin urmare, utilizarea unuia în locul altuia ar putea să nu producă beneficiul scontat. În plus, amestecurile de </w:t>
      </w:r>
      <w:proofErr w:type="spellStart"/>
      <w:r w:rsidRPr="00A61195">
        <w:t>bisfenoli</w:t>
      </w:r>
      <w:proofErr w:type="spellEnd"/>
      <w:r w:rsidRPr="00A61195">
        <w:t xml:space="preserve"> ar putea prezenta un risc cumulativ. Prin urmare, Comisia ar trebui să revizuiască includerea pe listă a </w:t>
      </w:r>
      <w:proofErr w:type="spellStart"/>
      <w:r w:rsidRPr="00A61195">
        <w:t>bisfenolilor</w:t>
      </w:r>
      <w:proofErr w:type="spellEnd"/>
      <w:r w:rsidRPr="00A61195">
        <w:t xml:space="preserve"> în general în cadrul următoarei revizuiri și să ia în considerare stabilirea unui SCM pentru totalitatea </w:t>
      </w:r>
      <w:proofErr w:type="spellStart"/>
      <w:r w:rsidRPr="00A61195">
        <w:t>bisfenolilor</w:t>
      </w:r>
      <w:proofErr w:type="spellEnd"/>
      <w:r w:rsidRPr="00A61195">
        <w:t xml:space="preserve"> (denumită în continuare „totalul </w:t>
      </w:r>
      <w:proofErr w:type="spellStart"/>
      <w:r w:rsidRPr="00A61195">
        <w:t>bisfenolilor</w:t>
      </w:r>
      <w:proofErr w:type="spellEnd"/>
      <w:r w:rsidRPr="00A61195">
        <w:t xml:space="preserve">”) sau cel puțin pentru suma anumitor </w:t>
      </w:r>
      <w:proofErr w:type="spellStart"/>
      <w:r w:rsidRPr="00A61195">
        <w:t>bisfenoli</w:t>
      </w:r>
      <w:proofErr w:type="spellEnd"/>
      <w:r w:rsidRPr="00A61195">
        <w:t xml:space="preserve"> (denumită în continuare „suma </w:t>
      </w:r>
      <w:proofErr w:type="spellStart"/>
      <w:r w:rsidRPr="00A61195">
        <w:t>bisfenolilor</w:t>
      </w:r>
      <w:proofErr w:type="spellEnd"/>
      <w:r w:rsidRPr="00A61195">
        <w:t xml:space="preserve">”), incluzând cel puțin </w:t>
      </w:r>
      <w:proofErr w:type="spellStart"/>
      <w:r w:rsidRPr="00A61195">
        <w:t>bisfenolul</w:t>
      </w:r>
      <w:proofErr w:type="spellEnd"/>
      <w:r w:rsidRPr="00A61195">
        <w:t xml:space="preserve"> B și </w:t>
      </w:r>
      <w:proofErr w:type="spellStart"/>
      <w:r w:rsidRPr="00A61195">
        <w:t>bisfenolul</w:t>
      </w:r>
      <w:proofErr w:type="spellEnd"/>
      <w:r w:rsidRPr="00A61195">
        <w:t xml:space="preserve"> S, standard care să fie susținut de metode de monitorizare adecvate. Așadar, „suma </w:t>
      </w:r>
      <w:proofErr w:type="spellStart"/>
      <w:r w:rsidRPr="00A61195">
        <w:t>bisfenolilor</w:t>
      </w:r>
      <w:proofErr w:type="spellEnd"/>
      <w:r w:rsidRPr="00A61195">
        <w:t>” ar trebui să fie inclusă în anexa</w:t>
      </w:r>
      <w:r w:rsidR="00484F04">
        <w:t> </w:t>
      </w:r>
      <w:r w:rsidRPr="00A61195">
        <w:t xml:space="preserve">III la Directiva 2008/105/CE. În plus, statele membre ar trebui să ia în considerare în special posibila identificare și monitorizare cel puțin a </w:t>
      </w:r>
      <w:proofErr w:type="spellStart"/>
      <w:r w:rsidRPr="00A61195">
        <w:t>bisfenolului</w:t>
      </w:r>
      <w:proofErr w:type="spellEnd"/>
      <w:r w:rsidRPr="00A61195">
        <w:t xml:space="preserve"> B și a </w:t>
      </w:r>
      <w:proofErr w:type="spellStart"/>
      <w:r w:rsidRPr="00A61195">
        <w:t>bisfenolului</w:t>
      </w:r>
      <w:proofErr w:type="spellEnd"/>
      <w:r w:rsidRPr="00A61195">
        <w:t xml:space="preserve"> S ca poluanți specifici bazinelor hidrografice, acolo unde ar putea fi relevant, precum și raportarea datelor în conformitate cu articolul 8 alineatul (4) din Directiva 2000/60/CE pentru a se asigura că riscul rezultat din suma </w:t>
      </w:r>
      <w:proofErr w:type="spellStart"/>
      <w:r w:rsidRPr="00A61195">
        <w:t>bisfenolilor</w:t>
      </w:r>
      <w:proofErr w:type="spellEnd"/>
      <w:r w:rsidRPr="00A61195">
        <w:t xml:space="preserve"> respectivi și a </w:t>
      </w:r>
      <w:proofErr w:type="spellStart"/>
      <w:r w:rsidRPr="00A61195">
        <w:t>bisfenolului</w:t>
      </w:r>
      <w:proofErr w:type="spellEnd"/>
      <w:r w:rsidRPr="00A61195">
        <w:t xml:space="preserve"> A poate fi evaluat în mod corespunzător la următoarea revizuire. De asemenea, Comisia ar trebui să ia în considerare stabilirea unor standarde de calitate pentru „totalul </w:t>
      </w:r>
      <w:proofErr w:type="spellStart"/>
      <w:r w:rsidRPr="00A61195">
        <w:t>bisfenolilor</w:t>
      </w:r>
      <w:proofErr w:type="spellEnd"/>
      <w:r w:rsidRPr="00A61195">
        <w:t xml:space="preserve">” și pentru „suma </w:t>
      </w:r>
      <w:proofErr w:type="spellStart"/>
      <w:r w:rsidRPr="00A61195">
        <w:t>bisfenolilor</w:t>
      </w:r>
      <w:proofErr w:type="spellEnd"/>
      <w:r w:rsidRPr="00A61195">
        <w:t>” în Directiva 2006/118/CE.</w:t>
      </w:r>
    </w:p>
    <w:p w14:paraId="4DE60057" w14:textId="77777777" w:rsidR="00647D0C" w:rsidRPr="00A61195" w:rsidRDefault="00647D0C" w:rsidP="00A61195">
      <w:pPr>
        <w:rPr>
          <w:bCs/>
          <w:iCs/>
        </w:rPr>
      </w:pPr>
      <w:r w:rsidRPr="00A61195">
        <w:br w:type="page"/>
      </w:r>
    </w:p>
    <w:p w14:paraId="0BA7FAAD" w14:textId="26EFDF3E" w:rsidR="00647D0C" w:rsidRPr="00A61195" w:rsidRDefault="00647D0C" w:rsidP="00A61195">
      <w:pPr>
        <w:pStyle w:val="ManualConsidrant"/>
        <w:rPr>
          <w:bCs/>
          <w:iCs/>
        </w:rPr>
      </w:pPr>
      <w:r w:rsidRPr="00A61195">
        <w:lastRenderedPageBreak/>
        <w:t>(17)</w:t>
      </w:r>
      <w:r w:rsidRPr="00A61195">
        <w:tab/>
        <w:t>Având în vedere că apele subterane reprezintă principala sursă de apă potabilă din Uniune, este esențial să se asigure că standardele de calitate stabilite în Directiva 2006/118/CE sprijină atingerea parametrilor valorici stabiliți pentru apa potabilă în temeiul Directivei (UE) 2020/2184. Deși ar putea fi oportună armonizarea standardelor pentru PFAS, s-a demonstrat recent că parametrul valoric referitor la suma celor 20 de PFAS, astfel cum sunt enumerate în partea B punctul 3 din anexa III la Directiva (UE) 2020/2184, nu este în concordanță cu cele mai recente evoluții științifice în ceea ce privește lista PFAS care trebuie luate în considerare cu prioritate, toxicitatea acestor substanțe și variabilitatea toxicității de la o substanță la alta în cadrul acestei familii. În absența unui acord complet și final privind standardele PFAS, un standard de calitate pentru grupul de 20 de PFAS, astfel cum sunt enumerate în partea B punctul 3 din anexa III la Directiva (UE) 2020/2184, este stabilit în anexa I la Directiva 2006/118/CE, făcând referire la parametrul valoric pentru grupul respectiv din Directiva (UE) 2020/2184, pentru a se asigura că orice modificare a componenței grupului respectiv sau a parametrului respectiv este încorporată automat în Directiva 2006/118/CE. Pentru a se ține seama de cele mai recente cunoștințe științifice, în anexa I la Directiva 2006/118/CE ar trebui să se adauge un standard de calitate pentru suma celor mai problematice patru substanțe PFAS, în conformitate cu valoarea propusă de Autoritatea Europeană pentru Siguranța Alimentară (AESA). Din același motiv, este extrem de important ca parametrii valorici pentru PFAS din Directiva (UE) 2020/2184 să fie reexaminați și revizuiți de îndată atunci când este necesar și, în acest caz, ca standardele de calitate din anexa I la Directiva 2006/118/CE să fie de asemenea aliniate.</w:t>
      </w:r>
    </w:p>
    <w:p w14:paraId="464875FF" w14:textId="77777777" w:rsidR="00647D0C" w:rsidRPr="00A61195" w:rsidRDefault="00647D0C" w:rsidP="00A61195">
      <w:pPr>
        <w:rPr>
          <w:bCs/>
          <w:iCs/>
        </w:rPr>
      </w:pPr>
      <w:r w:rsidRPr="00A61195">
        <w:br w:type="page"/>
      </w:r>
    </w:p>
    <w:p w14:paraId="64E3857C" w14:textId="52FBABF0" w:rsidR="00647D0C" w:rsidRPr="00A61195" w:rsidRDefault="00647D0C" w:rsidP="00A61195">
      <w:pPr>
        <w:pStyle w:val="ManualConsidrant"/>
        <w:rPr>
          <w:bCs/>
          <w:iCs/>
        </w:rPr>
      </w:pPr>
      <w:r w:rsidRPr="00A61195">
        <w:lastRenderedPageBreak/>
        <w:t>(18)</w:t>
      </w:r>
      <w:r w:rsidRPr="00A61195">
        <w:tab/>
        <w:t xml:space="preserve">Având în vedere toxicitatea acidului </w:t>
      </w:r>
      <w:proofErr w:type="spellStart"/>
      <w:r w:rsidRPr="00A61195">
        <w:t>trifluoroacetic</w:t>
      </w:r>
      <w:proofErr w:type="spellEnd"/>
      <w:r w:rsidRPr="00A61195">
        <w:t xml:space="preserve"> (TFA), persistența și prevalența acestuia în mediu, precum și numeroasele sale surse, inclusiv utilizarea pesticidelor PFAS și a gazelor refrigerente care conțin fluor, este extrem de important să se abordeze prezența acestuia atât în apele de suprafață, cât și în apele subterane. Prin urmare, pentru apele de suprafață, TFA ar trebui să fie inclus într-o sumă a 25 de substanțe PFAS prevăzute cu un SCM în anexa I la Directiva 2008/105/CE. La următoarea revizuire, Comisia ar trebui să ia în considerare stabilirea unui SCM separat pentru TFA în anexa I la Directiva 2008/105/CE. Pentru apele subterane, Comisia ar trebui, de asemenea, să ia în considerare stabilirea unui standard de calitate pentru TFA, separat</w:t>
      </w:r>
      <w:bookmarkStart w:id="3" w:name="DQCErrorScopeEA10DF04CC3BE4344F0ED95012F"/>
      <w:r w:rsidRPr="00A61195">
        <w:t xml:space="preserve"> </w:t>
      </w:r>
      <w:bookmarkEnd w:id="3"/>
      <w:r w:rsidRPr="00A61195">
        <w:t>sau ca parte a unei sume, în anexa I la Directiva 2006/118/CE, ținând seama de cele mai recente cunoștințe științifice privind TFA, inclusiv de activitatea desfășurată de Agenția Europeană pentru Produse Chimice (ECHA), de AESA și de Organizația Mondială a Sănătății (OMS). Modificările viitoare ale Directivei (UE) 2020/2184 ar trebui, de asemenea, să fie luate în considerare.</w:t>
      </w:r>
    </w:p>
    <w:p w14:paraId="0EECA929" w14:textId="77777777" w:rsidR="00647D0C" w:rsidRPr="00A61195" w:rsidRDefault="00647D0C" w:rsidP="00A61195">
      <w:pPr>
        <w:pStyle w:val="ManualConsidrant"/>
        <w:rPr>
          <w:bCs/>
          <w:iCs/>
        </w:rPr>
      </w:pPr>
      <w:r w:rsidRPr="00A61195">
        <w:t>(19)</w:t>
      </w:r>
      <w:r w:rsidRPr="00A61195">
        <w:tab/>
        <w:t>Este necesar să se acumuleze mai multe cunoștințe cu privire la prezența, importanța și sensibilitatea ecosistemelor apelor subterane în vederea protejării corespunzătoare a acestor ecosisteme. Prin urmare, ar trebui să fie încurajate, finanțate și efectuate cercetări științifice suplimentare, ale căror rezultate ar trebui să fie diseminate și, dacă este necesar, luate în considerare, împreună cu cunoștințele existente, la punerea în aplicare sau revizuirea Directivelor 2000/60/CE și 2006/118/CE. Comisia ar trebui să colaboreze cu statele membre în cadrul Strategiei comune de punere în aplicare a Directivei 2000/60/CE pentru a stabili o metodologie de identificare a ecosistemelor apelor subterane. De îndată ce este disponibilă o metodologie fiabilă, statele membre ar trebui, după caz, să aplice metodologia respectivă și să stabilească standarde mai stricte, dacă este necesar, pentru a proteja ecosistemele respective.</w:t>
      </w:r>
    </w:p>
    <w:p w14:paraId="2822428B" w14:textId="77777777" w:rsidR="00647D0C" w:rsidRPr="00A61195" w:rsidRDefault="00647D0C" w:rsidP="00A61195">
      <w:r w:rsidRPr="00A61195">
        <w:br w:type="page"/>
      </w:r>
    </w:p>
    <w:p w14:paraId="455F8E43" w14:textId="4A9CE09F" w:rsidR="00647D0C" w:rsidRPr="00A61195" w:rsidRDefault="00647D0C" w:rsidP="00A61195">
      <w:pPr>
        <w:pStyle w:val="ManualConsidrant"/>
      </w:pPr>
      <w:r w:rsidRPr="00A61195">
        <w:lastRenderedPageBreak/>
        <w:t>(20)</w:t>
      </w:r>
      <w:r w:rsidRPr="00A61195">
        <w:tab/>
        <w:t xml:space="preserve">Directiva 2000/60/CE prevede obligația statelor membre de a identifica corpurile de apă utilizate pentru captarea apei destinate consumului uman, de a le monitoriza și de a lua măsurile necesare pentru a evita deteriorarea calității acestora și pentru a reduce nivelul de tratare necesar pentru producerea de apă care este adecvată consumului uman. În acest context, s-a constatat că </w:t>
      </w:r>
      <w:proofErr w:type="spellStart"/>
      <w:r w:rsidRPr="00A61195">
        <w:t>microplasticele</w:t>
      </w:r>
      <w:proofErr w:type="spellEnd"/>
      <w:r w:rsidRPr="00A61195">
        <w:t xml:space="preserve"> prezintă un risc potențial pentru sănătatea umană, dar sunt necesare mai multe date de monitorizare pentru a se confirma necesitatea stabilirii unor standarde de calitate pentru </w:t>
      </w:r>
      <w:proofErr w:type="spellStart"/>
      <w:r w:rsidRPr="00A61195">
        <w:t>microplasticele</w:t>
      </w:r>
      <w:proofErr w:type="spellEnd"/>
      <w:r w:rsidRPr="00A61195">
        <w:t xml:space="preserve"> din apele de suprafață și din apele subterane. Prin urmare, </w:t>
      </w:r>
      <w:proofErr w:type="spellStart"/>
      <w:r w:rsidRPr="00A61195">
        <w:t>microplasticele</w:t>
      </w:r>
      <w:proofErr w:type="spellEnd"/>
      <w:r w:rsidRPr="00A61195">
        <w:t xml:space="preserve"> ar trebui să fie incluse pe listele de supraveghere a apelor de suprafață și a apelor subterane și ar trebui să fie monitorizate de îndată ce metode de monitorizare adecvate vor deveni disponibile. În acest context, ar trebui să se țină seama de metodologiile elaborate în temeiul Directivei (UE) 2020/2184 pentru monitorizarea și evaluarea riscurilor prezentate de </w:t>
      </w:r>
      <w:proofErr w:type="spellStart"/>
      <w:r w:rsidRPr="00A61195">
        <w:t>microplasticele</w:t>
      </w:r>
      <w:proofErr w:type="spellEnd"/>
      <w:r w:rsidRPr="00A61195">
        <w:t xml:space="preserve"> din apa potabilă.</w:t>
      </w:r>
    </w:p>
    <w:p w14:paraId="4BA94472" w14:textId="1166B0CE" w:rsidR="00647D0C" w:rsidRPr="00A61195" w:rsidRDefault="00647D0C" w:rsidP="00A61195">
      <w:pPr>
        <w:pStyle w:val="ManualConsidrant"/>
      </w:pPr>
      <w:r w:rsidRPr="00A61195">
        <w:t>(21)</w:t>
      </w:r>
      <w:r w:rsidRPr="00A61195">
        <w:tab/>
        <w:t xml:space="preserve">Se estimează că, în 2019, în întreaga lume, între 900 000 și 1,7 milioane de decese au fost cauzate de infecții cu rezistență la agenții </w:t>
      </w:r>
      <w:proofErr w:type="spellStart"/>
      <w:r w:rsidRPr="00A61195">
        <w:t>antimicrobieni</w:t>
      </w:r>
      <w:proofErr w:type="spellEnd"/>
      <w:r w:rsidRPr="00A61195">
        <w:t xml:space="preserve"> (RAM). În același timp, s-a exprimat îngrijorarea că prezența microorganismelor rezistente la agenți </w:t>
      </w:r>
      <w:proofErr w:type="spellStart"/>
      <w:r w:rsidRPr="00A61195">
        <w:t>antimicrobieni</w:t>
      </w:r>
      <w:proofErr w:type="spellEnd"/>
      <w:r w:rsidRPr="00A61195">
        <w:t xml:space="preserve"> și a genelor de rezistență la agenți </w:t>
      </w:r>
      <w:proofErr w:type="spellStart"/>
      <w:r w:rsidRPr="00A61195">
        <w:t>antimicrobieni</w:t>
      </w:r>
      <w:proofErr w:type="spellEnd"/>
      <w:r w:rsidRPr="00A61195">
        <w:t xml:space="preserve"> în mediul acvatic riscă să ducă la dezvoltarea rezistenței la agenți </w:t>
      </w:r>
      <w:proofErr w:type="spellStart"/>
      <w:r w:rsidRPr="00A61195">
        <w:t>antimicrobieni</w:t>
      </w:r>
      <w:proofErr w:type="spellEnd"/>
      <w:r w:rsidRPr="00A61195">
        <w:t xml:space="preserve">, dar nu a avut loc o monitorizare extinsă. Indicatori adecvați pentru existența, evoluția sau transmiterea rezistenței la agenți </w:t>
      </w:r>
      <w:proofErr w:type="spellStart"/>
      <w:r w:rsidRPr="00A61195">
        <w:t>antimicrobieni</w:t>
      </w:r>
      <w:proofErr w:type="spellEnd"/>
      <w:r w:rsidRPr="00A61195">
        <w:t xml:space="preserve"> ar trebui, de asemenea, să fie incluși pe listele de supraveghere a apelor de suprafață și a apelor subterane, urmând a fi monitorizați de îndată ce se elaborează metode de monitorizare adecvate. Această cerință este în concordanță cu „Planul de acțiune european «O singură sănătate» (</w:t>
      </w:r>
      <w:proofErr w:type="spellStart"/>
      <w:r w:rsidRPr="00A61195">
        <w:rPr>
          <w:i/>
          <w:iCs/>
        </w:rPr>
        <w:t>One</w:t>
      </w:r>
      <w:proofErr w:type="spellEnd"/>
      <w:r w:rsidRPr="00A61195">
        <w:rPr>
          <w:i/>
          <w:iCs/>
        </w:rPr>
        <w:t xml:space="preserve"> </w:t>
      </w:r>
      <w:proofErr w:type="spellStart"/>
      <w:r w:rsidRPr="00A61195">
        <w:rPr>
          <w:i/>
          <w:iCs/>
        </w:rPr>
        <w:t>Health</w:t>
      </w:r>
      <w:proofErr w:type="spellEnd"/>
      <w:r w:rsidRPr="00A61195">
        <w:t xml:space="preserve">) împotriva rezistenței la agenți </w:t>
      </w:r>
      <w:proofErr w:type="spellStart"/>
      <w:r w:rsidRPr="00A61195">
        <w:t>antimicrobieni</w:t>
      </w:r>
      <w:proofErr w:type="spellEnd"/>
      <w:r w:rsidRPr="00A61195">
        <w:t>”, adoptat de Comisie în iunie 2017, și cu Comunicarea Comisiei din 25 noiembrie 2020 intitulată „Strategia farmaceutică pentru Europa”, care abordează, de asemenea, respectiva problemă.</w:t>
      </w:r>
    </w:p>
    <w:p w14:paraId="5DFA8CD5" w14:textId="77777777" w:rsidR="00647D0C" w:rsidRPr="00A61195" w:rsidRDefault="00647D0C">
      <w:pPr>
        <w:spacing w:before="0" w:after="160" w:line="259" w:lineRule="auto"/>
      </w:pPr>
      <w:r w:rsidRPr="00A61195">
        <w:br w:type="page"/>
      </w:r>
    </w:p>
    <w:p w14:paraId="37B3AECB" w14:textId="323608C0" w:rsidR="00647D0C" w:rsidRPr="00A61195" w:rsidRDefault="00647D0C" w:rsidP="00A61195">
      <w:pPr>
        <w:pStyle w:val="ManualConsidrant"/>
      </w:pPr>
      <w:r w:rsidRPr="00A61195">
        <w:lastRenderedPageBreak/>
        <w:t>(22)</w:t>
      </w:r>
      <w:r w:rsidRPr="00A61195">
        <w:tab/>
        <w:t>Directivele 2006/118/CE și 2008/105/CE ar trebui să conțină fiecare o anexă în care să fie enumerate substanțele selectate, grupurile de substanțe selectate și indicatorii selectați care urmează să fie luați în considerare de Comisie la următoarea revizuire a directivelor menționate, până la elaborarea unor metodologii de monitorizare fiabile și a unor standarde de calitate adecvate sau până la stabilirea unor valori declanșatoare și până la confirmarea finală a faptului că acestea prezintă un risc pentru apele subterane sau apele de suprafață ori prin intermediul acestora. Respectiva confirmare ar putea fi obținută, dacă este necesar, prin includerea substanțelor, a grupurilor de substanțe sau a indicatorilor în lista de supraveghere relevantă.</w:t>
      </w:r>
    </w:p>
    <w:p w14:paraId="0345725F" w14:textId="77777777" w:rsidR="00647D0C" w:rsidRPr="00A61195" w:rsidRDefault="00647D0C" w:rsidP="00A61195">
      <w:pPr>
        <w:spacing w:before="0" w:after="160" w:line="259" w:lineRule="auto"/>
      </w:pPr>
      <w:r w:rsidRPr="00A61195">
        <w:br w:type="page"/>
      </w:r>
    </w:p>
    <w:p w14:paraId="1A416B13" w14:textId="0F22979A" w:rsidR="00647D0C" w:rsidRPr="00A61195" w:rsidRDefault="00647D0C" w:rsidP="00A61195">
      <w:pPr>
        <w:pStyle w:val="ManualConsidrant"/>
      </w:pPr>
      <w:r w:rsidRPr="00A61195">
        <w:lastRenderedPageBreak/>
        <w:t>(23)</w:t>
      </w:r>
      <w:r w:rsidRPr="00A61195">
        <w:tab/>
        <w:t>Metodele de analiză chimică convenționale utilizate pentru monitorizarea substanțelor în temeiul Directivelor 2000/60/CE, 2006/118/CE și 2008/105/CE nu pot, în general, să determine riscul cumulativ al amestecurilor de substanțe. Având în vedere conștientizarea crescândă a relevanței amestecurilor și, prin urmare, a monitorizării bazate pe efecte pentru determinarea stării chimice și având în vedere că există deja metode suficient de solide de monitorizare bazate pe efecte pentru substanțele estrogene, statele membre ar trebui să aplice astfel de metode de monitorizare bazate pe efecte pentru a evalua efectele cumulative ale substanțelor estrogene în apele de suprafață pe o perioadă de cel puțin doi ani. Se va putea efectua astfel o comparație a rezultatelor bazate pe efecte cu rezultatele obținute prin metodele convenționale de monitorizare a celor trei substanțe farmaceutice estrogene care figurează pe lista din anexa I la Directiva 2008/105/CE. În acest scop, Comisia ar trebui să adopte un act de punere în aplicare care să stabilească specificațiile tehnice pentru monitorizarea substanțelor estrogene utilizând metode de monitorizare bazate pe efecte. Comisia ar trebui, de asemenea, să publice un raport privind compararea rezultatelor bazate pe efecte cu rezultatele obținute utilizând metodele convenționale, iar o analiză a acestuia ar trebui să fie utilizată pentru a se stabili dacă metodele de monitorizare bazate pe efecte furnizează date suficient de solide și de exacte pentru a permite utilizarea metodelor respective ca metode de screening fiabile. Utilizarea unor astfel de metode de screening ar avea avantajul de a permite includerea efectelor tuturor substanțelor estrogene cu efecte similare, nu doar a celor care figurează pe lista din anexa I la Directiva 2008/105/CE, și ar putea de asemenea înlocui monitorizarea substanță cu substanță în numeroase locuri. Ar trebui să fie definit conceptul de valori declanșatoare bazate pe efecte. Definiția stării chimice bune a unei ape de suprafață din Directiva 2000/60/CE ar trebui să fie modificată pentru a se asigura că aceasta ar putea include, în viitor, și valorile declanșatoare care ar putea fi stabilite pentru evaluarea rezultatelor monitorizării bazate pe efecte.</w:t>
      </w:r>
    </w:p>
    <w:p w14:paraId="5AB57319" w14:textId="77777777" w:rsidR="00647D0C" w:rsidRPr="00A61195" w:rsidRDefault="00647D0C" w:rsidP="00A61195">
      <w:r w:rsidRPr="00A61195">
        <w:br w:type="page"/>
      </w:r>
    </w:p>
    <w:p w14:paraId="7E0D6397" w14:textId="701DD9B3" w:rsidR="00647D0C" w:rsidRPr="00A61195" w:rsidRDefault="00647D0C" w:rsidP="00A61195">
      <w:pPr>
        <w:pStyle w:val="ManualConsidrant"/>
      </w:pPr>
      <w:r w:rsidRPr="00A61195">
        <w:lastRenderedPageBreak/>
        <w:t>(24)</w:t>
      </w:r>
      <w:r w:rsidRPr="00A61195">
        <w:tab/>
        <w:t>În timp ce riscul prezentat de amestecurile de pesticide este reglementat într-o anumită măsură în Directiva 2006/118/CE prin standardul de calitate pentru totalul pesticidelor, riscul prezentat de astfel de amestecuri nu este abordat în Directiva 2008/105/CE. Pentru abordarea cel puțin parțială a acestui risc cumulativ, ar trebui, prin urmare, să se stabilească un SCM pentru suma pesticidelor care sunt deja incluse în lista substanțelor prioritare care urmează să fie monitorizate în apă, iar SCM-</w:t>
      </w:r>
      <w:proofErr w:type="spellStart"/>
      <w:r w:rsidRPr="00A61195">
        <w:t>ul</w:t>
      </w:r>
      <w:proofErr w:type="spellEnd"/>
      <w:r w:rsidRPr="00A61195">
        <w:t xml:space="preserve"> respectiv ar trebui să fie luat în considerare la evaluarea stării chimice. Pentru a ține mai bine seama de riscul prezentat de amestecuri în viitor, Comisia ar trebui să ia în considerare, la următoarea revizuire, stabilirea de standarde pentru suma (sumele) anumitor pesticide, eventual pe baza modului de acțiune și acoperind eventual mai multe pesticide decât cele enumerate individual în anexa I la Directiva 2008/105/CE. Din acest motiv, sintagma „suma (sumele) anumitor pesticide selectate în funcție de modul de acțiune” ar trebui să fie inclusă într-o nouă anexă la directiva respectivă. Comisia ar trebui, de asemenea, să analizeze dacă ar putea fi adoptată o abordare bazată pe riscuri pentru stabilirea unui SCM pentru totalul pesticidelor, care să fie susținut de o metodă de monitorizare adecvată. Întrucât standardele de calitate generice de 0,1 </w:t>
      </w:r>
      <w:proofErr w:type="spellStart"/>
      <w:r w:rsidRPr="00A61195">
        <w:t>μg</w:t>
      </w:r>
      <w:proofErr w:type="spellEnd"/>
      <w:r w:rsidRPr="00A61195">
        <w:t>/L și 0,5 </w:t>
      </w:r>
      <w:proofErr w:type="spellStart"/>
      <w:r w:rsidRPr="00A61195">
        <w:t>μg</w:t>
      </w:r>
      <w:proofErr w:type="spellEnd"/>
      <w:r w:rsidRPr="00A61195">
        <w:t>/L pentru pesticidele individuale și totalul pesticidelor din apele subterane specificate în anexa I la Directiva 2006/118/CE au fost stabilite în anii</w:t>
      </w:r>
      <w:r w:rsidR="00484F04">
        <w:t> </w:t>
      </w:r>
      <w:r w:rsidRPr="00A61195">
        <w:t>1980, fiind limitate de sensibilitatea metodelor analitice disponibile la momentul respectiv, este posibil ca acestea să nu protejeze suficient sănătatea umană sau mediul. Prin urmare, Comisia ar trebui să revizuiască respectivele valori în cadrul următoarei revizuiri a listei poluanților din apele subterane.</w:t>
      </w:r>
    </w:p>
    <w:p w14:paraId="62B28C11" w14:textId="77777777" w:rsidR="00647D0C" w:rsidRPr="00A61195" w:rsidRDefault="00647D0C" w:rsidP="00A61195">
      <w:r w:rsidRPr="00A61195">
        <w:br w:type="page"/>
      </w:r>
    </w:p>
    <w:p w14:paraId="76B45DE3" w14:textId="34FB22F3" w:rsidR="00647D0C" w:rsidRPr="00A61195" w:rsidRDefault="00647D0C" w:rsidP="00A61195">
      <w:pPr>
        <w:pStyle w:val="ManualConsidrant"/>
      </w:pPr>
      <w:r w:rsidRPr="00A61195">
        <w:lastRenderedPageBreak/>
        <w:t>(25)</w:t>
      </w:r>
      <w:r w:rsidRPr="00A61195">
        <w:tab/>
        <w:t>Ca urmare a revizuirii listei de substanțe din partea A din anexa I la Directiva 2008/105/CE, Comisia a identificat o serie de substanțe pe care le-ar putea elimina de pe listă deoarece nu mai prezintă un risc pe scară largă pentru mediul acvatic din Uniune sau prin intermediul acestuia. Cu toate acestea, deoarece substanțele respective prezintă în continuare un risc în unele state membre, este oportun ca acestea să fie incluse, împreună cu SCM-urile aferente, într-o nouă anexă la Directiva 2008/105/CE. Statele membre ar trebui să continue să monitorizeze aceste substanțe în cazul în care le identifică drept poluanți care prezintă motive de îngrijorare la nivel național, regional sau local și să aplice SCM-urile în consecință. S-a avut în vedere eliminarea de pe listă și a altor substanțe, dar acestea au fost reținute pe listă din cauza necesității de a se stabili dacă concentrațiile lor prezintă o tendință descendentă. Pentru unele dintre ele, monitorizarea în temeiul Directivelor 2000/60/CE și 2008/105/CE contribuie, de asemenea, la îndeplinirea obligațiilor de monitorizare în temeiul Convenției de la Stockholm privind poluanții organici persistenți</w:t>
      </w:r>
      <w:r w:rsidRPr="00275CA3">
        <w:rPr>
          <w:rStyle w:val="FootnoteReference"/>
        </w:rPr>
        <w:footnoteReference w:id="17"/>
      </w:r>
      <w:r w:rsidRPr="00A61195">
        <w:t xml:space="preserve"> (denumită în continuare „Convenția de la Stockholm”), semnată la Stockholm la 22 mai 2001, și al Regulamentului (UE) 2019/1021 al Parlamentului European și al Consiliului</w:t>
      </w:r>
      <w:r w:rsidRPr="00275CA3">
        <w:rPr>
          <w:rStyle w:val="FootnoteReference"/>
        </w:rPr>
        <w:footnoteReference w:id="18"/>
      </w:r>
      <w:r w:rsidRPr="00A61195">
        <w:t>.</w:t>
      </w:r>
    </w:p>
    <w:p w14:paraId="0082B505" w14:textId="77777777" w:rsidR="00647D0C" w:rsidRPr="00A61195" w:rsidRDefault="00647D0C" w:rsidP="00A61195">
      <w:r w:rsidRPr="00A61195">
        <w:br w:type="page"/>
      </w:r>
    </w:p>
    <w:p w14:paraId="3167357E" w14:textId="58F9B763" w:rsidR="00647D0C" w:rsidRPr="00A61195" w:rsidRDefault="00647D0C" w:rsidP="00A61195">
      <w:pPr>
        <w:pStyle w:val="ManualConsidrant"/>
      </w:pPr>
      <w:r w:rsidRPr="00A61195">
        <w:lastRenderedPageBreak/>
        <w:t>(26)</w:t>
      </w:r>
      <w:r w:rsidRPr="00A61195">
        <w:tab/>
        <w:t>În conformitate cu Convenția de la Stockholm și cu Regulamentul (UE) 2019/1021, statele membre sunt obligate să asigure protecția sănătății umane și a mediului împotriva poluanților organici persistenți. Statele membre au obligația de a monitoriza prezența poluanților organici persistenți în mediu în conformitate cu articolul 13 alineatul (1) litera (d) din Regulamentul (UE)</w:t>
      </w:r>
      <w:r w:rsidR="00484F04">
        <w:t> </w:t>
      </w:r>
      <w:r w:rsidRPr="00A61195">
        <w:t>2019/1021 care pune în aplicare cerințele de la articolul 11 alineatul (1) din Convenția de la Stockholm.</w:t>
      </w:r>
    </w:p>
    <w:p w14:paraId="30D3A484" w14:textId="58D6526E" w:rsidR="00647D0C" w:rsidRPr="00A61195" w:rsidRDefault="00647D0C" w:rsidP="00A61195">
      <w:pPr>
        <w:pStyle w:val="ManualConsidrant"/>
      </w:pPr>
      <w:r w:rsidRPr="00A61195">
        <w:t>(27)</w:t>
      </w:r>
      <w:r w:rsidRPr="00A61195">
        <w:tab/>
        <w:t xml:space="preserve">Până în prezent, poluanții specifici bazinelor hidrografice care nu sunt identificați drept substanțe prioritare în temeiul Directivei 2000/60/CE au făcut obiectul unor SCM-uri naționale și au fost considerați elemente calitative </w:t>
      </w:r>
      <w:proofErr w:type="spellStart"/>
      <w:r w:rsidRPr="00A61195">
        <w:t>fizico</w:t>
      </w:r>
      <w:proofErr w:type="spellEnd"/>
      <w:r w:rsidRPr="00A61195">
        <w:t>-chimice pentru evaluarea stării ecologice a apelor de suprafață. În ceea ce privește apele subterane, statele membre au avut de asemenea posibilitatea de a-și stabili propriile valori prag, chiar și pentru substanțe sintetice artificiale. Respectiva flexibilitate a condus la rezultate sub nivelul optim în ceea ce privește comparabilitatea stării corpurilor de apă între statele membre și în ceea ce privește protecția mediului. Prin urmare, este necesar să se prevadă o procedură care să permită stabilirea de comun acord la nivelul Uniunii a SCM-urilor și a valorilor prag care urmează să fie aplicate pentru substanțele respective, dacă se constată că acestea prezintă motive de îngrijorare la nivel național, și să se creeze registre cu valorile prag aplicabile în anexa II la Directiva 2006/118/CE și cu SCM-urile aplicabile în cadrul unei noi anexe la Directiva</w:t>
      </w:r>
      <w:r w:rsidR="00484F04">
        <w:t> </w:t>
      </w:r>
      <w:r w:rsidRPr="00A61195">
        <w:t>2008/105/CE. SCM-urile și valorile prag armonizate ar trebui să fie aplicate de statele membre numai la evaluarea stării corpurilor lor de apă din districtele hidrografice în care a fost identificat un risc legat de substanțele respective.</w:t>
      </w:r>
    </w:p>
    <w:p w14:paraId="425B187F" w14:textId="77777777" w:rsidR="00647D0C" w:rsidRPr="00A61195" w:rsidRDefault="00647D0C" w:rsidP="00A61195">
      <w:r w:rsidRPr="00A61195">
        <w:br w:type="page"/>
      </w:r>
    </w:p>
    <w:p w14:paraId="3BC790FC" w14:textId="2F02D901" w:rsidR="00647D0C" w:rsidRPr="00A61195" w:rsidRDefault="00647D0C" w:rsidP="00A61195">
      <w:pPr>
        <w:pStyle w:val="ManualConsidrant"/>
        <w:rPr>
          <w:bCs/>
          <w:iCs/>
        </w:rPr>
      </w:pPr>
      <w:r w:rsidRPr="00A61195">
        <w:lastRenderedPageBreak/>
        <w:t>(28)</w:t>
      </w:r>
      <w:r w:rsidRPr="00A61195">
        <w:tab/>
        <w:t>În plus, prin includerea poluanților specifici bazinelor hidrografice în definiția stării chimice a apelor de suprafață se asigură o abordare cu un grad mai ridicat de coordonare, coerență și transparență în ceea ce privește monitorizarea și evaluarea stării chimice a corpurilor de apă de suprafață și informarea publică aferentă. Se facilitează, de asemenea, o abordare mai bine direcționată pentru identificarea și punerea în aplicare de măsuri de abordare a tuturor aspectelor „legate de substanțele chimice” într-un mod mai global, mai eficace și mai eficient. Prin urmare, definițiile „stării ecologice” și „stării chimice” ar trebui să fie modificate și sfera noțiunii de „stare chimică” ar trebui să fie extinsă, astfel încât să fie incluși și poluanții specifici bazinelor hidrografice, care până în prezent făceau parte din definiția „stării ecologice” din anexa V la Directiva 2000/60/CE. Drept urmare, conceptul de SCM-uri pentru poluanții specifici bazinelor hidrografice și procedurile aferente ar trebui să fie incluse în Directiva 2008/105/CE.</w:t>
      </w:r>
      <w:r w:rsidRPr="00A61195">
        <w:rPr>
          <w:bCs/>
          <w:iCs/>
        </w:rPr>
        <w:t xml:space="preserve"> </w:t>
      </w:r>
      <w:r w:rsidRPr="00A61195">
        <w:t>Nu ar trebui să se considere că starea unui corp de apă s-a deteriorat doar din cauza respectivei schimbări.</w:t>
      </w:r>
    </w:p>
    <w:p w14:paraId="7211ED02" w14:textId="77777777" w:rsidR="00647D0C" w:rsidRPr="00A61195" w:rsidRDefault="00647D0C" w:rsidP="00A61195">
      <w:pPr>
        <w:spacing w:before="0" w:after="160" w:line="259" w:lineRule="auto"/>
        <w:rPr>
          <w:bCs/>
          <w:iCs/>
        </w:rPr>
      </w:pPr>
      <w:r w:rsidRPr="00A61195">
        <w:br w:type="page"/>
      </w:r>
    </w:p>
    <w:p w14:paraId="34BE6149" w14:textId="7B300B63" w:rsidR="00647D0C" w:rsidRPr="00A61195" w:rsidRDefault="00647D0C" w:rsidP="00A61195">
      <w:pPr>
        <w:pStyle w:val="ManualConsidrant"/>
        <w:rPr>
          <w:bCs/>
          <w:iCs/>
        </w:rPr>
      </w:pPr>
      <w:r w:rsidRPr="00A61195">
        <w:lastRenderedPageBreak/>
        <w:t>(29)</w:t>
      </w:r>
      <w:r w:rsidRPr="00A61195">
        <w:tab/>
        <w:t>Mecanismele listelor de supraveghere a apelor de suprafață și a apelor subterane au scopul de a colecta informații cu privire la prezența și distribuția substanțelor care prezintă motive de îngrijorare potențială în mediul acvatic, care, până în prezent, au fost insuficient documentate și pentru care adesea nu există metode analitice standardizate disponibile. În plus, pentru substanțele enumerate în anexa</w:t>
      </w:r>
      <w:r w:rsidR="00484F04">
        <w:t> </w:t>
      </w:r>
      <w:r w:rsidRPr="00A61195">
        <w:t>I la Directiva 2006/118/CE și în anexa I la Directiva 2008/105/CE, metodele analitice disponibile pe piață nu sunt întotdeauna suficient de sensibile pentru a se atinge standardele de calitate propuse. Elaborarea de noi metode și monitorizarea unui număr mai mare de substanțe, grupuri de substanțe sau indicatori reprezintă o provocare și generează costuri mai mari, dar și o nevoie de consolidare a capacității administrative în statele membre, în special în cele cu mai puține resurse. Prin urmare, instituirea unui centru comun de monitorizare pentru gestionarea cerințelor de monitorizare, la cererea statelor membre, le-ar putea ajuta să îndeplinească această sarcină dificilă, reducând sarcinile lor financiare și administrative. Comisia ar trebui să evalueze opțiunile pentru instituirea, finanțarea și funcționarea unui astfel de centru de monitorizare. Utilizarea unui astfel de centru ar trebui să fie opțională, accesibilă tuturor statelor membre interesate, fără a aduce atingere mecanismelor deja existente la nivel național.</w:t>
      </w:r>
    </w:p>
    <w:p w14:paraId="06A6F53B" w14:textId="77777777" w:rsidR="00647D0C" w:rsidRPr="00A61195" w:rsidRDefault="00647D0C" w:rsidP="00A61195">
      <w:pPr>
        <w:spacing w:before="0" w:after="160" w:line="259" w:lineRule="auto"/>
        <w:rPr>
          <w:bCs/>
          <w:iCs/>
        </w:rPr>
      </w:pPr>
      <w:r w:rsidRPr="00A61195">
        <w:br w:type="page"/>
      </w:r>
    </w:p>
    <w:p w14:paraId="4E1A8564" w14:textId="0C95C58C" w:rsidR="00647D0C" w:rsidRPr="00A61195" w:rsidRDefault="00647D0C" w:rsidP="00A61195">
      <w:pPr>
        <w:pStyle w:val="ManualConsidrant"/>
        <w:rPr>
          <w:bCs/>
          <w:iCs/>
        </w:rPr>
      </w:pPr>
      <w:r w:rsidRPr="00A61195">
        <w:lastRenderedPageBreak/>
        <w:t>(30)</w:t>
      </w:r>
      <w:r w:rsidRPr="00A61195">
        <w:tab/>
        <w:t>Mai multe hotărâri ale Curții de Justiție a Uniunii Europene au clarificat conceptul de deteriorare a stării. Prin urmare, în Directiva 2000/60/CE ar trebui să fie introdusă o definiție a deteriorării stării. Astfel cum se menționează în anexa V la directiva respectivă, starea unui corp de apă de suprafață cuprinde atât starea sa ecologică, cât și cea chimică, iar starea unui corp de apă subterană cuprinde atât starea sa cantitativă, cât și cea chimică. În loc să se facă o trimitere separată la fiecare dintre respectivele elemente în definiție, ar trebui să se facă trimitere doar la anexa V la directiva respectivă. În cazul în care starea unui element calitativ pentru apa de suprafață evaluată ca fiind „foarte slabă” sau ca „nereușind să atingă o stare chimică bună” sau starea unui element calitativ pentru un corp de apă subterană evaluată ca fiind „slabă” se deteriorează și mai mult, respectiva deteriorare ar trebui, de asemenea, să fie considerată o deteriorare a stării corpului de apă.</w:t>
      </w:r>
    </w:p>
    <w:p w14:paraId="6A7C2691" w14:textId="77777777" w:rsidR="00647D0C" w:rsidRPr="00A61195" w:rsidRDefault="00647D0C" w:rsidP="00A61195">
      <w:pPr>
        <w:rPr>
          <w:bCs/>
          <w:iCs/>
        </w:rPr>
      </w:pPr>
      <w:r w:rsidRPr="00A61195">
        <w:br w:type="page"/>
      </w:r>
    </w:p>
    <w:p w14:paraId="1B4215D2" w14:textId="0A20D4FC" w:rsidR="00647D0C" w:rsidRPr="00A61195" w:rsidRDefault="00647D0C" w:rsidP="00A61195">
      <w:pPr>
        <w:pStyle w:val="ManualConsidrant"/>
        <w:rPr>
          <w:bCs/>
          <w:iCs/>
        </w:rPr>
      </w:pPr>
      <w:r w:rsidRPr="00A61195">
        <w:lastRenderedPageBreak/>
        <w:t>(31)</w:t>
      </w:r>
      <w:r w:rsidRPr="00A61195">
        <w:tab/>
        <w:t xml:space="preserve">Hotărârile Curții de Justiție a Uniunii Europene, combinate cu adăugiri la listele de substanțe, precum și cu standarde mai stricte pentru poluanții existenți, au făcut mai dificilă aplicarea principiului nedeteriorării din Directiva 2000/60/CE, în special pentru proiectele care au un impact negativ pe termen scurt asupra corpurilor de apă sau pentru proiectele și activitățile care au un impact negativ asupra corpurilor de apă din cauza relocării apei sau a sedimentelor care conțin poluanți. În cazul proiectelor care au un impact negativ pe termen scurt asupra unuia sau mai multor elemente calitative ale unui corp de apă, este esențial să se confirme că impactul negativ asupra respectivelor elemente calitative nu mai este detectabil după un an sau, în cazul elementelor calitative biologice, după maximum trei ani. Pentru a se asigura că impactul negativ nu mai este prezent, statele membre ar trebui să aibă posibilitatea de a utiliza mecanismele de monitorizare existente. Cu toate acestea, este posibil ca astfel de mecanisme să nu fie suficiente, de exemplu atunci când starea este determinată de obicei prin extrapolare sau dacă elementele calitative afectate sunt diferite de cele considerate cele mai sensibile la presiunile și impacturile de rutină și, prin urmare, nu sunt monitorizate periodic. În aceste cazuri, verificarea </w:t>
      </w:r>
      <w:r w:rsidRPr="00A61195">
        <w:rPr>
          <w:i/>
          <w:iCs/>
        </w:rPr>
        <w:t>ex post</w:t>
      </w:r>
      <w:r w:rsidRPr="00A61195">
        <w:t xml:space="preserve"> ar trebui să fie efectuată printr-o monitorizare suplimentară și adaptată. În cazul proiectelor sau al activităților care au un impact negativ asupra corpurilor de apă ca urmare a relocării apei sau a sedimentelor poluate, concentrațiile de poluanți din corpul de apă sursă ar putea scădea, iar cele din corpul de apă receptor ar putea crește, în pofida faptului că nu există nicio modificare generală a bilanțului </w:t>
      </w:r>
      <w:proofErr w:type="spellStart"/>
      <w:r w:rsidRPr="00A61195">
        <w:t>masic</w:t>
      </w:r>
      <w:proofErr w:type="spellEnd"/>
      <w:r w:rsidRPr="00A61195">
        <w:t xml:space="preserve"> al poluanților. Printre astfel de activități se numără evacuarea apei de scurgere contaminate provenind de la lucrările de construcții sau relocarea sedimentelor dragate pentru protecția împotriva inundațiilor sau pentru navigație; astfel de activități ar trebui să fie permise, cu condiția îndeplinirii mai multor criterii. </w:t>
      </w:r>
      <w:r w:rsidRPr="00A61195">
        <w:br w:type="page"/>
      </w:r>
      <w:r w:rsidRPr="00A61195">
        <w:lastRenderedPageBreak/>
        <w:t xml:space="preserve">Respectivele criterii ar trebui să includă cerința ca toate măsurile fezabile, inclusiv tratarea, să fie luate pentru a atenua orice impact negativ și ca corpul de apă de suprafață receptor să se afle deja într-o stare chimică nesatisfăcătoare în ceea ce privește majoritatea substanțelor relocate și, în special, în ceea ce privește substanțele cele mai persistente și mai </w:t>
      </w:r>
      <w:proofErr w:type="spellStart"/>
      <w:r w:rsidRPr="00A61195">
        <w:t>bioacumulative</w:t>
      </w:r>
      <w:proofErr w:type="spellEnd"/>
      <w:r w:rsidRPr="00A61195">
        <w:t>, cum ar fi PFAS, precum și ca informațiile referitoare la criterii și la motivele relocării să fie furnizate în planul relevant de gestionare a bazinului hidrografic. Criteriile sunt menite să asigure menținerea nivelului general de protecție a sănătății umane și a mediului prevăzut de Directiva 2000/60/CE. Relocarea apei sau a sedimentelor poluate nu ar trebui să afecteze calitatea resurselor de apă potabilă și, prin urmare, ar trebui să fie stabilită o zonă adiacentă oricărui punct de captare a apei potabile în care sunt necesare măsuri de precauție mai stricte. În cazul în care statele membre au stabilit deja zone de protecție în temeiul articolului 7 din Directiva 2000/60/CE sau al articolului 8 din Directiva (UE) 2020/2184, aceste zone ar putea fi utilizate în acest scop.</w:t>
      </w:r>
    </w:p>
    <w:p w14:paraId="33CCA523" w14:textId="77777777" w:rsidR="00647D0C" w:rsidRPr="00A61195" w:rsidRDefault="00647D0C" w:rsidP="00A61195">
      <w:r w:rsidRPr="00A61195">
        <w:br w:type="page"/>
      </w:r>
    </w:p>
    <w:p w14:paraId="514BDADA" w14:textId="62AD7775" w:rsidR="00647D0C" w:rsidRPr="00A61195" w:rsidRDefault="00647D0C" w:rsidP="00A61195">
      <w:pPr>
        <w:pStyle w:val="ManualConsidrant"/>
        <w:rPr>
          <w:bCs/>
          <w:iCs/>
        </w:rPr>
      </w:pPr>
      <w:r w:rsidRPr="00A61195">
        <w:lastRenderedPageBreak/>
        <w:t>(32)</w:t>
      </w:r>
      <w:r w:rsidRPr="00A61195">
        <w:tab/>
        <w:t>Tranziția verde și alte activități de interes public, cum ar fi în domeniile securității și apărării, necesită investiții semnificative în noi tehnologii și dezvoltarea de noi tehnologii, ceea ce poate fi dificil de conciliat cu obiectivele Directivei 2000/60/CE, de exemplu dacă tehnologiile respective necesită extracția și utilizarea de materii prime critice care provoacă emisii de substanțe care prezintă motive de îngrijorare emergente. Este important să se evalueze riscurile potențiale pentru mediu sau pentru sănătatea umană generate de aceste substanțe. Acest lucru ar trebui să fie luat în considerare în momentul includerii substanțelor pe listele de supraveghere. Este la fel de important să se identifice potențialele conflicte dintre respectivele obiective generale și să se elaboreze răspunsuri adecvate la ele. Acest lucru ar putea fi realizat ca parte a raportului privind punerea în aplicare întocmit de Comisie în conformitate cu articolul 18 din Directiva 2000/60/CE.</w:t>
      </w:r>
    </w:p>
    <w:p w14:paraId="3676CA36" w14:textId="3C47342A" w:rsidR="00647D0C" w:rsidRPr="00A61195" w:rsidRDefault="00647D0C" w:rsidP="00A61195">
      <w:pPr>
        <w:pStyle w:val="ManualConsidrant"/>
      </w:pPr>
      <w:r w:rsidRPr="00A61195">
        <w:t>(33)</w:t>
      </w:r>
      <w:r w:rsidRPr="00A61195">
        <w:tab/>
        <w:t>În vederea asigurării unei abordări armonizate și a unor condiții de concurență echitabile în Uniune, competența de a adopta acte în conformitate cu articolul 290 din TFUE ar trebui să fie delegată Comisiei pentru modificarea părților A și C din anexa II și a anexelor III și IV la Directiva 2006/118/CE în ceea ce privește orientările referitoare la stabilirea valorilor prag de către statele membre, informațiile care trebuie furnizate de statele membre cu privire la poluanții și indicatorii poluării pentru care au fost stabilite valori prag, evaluarea stării chimice a apelor subterane și identificarea și inversarea tendințelor ascendente semnificative și durabile.</w:t>
      </w:r>
    </w:p>
    <w:p w14:paraId="7AE91398" w14:textId="77777777" w:rsidR="00647D0C" w:rsidRPr="00A61195" w:rsidRDefault="00647D0C">
      <w:pPr>
        <w:spacing w:before="0" w:after="160" w:line="259" w:lineRule="auto"/>
      </w:pPr>
      <w:r w:rsidRPr="00A61195">
        <w:br w:type="page"/>
      </w:r>
    </w:p>
    <w:p w14:paraId="0638418D" w14:textId="4CE7FD31" w:rsidR="00647D0C" w:rsidRPr="00A61195" w:rsidRDefault="00647D0C" w:rsidP="00A61195">
      <w:pPr>
        <w:pStyle w:val="ManualConsidrant"/>
      </w:pPr>
      <w:r w:rsidRPr="00A61195">
        <w:lastRenderedPageBreak/>
        <w:t>(34)</w:t>
      </w:r>
      <w:r w:rsidRPr="00A61195">
        <w:tab/>
        <w:t>Dată fiind necesitatea de adaptare rapidă la cunoștințele științifice și tehnice și de asigurare a unei abordări armonizate și a unor condiții de concurență echitabile în Uniune în ceea ce privește procedura de stabilire a SCM-urilor pentru poluanții specifici bazinelor hidrografice, competența de a adopta acte în conformitate cu articolul 290 din TFUE ar trebui să fie delegată Comisiei pentru modificarea părții B din anexa II la Directiva 2008/105/CE.</w:t>
      </w:r>
    </w:p>
    <w:p w14:paraId="37378016" w14:textId="28978B35" w:rsidR="00647D0C" w:rsidRPr="00A61195" w:rsidRDefault="00647D0C" w:rsidP="00A61195">
      <w:pPr>
        <w:pStyle w:val="ManualConsidrant"/>
      </w:pPr>
      <w:r w:rsidRPr="00A61195">
        <w:t>(35)</w:t>
      </w:r>
      <w:r w:rsidRPr="00A61195">
        <w:tab/>
        <w:t>Concluzia revizuirii listei de substanțe prioritare din partea A din anexa I la Directiva 2008/105/CE a fost că mai multe substanțe prioritare nu mai prezintă motive de îngrijorare la nivelul Uniunii și, prin urmare, că nu ar mai trebui să figureze în anexa respectivă. Prin urmare, respectivele substanțe ar trebui să fie considerate poluanți specifici bazinelor hidrografice și incluse într-o nouă anexă la Directiva 2008/105/CE, împreună cu SCM-urile aferente.</w:t>
      </w:r>
    </w:p>
    <w:p w14:paraId="673998DE" w14:textId="77777777" w:rsidR="00647D0C" w:rsidRPr="00A61195" w:rsidRDefault="00647D0C" w:rsidP="00647D0C">
      <w:pPr>
        <w:spacing w:before="0" w:after="160" w:line="259" w:lineRule="auto"/>
      </w:pPr>
      <w:r w:rsidRPr="00A61195">
        <w:br w:type="page"/>
      </w:r>
    </w:p>
    <w:p w14:paraId="27AA646D" w14:textId="7BF372C8" w:rsidR="00647D0C" w:rsidRPr="00A61195" w:rsidRDefault="00647D0C" w:rsidP="00A61195">
      <w:pPr>
        <w:pStyle w:val="ManualConsidrant"/>
      </w:pPr>
      <w:r w:rsidRPr="00A61195">
        <w:lastRenderedPageBreak/>
        <w:t>(36)</w:t>
      </w:r>
      <w:r w:rsidRPr="00A61195">
        <w:tab/>
        <w:t>Pentru a se asigura condiții de concurență echitabile în Uniune și a se permite comparabilitatea stării corpurilor de apă între statele membre, este necesar să se armonizeze valorile prag naționale pentru anumiți poluanți sintetici artificiali ai apelor subterane. Ar trebui să fie stabilite valori prag, după caz, la nivelul Uniunii pentru poluanții care au o origine antropică sau pentru produșii de degradare sau de descompunere a acestora, cu condiția ca respectivii poluanți și produși de degradare să nu fie prezenți în mod natural în apele subterane sau, în cazul existenței unor omologi naturali identici, cu condiția ca nivelurile naturale să fie, cel mult, scăzute. Aceste valori prag ar trebui să fie incluse în registrul cu valori prag armonizate pentru substanțele sintetice artificiale din apele subterane care prezintă motive de îngrijorare la nivel național, regional sau local într</w:t>
      </w:r>
      <w:r w:rsidR="00484F04">
        <w:noBreakHyphen/>
      </w:r>
      <w:r w:rsidRPr="00A61195">
        <w:t>o nouă parte</w:t>
      </w:r>
      <w:r w:rsidR="00484F04">
        <w:t> </w:t>
      </w:r>
      <w:r w:rsidRPr="00A61195">
        <w:t>D din anexa II la Directiva 2006/118/CE. Ar trebui să fie inclusă o valoare prag armonizată pentru produsele farmaceutice individuale pe care statele membre să o aplice pentru orice substanță activă farmaceutică identificată ca prezentând un risc la nivel național, cu excepția cazului în care s-a stabilit în mod specific un standard sau o valoare prag mai strictă pentru substanța respectivă la nivelul Uniunii sau la nivel național.</w:t>
      </w:r>
    </w:p>
    <w:p w14:paraId="4EDB7307" w14:textId="77777777" w:rsidR="00647D0C" w:rsidRPr="00A61195" w:rsidRDefault="00647D0C" w:rsidP="00A61195">
      <w:r w:rsidRPr="00A61195">
        <w:br w:type="page"/>
      </w:r>
    </w:p>
    <w:p w14:paraId="53D8ADAE" w14:textId="4D417316" w:rsidR="00647D0C" w:rsidRPr="00A61195" w:rsidRDefault="00647D0C" w:rsidP="00A61195">
      <w:pPr>
        <w:pStyle w:val="ManualConsidrant"/>
      </w:pPr>
      <w:r w:rsidRPr="00A61195">
        <w:lastRenderedPageBreak/>
        <w:t>(37)</w:t>
      </w:r>
      <w:r w:rsidRPr="00A61195">
        <w:tab/>
        <w:t>Toate dispozițiile Directivei 2006/118/CE referitoare la evaluarea stării chimice a apelor subterane ar trebui să fie adaptate pentru a se ține seama de introducerea celei de a treia categorii de valori prag armonizate într-o nouă parte</w:t>
      </w:r>
      <w:r w:rsidR="009D708A">
        <w:t> </w:t>
      </w:r>
      <w:r w:rsidRPr="00A61195">
        <w:t>D în cadrul anexei</w:t>
      </w:r>
      <w:r w:rsidR="009D708A">
        <w:t> </w:t>
      </w:r>
      <w:r w:rsidRPr="00A61195">
        <w:t>II la directiva respectivă, în plus față de standardele de calitate stabilite în anexa</w:t>
      </w:r>
      <w:r w:rsidR="009D708A">
        <w:t> </w:t>
      </w:r>
      <w:r w:rsidRPr="00A61195">
        <w:t>I la directiva respectivă și de valorile prag naționale stabilite în conformitate cu metodologia prevăzută în partea A din anexa II la directiva respectivă.</w:t>
      </w:r>
    </w:p>
    <w:p w14:paraId="3A8BD9C2" w14:textId="74DD6037" w:rsidR="00647D0C" w:rsidRPr="00A61195" w:rsidRDefault="00647D0C" w:rsidP="00A61195">
      <w:pPr>
        <w:pStyle w:val="ManualConsidrant"/>
      </w:pPr>
      <w:r w:rsidRPr="00A61195">
        <w:t>(38)</w:t>
      </w:r>
      <w:r w:rsidRPr="00A61195">
        <w:tab/>
        <w:t>Pentru a se asigura un proces decizional eficace și coerent și pentru a se dezvolta sinergii cu activitatea desfășurată în cadrul altor acte legislative ale Uniunii privind substanțele chimice, ECHA</w:t>
      </w:r>
      <w:r w:rsidRPr="00A61195" w:rsidDel="008F2FBC">
        <w:t xml:space="preserve"> </w:t>
      </w:r>
      <w:r w:rsidRPr="00A61195">
        <w:t>ar trebui să i se acorde un rol permanent și clar delimitat în activitatea de stabilire a substanțelor de inclus în mod prioritar pe listele de supraveghere și pe listele de substanțe din anexele I și II la Directiva 2008/105/CE și din anexele I și II la Directiva 2006/118/CE, precum și în activitatea de stabilire a unor standarde de calitate adecvate bazate pe date științifice. Comitetul pentru evaluarea riscurilor (CER) și Comitetul pentru analiză socioeconomică (CASE) din cadrul ECHA ar trebui să faciliteze, prin emiterea de avize, îndeplinirea anumitor sarcini conferite ECHA. ECHA ar trebui, de asemenea, să asigure o mai bună coordonare între diferitele acte legislative din domeniul mediului printr-o transparență sporită în ceea ce privește poluanții de pe o listă de supraveghere sau elaborarea de SCM-uri sau valori prag la nivelul Uniunii sau la nivel național, punând la dispoziția publicului rapoartele științifice relevante. În procesul de stabilire a valorilor prag pentru substanțele farmaceutice, ECHA ar trebui să coopereze cu Agenția Europeană pentru Medicamente (EMA).</w:t>
      </w:r>
    </w:p>
    <w:p w14:paraId="222DB062" w14:textId="77777777" w:rsidR="00647D0C" w:rsidRPr="00A61195" w:rsidRDefault="00647D0C" w:rsidP="00A61195">
      <w:r w:rsidRPr="00A61195">
        <w:br w:type="page"/>
      </w:r>
    </w:p>
    <w:p w14:paraId="4DD46F53" w14:textId="7D7AEAF7" w:rsidR="00647D0C" w:rsidRPr="00A61195" w:rsidRDefault="00647D0C" w:rsidP="00A61195">
      <w:pPr>
        <w:pStyle w:val="ManualConsidrant"/>
      </w:pPr>
      <w:r w:rsidRPr="00A61195">
        <w:lastRenderedPageBreak/>
        <w:t>(39)</w:t>
      </w:r>
      <w:r w:rsidRPr="00A61195">
        <w:tab/>
        <w:t>Din verificarea adecvării a reieșit că este necesară o raportare electronică mai frecventă și optimizată pentru a se promova o mai bună punere în aplicare și asigurare a respectării legislației Uniunii în domeniul apei. Având în vedere rolul său de a monitoriza cu o frecvență mai mare starea de poluare, astfel cum se descrie în Planul de acțiune privind reducerea la zero a poluării, Agenția Europeană de Mediu (AEM) ar trebui să faciliteze o astfel de raportare mai frecventă și optimizată a datelor de monitorizare de către statele membre. Este important ca aceste informații esențiale referitoare la mediu să fie puse la dispoziția publicului și a Comisiei în timp util. Fără a aduce atingere obligațiilor privind frecvența de monitorizare prevăzute în Directivele 2000/60/CE, 2006/118/CE și</w:t>
      </w:r>
      <w:r w:rsidR="009D708A">
        <w:t> </w:t>
      </w:r>
      <w:r w:rsidRPr="00A61195">
        <w:t>2008/105/CE</w:t>
      </w:r>
      <w:r w:rsidR="00386139">
        <w:t xml:space="preserve"> </w:t>
      </w:r>
      <w:r w:rsidRPr="00A61195">
        <w:t xml:space="preserve">și în măsura în care obligațiile de monitorizare în temeiul directivelor respective au generat noi date de monitorizare, statele membre ar trebui să pună următoarele date la dispoziția publicului și a AEM: (i) o dată la trei ani, datele de monitorizare privind elementele calitative biologice din apele de suprafață colectate și validate în ultimii trei ani și (ii) o dată la doi ani, datele de monitorizare privind elementele calitative chimice din apele de suprafață și din apele subterane colectate și validate în ultimii doi ani. Acest lucru ar trebui să aibă loc prin intermediul mecanismelor existente de transmitere electronică a datelor, cum ar fi sistemul </w:t>
      </w:r>
      <w:proofErr w:type="spellStart"/>
      <w:r w:rsidRPr="00A61195">
        <w:t>Reportnet</w:t>
      </w:r>
      <w:proofErr w:type="spellEnd"/>
      <w:r w:rsidRPr="00A61195">
        <w:t xml:space="preserve"> al AEM, cu transmiterea de date facilitată de automatizare, aliniat la fluxurile de date relevante din cadrul Sistemului european de informații privind apa – Starea mediului. Statele membre sunt încurajate să pună anual la dispoziția publicului și a AEM datele de monitorizare privind elementele calitative chimice. </w:t>
      </w:r>
      <w:r w:rsidRPr="00A61195">
        <w:br w:type="page"/>
      </w:r>
      <w:r w:rsidRPr="00A61195">
        <w:lastRenderedPageBreak/>
        <w:t>Raportarea stării va continua să aibă loc în cadrul planurilor de gestionare a bazinelor hidrografice întocmite o dată la șase ani. Se preconizează că sarcina administrativă va fi limitată, dat fiind că statele membre au deja obligația de a pune la dispoziția publicului categorii de date spațiale în temeiul Directivei 2007/2/CE a Parlamentului European și a Consiliului</w:t>
      </w:r>
      <w:r w:rsidRPr="00275CA3">
        <w:rPr>
          <w:rStyle w:val="FootnoteReference"/>
        </w:rPr>
        <w:footnoteReference w:id="19"/>
      </w:r>
      <w:r w:rsidRPr="00A61195">
        <w:t>, precum și în temeiul Directivei (UE) 2019/1024 a Parlamentului European și a Consiliului</w:t>
      </w:r>
      <w:r w:rsidRPr="00275CA3">
        <w:rPr>
          <w:rStyle w:val="FootnoteReference"/>
        </w:rPr>
        <w:footnoteReference w:id="20"/>
      </w:r>
      <w:r w:rsidRPr="00A61195">
        <w:t>.</w:t>
      </w:r>
    </w:p>
    <w:p w14:paraId="69BFA72E" w14:textId="77777777" w:rsidR="00647D0C" w:rsidRPr="00A61195" w:rsidRDefault="00647D0C" w:rsidP="00A61195">
      <w:pPr>
        <w:rPr>
          <w:bCs/>
          <w:iCs/>
        </w:rPr>
      </w:pPr>
      <w:r w:rsidRPr="00A61195">
        <w:br w:type="page"/>
      </w:r>
    </w:p>
    <w:p w14:paraId="787D7C5B" w14:textId="147EB704" w:rsidR="00647D0C" w:rsidRPr="00A61195" w:rsidRDefault="00647D0C" w:rsidP="00A61195">
      <w:pPr>
        <w:pStyle w:val="ManualConsidrant"/>
        <w:rPr>
          <w:bCs/>
          <w:iCs/>
        </w:rPr>
      </w:pPr>
      <w:r w:rsidRPr="00A61195">
        <w:lastRenderedPageBreak/>
        <w:t>(40)</w:t>
      </w:r>
      <w:r w:rsidRPr="00A61195">
        <w:tab/>
        <w:t>Evaluarea stării în temeiul Directivei 2000/60/CE se bazează pe principiul celei mai defavorabile situații (</w:t>
      </w:r>
      <w:proofErr w:type="spellStart"/>
      <w:r w:rsidRPr="00A61195">
        <w:rPr>
          <w:i/>
          <w:iCs/>
        </w:rPr>
        <w:t>one</w:t>
      </w:r>
      <w:proofErr w:type="spellEnd"/>
      <w:r w:rsidRPr="00A61195">
        <w:rPr>
          <w:i/>
          <w:iCs/>
        </w:rPr>
        <w:t xml:space="preserve"> out </w:t>
      </w:r>
      <w:proofErr w:type="spellStart"/>
      <w:r w:rsidRPr="00A61195">
        <w:rPr>
          <w:i/>
          <w:iCs/>
        </w:rPr>
        <w:t>all</w:t>
      </w:r>
      <w:proofErr w:type="spellEnd"/>
      <w:r w:rsidRPr="00A61195">
        <w:rPr>
          <w:i/>
          <w:iCs/>
        </w:rPr>
        <w:t xml:space="preserve"> out)</w:t>
      </w:r>
      <w:r w:rsidRPr="00A61195">
        <w:t xml:space="preserve"> conform căruia starea corpului de apă este determinată de elementul calitativ cu cea mai defavorabilă stare, principiu care ar trebui să rămână valabil. Prin urmare, este important ca statele membre să ia toate măsurile posibile pentru a obține o stare bună sau un potențial bun, după caz, în privința fiecărui element calitativ individual relevant. În același timp, pentru a se asigura că progresele înregistrate sau lipsa acestora în ceea ce privește elementele calitative individuale sunt vizibile, chiar și atunci când nu toate aceste elemente ating o stare bună sau un potențial bun, și că progresele înregistrate sau lipsa acestora în toate statele membre pot fi comparate, ar trebui să fie elaborați și armonizați la nivelul Uniunii indicatori de progres pentru prezentarea și raportarea uniformă de către statele membre a stării sau potențialului elementelor calitative individuale respective într-un mod defalcat. Respectivii indicatori de progres ar trebui să fie interpretați fără a aduce atingere concluziilor desprinse în urma aplicării principiului celei mai defavorabile situații(</w:t>
      </w:r>
      <w:proofErr w:type="spellStart"/>
      <w:r w:rsidRPr="00A61195">
        <w:rPr>
          <w:i/>
          <w:iCs/>
        </w:rPr>
        <w:t>one</w:t>
      </w:r>
      <w:proofErr w:type="spellEnd"/>
      <w:r w:rsidRPr="00A61195">
        <w:rPr>
          <w:i/>
          <w:iCs/>
        </w:rPr>
        <w:t xml:space="preserve"> out </w:t>
      </w:r>
      <w:proofErr w:type="spellStart"/>
      <w:r w:rsidRPr="00A61195">
        <w:rPr>
          <w:i/>
          <w:iCs/>
        </w:rPr>
        <w:t>all</w:t>
      </w:r>
      <w:proofErr w:type="spellEnd"/>
      <w:r w:rsidRPr="00A61195">
        <w:rPr>
          <w:i/>
          <w:iCs/>
        </w:rPr>
        <w:t xml:space="preserve"> out</w:t>
      </w:r>
      <w:r w:rsidRPr="00A61195">
        <w:t>).</w:t>
      </w:r>
    </w:p>
    <w:p w14:paraId="01189770" w14:textId="77777777" w:rsidR="00647D0C" w:rsidRPr="00A61195" w:rsidRDefault="00647D0C" w:rsidP="00647D0C">
      <w:pPr>
        <w:spacing w:before="0" w:after="160" w:line="259" w:lineRule="auto"/>
      </w:pPr>
      <w:r w:rsidRPr="00A61195">
        <w:br w:type="page"/>
      </w:r>
    </w:p>
    <w:p w14:paraId="27765837" w14:textId="31082326" w:rsidR="00647D0C" w:rsidRPr="00A61195" w:rsidRDefault="00647D0C" w:rsidP="00A61195">
      <w:pPr>
        <w:pStyle w:val="ManualConsidrant"/>
      </w:pPr>
      <w:r w:rsidRPr="00A61195">
        <w:lastRenderedPageBreak/>
        <w:t>(41)</w:t>
      </w:r>
      <w:r w:rsidRPr="00A61195">
        <w:tab/>
        <w:t>Printr-o mai bună coordonare a fluxurilor de date raportate către AEM în temeiul legislației Uniunii în domeniul apei, în special a inventarelor emisiilor prevăzute de Directiva 2008/105/CE, cu fluxurile de date raportate în Portalul emisiilor industriale în temeiul Directivei 2010/75/UE și al Regulamentului (UE) 2024/1244 al Parlamentului European și al Consiliului</w:t>
      </w:r>
      <w:r w:rsidRPr="00275CA3">
        <w:rPr>
          <w:rStyle w:val="FootnoteReference"/>
        </w:rPr>
        <w:footnoteReference w:id="21"/>
      </w:r>
      <w:r w:rsidRPr="00A61195">
        <w:t>, raportarea inventarelor, efectuată în conformitate cu articolul 5 din Directiva 2008/105/CE, va deveni mai simplă și mai eficientă. În același timp, se vor reduce sarcina administrativă și volumul de activitate în perioada de vârf din cadrul pregătirii planurilor de gestionare a bazinelor hidrografice. În combinație cu desființarea raportării interimare privind progresul înregistrat în ceea ce privește punerea în aplicare a programelor de măsuri, care nu s-a dovedit a fi eficace, această raportare simplificată va permite statelor membre să depună mai multe eforturi pentru raportarea emisiilor care până de curând nu erau reglementate de legislația privind emisiile industriale,</w:t>
      </w:r>
      <w:bookmarkStart w:id="4" w:name="DQCErrorScope1EA5CF343C399FCC18793AC755E"/>
      <w:r w:rsidRPr="00A61195">
        <w:t xml:space="preserve"> </w:t>
      </w:r>
      <w:bookmarkEnd w:id="4"/>
      <w:r w:rsidRPr="00A61195">
        <w:t>deși acestea făceau obiectul raportării emisiilor în temeiul articolului 5 din Directiva 2008/105/CE.</w:t>
      </w:r>
    </w:p>
    <w:p w14:paraId="0222F620" w14:textId="77777777" w:rsidR="00647D0C" w:rsidRPr="00A61195" w:rsidRDefault="00647D0C" w:rsidP="00A61195">
      <w:r w:rsidRPr="00A61195">
        <w:br w:type="page"/>
      </w:r>
    </w:p>
    <w:p w14:paraId="1248D4D3" w14:textId="1103A99A" w:rsidR="00647D0C" w:rsidRPr="00A61195" w:rsidRDefault="00647D0C" w:rsidP="00A61195">
      <w:pPr>
        <w:pStyle w:val="ManualConsidrant"/>
      </w:pPr>
      <w:r w:rsidRPr="00A61195">
        <w:lastRenderedPageBreak/>
        <w:t>(42)</w:t>
      </w:r>
      <w:r w:rsidRPr="00A61195">
        <w:tab/>
        <w:t>Tratatul de la Lisabona de modificare a Tratatului privind Uniunea Europeană și a Tratatului de instituire a Comunității Europene</w:t>
      </w:r>
      <w:r w:rsidRPr="00275CA3">
        <w:rPr>
          <w:rStyle w:val="FootnoteReference"/>
        </w:rPr>
        <w:footnoteReference w:id="22"/>
      </w:r>
      <w:r w:rsidRPr="00A61195">
        <w:t>, semnat la Lisabona la 13 decembrie 2007, a introdus o distincție între competențele delegate Comisiei de a adopta acte delegate, și anume acte fără caracter legislativ și cu domeniu de aplicare</w:t>
      </w:r>
      <w:r w:rsidR="009D708A">
        <w:t xml:space="preserve"> </w:t>
      </w:r>
      <w:r w:rsidRPr="00A61195">
        <w:t>general pentru a completa sau modifica anumite elemente neesențiale ale unui act legislativ, și competențele conferite Comisiei de a adopta acte de punere în aplicare, și anume acte pentru a asigura condiții uniforme pentru punerea în aplicare a actelor obligatorii din punct de vedere juridic ale Uniunii. Directivele 2000/60/CE și 2006/118/CE ar trebui să fie aliniate la cadrul juridic introdus de tratatul respectiv.</w:t>
      </w:r>
    </w:p>
    <w:p w14:paraId="0F195E6A" w14:textId="548E23BA" w:rsidR="00647D0C" w:rsidRPr="00A61195" w:rsidRDefault="00647D0C" w:rsidP="00A61195">
      <w:pPr>
        <w:pStyle w:val="ManualConsidrant"/>
      </w:pPr>
      <w:r w:rsidRPr="00A61195">
        <w:t>(43)</w:t>
      </w:r>
      <w:r w:rsidRPr="00A61195">
        <w:tab/>
        <w:t xml:space="preserve">Împuternicirea de la articolul 20 alineatul (1) primul paragraf din Directiva 2000/60/CE, la care se prevede recurgerea la procedura de reglementare cu control, îndeplinește criteriile prevăzute la articolul 290 alineatul (1) din TFUE, deoarece se referă la adaptări ale anexelor la directiva respectivă </w:t>
      </w:r>
      <w:r w:rsidR="009D708A">
        <w:t>3</w:t>
      </w:r>
      <w:r w:rsidRPr="00A61195">
        <w:t>și la adoptarea de norme de completare a acesteia. Aceasta ar trebui, prin urmare, să fie transformată într-o împuternicire acordată Comisiei de a adopta acte delegate. Împuternicirea de la punctul 1.4.1 litera (ix) din anexa V la Directiva 2000/60/CE, care prevede recurgerea la procedura de reglementare cu control, îndeplinește criteriile prevăzute la articolul 291 alineatul (2) din TFUE deoarece se referă la condiții uniforme de punere în aplicare a directivei respective. Ea ar trebui să fie transformată, prin urmare, în împuternicire acordată Comisiei pentru adoptarea de acte de punere în aplicare.</w:t>
      </w:r>
    </w:p>
    <w:p w14:paraId="5B47BA5F" w14:textId="77777777" w:rsidR="00647D0C" w:rsidRPr="00A61195" w:rsidRDefault="00647D0C" w:rsidP="00A61195">
      <w:r w:rsidRPr="00A61195">
        <w:br w:type="page"/>
      </w:r>
    </w:p>
    <w:p w14:paraId="69C5B6FF" w14:textId="77777777" w:rsidR="00647D0C" w:rsidRPr="00A61195" w:rsidRDefault="00647D0C" w:rsidP="00A61195">
      <w:pPr>
        <w:pStyle w:val="ManualConsidrant"/>
      </w:pPr>
      <w:r w:rsidRPr="00A61195">
        <w:lastRenderedPageBreak/>
        <w:t>(44)</w:t>
      </w:r>
      <w:r w:rsidRPr="00A61195">
        <w:tab/>
        <w:t>Împuternicirea de la articolul 8 alineatul (1) din Directiva 2006/118/CE, care prevede recurgerea la procedura de reglementare cu control, îndeplinește criteriile prevăzute la articolul 290 alineatul (1) din TFUE deoarece se referă la adaptări ale părților A și C din anexa II și ale anexelor III și IV la directiva respectivă. Ea ar trebui să fie transformată, prin urmare, în împuternicire acordată Comisiei pentru adoptarea de acte delegate.</w:t>
      </w:r>
    </w:p>
    <w:p w14:paraId="610A4D1F" w14:textId="34351466" w:rsidR="00647D0C" w:rsidRPr="00A61195" w:rsidRDefault="00647D0C" w:rsidP="00A61195">
      <w:pPr>
        <w:pStyle w:val="ManualConsidrant"/>
      </w:pPr>
      <w:r w:rsidRPr="00A61195">
        <w:t>(45)</w:t>
      </w:r>
      <w:r w:rsidRPr="00A61195">
        <w:tab/>
        <w:t>Este deosebit de important ca, în cursul lucrărilor sale pregătitoare privind actele delegate, Comisia să organizeze consultări adecvate, inclusiv la nivel de experți, și ca respectivele consultări să se desfășoare în conformitate cu principiile stabilite în Acordul interinstituțional din 13 aprilie 2016 privind o mai bună legiferare</w:t>
      </w:r>
      <w:r w:rsidRPr="00275CA3">
        <w:rPr>
          <w:rStyle w:val="FootnoteReference"/>
        </w:rPr>
        <w:footnoteReference w:id="23"/>
      </w:r>
      <w:r w:rsidRPr="00A61195">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14:paraId="633D7B19" w14:textId="77777777" w:rsidR="00647D0C" w:rsidRPr="00A61195" w:rsidRDefault="00647D0C" w:rsidP="00A61195">
      <w:r w:rsidRPr="00A61195">
        <w:br w:type="page"/>
      </w:r>
    </w:p>
    <w:p w14:paraId="48A849F2" w14:textId="13066341" w:rsidR="00647D0C" w:rsidRPr="00A61195" w:rsidRDefault="00647D0C" w:rsidP="00A61195">
      <w:pPr>
        <w:pStyle w:val="ManualConsidrant"/>
      </w:pPr>
      <w:r w:rsidRPr="00A61195">
        <w:lastRenderedPageBreak/>
        <w:t>(46)</w:t>
      </w:r>
      <w:r w:rsidRPr="00A61195">
        <w:tab/>
        <w:t>Împuternicirea de la articolul 8 alineatul (3) din Directiva 2000/60/CE, care prevede utilizarea procedurii de reglementare cu control, îndeplinește criteriile prevăzute la articolul 291 alineatul (2) din TFUE, deoarece se referă la adoptarea de specificații tehnice și metode standardizate de analiză și monitorizare a stării apelor și, prin urmare, vizează asigurarea unor condiții uniforme pentru punerea în aplicare armonizată a directivei respective. Ea ar trebui să fie transformată, prin urmare, în împuternicire acordată Comisiei pentru adoptarea de acte de punere în aplicare. De asemenea, pentru a se asigura comparabilitatea datelor, împuternicirea ar trebui să fie extinsă pentru a cuprinde stabilirea formatelor pentru raportarea datelor de monitorizare și de stare, în conformitate cu articolul 8 alineatul (4) din Directiva 2000/60/CE. Competențele de executare conferite Comisiei ar trebui să fie exercitate în conformitate cu Regulamentul (UE) nr. 182/2011 al Parlamentului European și al Consiliului</w:t>
      </w:r>
      <w:r w:rsidRPr="00275CA3">
        <w:rPr>
          <w:rStyle w:val="FootnoteReference"/>
        </w:rPr>
        <w:footnoteReference w:id="24"/>
      </w:r>
      <w:r w:rsidRPr="00A61195">
        <w:t>.</w:t>
      </w:r>
    </w:p>
    <w:p w14:paraId="7B2996E9" w14:textId="77777777" w:rsidR="00647D0C" w:rsidRPr="00A61195" w:rsidRDefault="00647D0C" w:rsidP="00A61195">
      <w:pPr>
        <w:rPr>
          <w:bCs/>
          <w:iCs/>
        </w:rPr>
      </w:pPr>
      <w:r w:rsidRPr="00A61195">
        <w:br w:type="page"/>
      </w:r>
    </w:p>
    <w:p w14:paraId="058F6C39" w14:textId="77777777" w:rsidR="00647D0C" w:rsidRPr="00A61195" w:rsidRDefault="00647D0C" w:rsidP="00A61195">
      <w:pPr>
        <w:pStyle w:val="ManualConsidrant"/>
        <w:rPr>
          <w:bCs/>
          <w:iCs/>
        </w:rPr>
      </w:pPr>
      <w:r w:rsidRPr="00A61195">
        <w:lastRenderedPageBreak/>
        <w:t>(47)</w:t>
      </w:r>
      <w:r w:rsidRPr="00A61195">
        <w:tab/>
        <w:t>Experții din statele membre ar trebui să fie implicați în continuare în cooperarea periodică facilitată de Strategia comună de punere în aplicare a Directivei 2000/60/CE și, în special, în grupurile de lucru instituite în temeiul acesteia și, prin urmare, ar trebui să fie implicați îndeaproape în special în revizuirea listelor de supraveghere, în actualizările listelor de poluanți și în stabilirea formatelor de raportare.</w:t>
      </w:r>
    </w:p>
    <w:p w14:paraId="6A3778AF" w14:textId="4AC4AFC7" w:rsidR="00647D0C" w:rsidRPr="00A61195" w:rsidRDefault="00647D0C" w:rsidP="00A61195">
      <w:pPr>
        <w:pStyle w:val="ManualConsidrant"/>
      </w:pPr>
      <w:r w:rsidRPr="00A61195">
        <w:t>(48)</w:t>
      </w:r>
      <w:r w:rsidRPr="00A61195">
        <w:tab/>
        <w:t xml:space="preserve">În vederea asigurării unor condiții uniforme pentru punerea în aplicare a Directivei 2000/60/CE, Comisiei ar trebui să i se confere competențe de executare în vederea stabilirii de specificații tehnice și metode standardizate pentru analiza și monitorizarea stării apelor în conformitate cu anexa V la directiva respectivă, a stabilirii formatelor pentru raportarea datelor de monitorizare și a datelor privind starea, a adoptării rezultatelor exercițiului de </w:t>
      </w:r>
      <w:proofErr w:type="spellStart"/>
      <w:r w:rsidRPr="00A61195">
        <w:t>intercalibrare</w:t>
      </w:r>
      <w:proofErr w:type="spellEnd"/>
      <w:r w:rsidRPr="00A61195">
        <w:t xml:space="preserve"> și a valorilor stabilite pentru clasificările sistemului de monitorizare al statelor membre în conformitate cu punctul 1.4.1 litera (ix) din anexa V la directiva respectivă și în vederea adoptării indicatorilor de progres care permit compararea progreselor înregistrate de statele membre în direcția atingerii stării bune sau a potențialului bun al corpurilor lor de apă. Respectivele competențe ar trebui să fie exercitate în conformitate cu Regulamentul (UE) nr. 182/2011.</w:t>
      </w:r>
    </w:p>
    <w:p w14:paraId="6D1DB155" w14:textId="77777777" w:rsidR="00647D0C" w:rsidRPr="00A61195" w:rsidRDefault="00647D0C" w:rsidP="00A61195">
      <w:r w:rsidRPr="00A61195">
        <w:br w:type="page"/>
      </w:r>
    </w:p>
    <w:p w14:paraId="2728E8F7" w14:textId="77777777" w:rsidR="00647D0C" w:rsidRPr="00A61195" w:rsidRDefault="00647D0C" w:rsidP="00A61195">
      <w:pPr>
        <w:pStyle w:val="ManualConsidrant"/>
      </w:pPr>
      <w:r w:rsidRPr="00A61195">
        <w:lastRenderedPageBreak/>
        <w:t>(49)</w:t>
      </w:r>
      <w:r w:rsidRPr="00A61195">
        <w:tab/>
        <w:t>În vederea asigurării unor condiții uniforme pentru punerea în aplicare a Directivei 2006/118/CE, Comisiei ar trebui să i se confere competențe de executare pentru a adopta o listă de supraveghere a apelor subterane și pentru a stabili o listă a metaboliților relevanți și nerelevanți ai substanțelor pesticide. Respectivele competențe ar trebui să fie exercitate în conformitate cu Regulamentul (UE) nr. 182/2011.</w:t>
      </w:r>
    </w:p>
    <w:p w14:paraId="677E1289" w14:textId="77777777" w:rsidR="00647D0C" w:rsidRPr="00A61195" w:rsidRDefault="00647D0C" w:rsidP="00A61195">
      <w:pPr>
        <w:pStyle w:val="ManualConsidrant"/>
      </w:pPr>
      <w:r w:rsidRPr="00A61195">
        <w:t>(50)</w:t>
      </w:r>
      <w:r w:rsidRPr="00A61195">
        <w:tab/>
        <w:t>În vederea asigurării unor condiții uniforme pentru punerea în aplicare a Directivei 2008/105/CE, Comisiei ar trebui să i se confere competențe de executare pentru a adopta formate standardizate pentru raportarea către AEM a emisiilor din surse punctiforme care nu intră în domeniul de aplicare al Regulamentului (UE) 2024/1244, precum și a emisiilor difuze. Respectivele competențe ar trebui să fie exercitate în conformitate cu Regulamentul (UE) nr. 182/2011.</w:t>
      </w:r>
    </w:p>
    <w:p w14:paraId="6A9A048F" w14:textId="77777777" w:rsidR="00647D0C" w:rsidRPr="00A61195" w:rsidRDefault="00647D0C" w:rsidP="00A61195">
      <w:r w:rsidRPr="00A61195">
        <w:br w:type="page"/>
      </w:r>
    </w:p>
    <w:p w14:paraId="31ADC648" w14:textId="6B97F236" w:rsidR="00647D0C" w:rsidRPr="00A61195" w:rsidRDefault="00647D0C" w:rsidP="00A61195">
      <w:pPr>
        <w:pStyle w:val="ManualConsidrant"/>
      </w:pPr>
      <w:r w:rsidRPr="00A61195">
        <w:lastRenderedPageBreak/>
        <w:t>(51)</w:t>
      </w:r>
      <w:r w:rsidRPr="00A61195">
        <w:tab/>
        <w:t xml:space="preserve">Este necesar să se țină seama de progresele științifice și tehnice în domeniul monitorizării stării corpurilor de apă în conformitate cu cerințele de monitorizare stabilite în anexa V la Directiva 2000/60/CE. Prin urmare, statelor membre ar trebui să li se permită să utilizeze date și servicii furnizate de tehnologiile de teledetecție, de observarea Pământului, cum ar fi serviciile </w:t>
      </w:r>
      <w:proofErr w:type="spellStart"/>
      <w:r w:rsidRPr="00A61195">
        <w:t>Copernicus</w:t>
      </w:r>
      <w:proofErr w:type="spellEnd"/>
      <w:r w:rsidRPr="00A61195">
        <w:t xml:space="preserve">, de senzori și dispozitive </w:t>
      </w:r>
      <w:r w:rsidRPr="00A61195">
        <w:rPr>
          <w:i/>
          <w:iCs/>
        </w:rPr>
        <w:t xml:space="preserve">in </w:t>
      </w:r>
      <w:proofErr w:type="spellStart"/>
      <w:r w:rsidRPr="00A61195">
        <w:rPr>
          <w:i/>
          <w:iCs/>
        </w:rPr>
        <w:t>situ</w:t>
      </w:r>
      <w:proofErr w:type="spellEnd"/>
      <w:r w:rsidRPr="00A61195">
        <w:t>, de sisteme online de monitorizare a calității apei sau de date științifice cetățenești, valorificând oportunitățile oferite de inteligența artificială și de analiza și prelucrarea avansată a datelor. În conformitate cu Strategia digitală europeană, inclusiv cu obiectivele acesteia privind sporirea digitalizării serviciilor publice și a întreprinderilor, statele membre sunt încurajate să valorifice potențialul digitalizării pentru gestionarea apei și, în special, pentru monitorizarea calității apei. Este important să se evalueze fezabilitatea tehnică și economică a utilizării sistemelor online pentru monitorizarea continuă, precisă și în timp real a calității apei și să se elaboreze, dacă este cazul, orientări privind aplicarea acestora. Acest lucru ar putea fi realizat în contextul Strategiei comune de punere în aplicare a Directivei2000/60/CE, cu scopul de a ajuta statele membre să își digitalizeze, acolo unde este posibil și adecvat, tehnicile de monitorizare a calității apei. Statele membre care au luat măsuri de digitalizare a tehnicilor de monitorizare sunt încurajate să includă un rezumat al măsurilor respective în planurile lor de gestionare a bazinelor hidrografice.</w:t>
      </w:r>
    </w:p>
    <w:p w14:paraId="7719092A" w14:textId="77777777" w:rsidR="00647D0C" w:rsidRPr="00A61195" w:rsidRDefault="00647D0C" w:rsidP="00A61195">
      <w:pPr>
        <w:pStyle w:val="ManualConsidrant"/>
        <w:rPr>
          <w:bCs/>
          <w:iCs/>
        </w:rPr>
      </w:pPr>
      <w:r w:rsidRPr="00A61195">
        <w:t>(52)</w:t>
      </w:r>
      <w:r w:rsidRPr="00A61195">
        <w:tab/>
        <w:t xml:space="preserve">Statele membre ar trebui să încurajeze implementarea unor instrumente digitale precum tehnologiile de teledetecție și observarea Pământului, cum ar fi serviciile </w:t>
      </w:r>
      <w:proofErr w:type="spellStart"/>
      <w:r w:rsidRPr="00A61195">
        <w:t>Copernicus</w:t>
      </w:r>
      <w:proofErr w:type="spellEnd"/>
      <w:r w:rsidRPr="00A61195">
        <w:t>.</w:t>
      </w:r>
    </w:p>
    <w:p w14:paraId="16069009" w14:textId="77777777" w:rsidR="00647D0C" w:rsidRPr="00A61195" w:rsidRDefault="00647D0C">
      <w:pPr>
        <w:spacing w:before="0" w:after="160" w:line="259" w:lineRule="auto"/>
      </w:pPr>
      <w:r w:rsidRPr="00A61195">
        <w:br w:type="page"/>
      </w:r>
    </w:p>
    <w:p w14:paraId="16819303" w14:textId="64867A16" w:rsidR="00647D0C" w:rsidRPr="00A61195" w:rsidRDefault="00647D0C" w:rsidP="00A61195">
      <w:pPr>
        <w:pStyle w:val="ManualConsidrant"/>
      </w:pPr>
      <w:r w:rsidRPr="00A61195">
        <w:lastRenderedPageBreak/>
        <w:t>(53)</w:t>
      </w:r>
      <w:r w:rsidRPr="00A61195">
        <w:tab/>
        <w:t>Autoritățile competente ar trebui să sprijine formarea, programele de dezvoltare a competențelor și investițiile în capitalul uman pentru a susține punerea în aplicare efectivă a celor mai bune tehnologii și soluții inovatoare în cadrul Directivei 2000/60/CE.</w:t>
      </w:r>
    </w:p>
    <w:p w14:paraId="03F18C39" w14:textId="77777777" w:rsidR="00647D0C" w:rsidRPr="00A61195" w:rsidRDefault="00647D0C" w:rsidP="00A61195">
      <w:pPr>
        <w:pStyle w:val="ManualConsidrant"/>
      </w:pPr>
      <w:r w:rsidRPr="00A61195">
        <w:t>(54)</w:t>
      </w:r>
      <w:r w:rsidRPr="00A61195">
        <w:tab/>
        <w:t>În conformitate cu Convenția privind accesul la informație, participarea publicului la luarea deciziei și accesul la justiție în probleme de mediu</w:t>
      </w:r>
      <w:r w:rsidRPr="00275CA3">
        <w:rPr>
          <w:rStyle w:val="FootnoteReference"/>
        </w:rPr>
        <w:footnoteReference w:id="25"/>
      </w:r>
      <w:r w:rsidRPr="00A61195">
        <w:t xml:space="preserve">, semnată la </w:t>
      </w:r>
      <w:proofErr w:type="spellStart"/>
      <w:r w:rsidRPr="00A61195">
        <w:t>Aarhus</w:t>
      </w:r>
      <w:proofErr w:type="spellEnd"/>
      <w:r w:rsidRPr="00A61195">
        <w:t xml:space="preserve"> la 25 iunie 1998, reprezentanții publicului interesat trebuie să aibă acces la justiție pentru a contribui la protejarea dreptului de a trăi într-un mediu adecvat pentru sănătatea și bunăstarea personală. Prin urmare, statele membre ar trebui să asigure accesul la justiție în temeiul Directivei 2000/60/CE, în conformitate cu convenția respectivă. În plus, în conformitate cu jurisprudența constantă a Curții de Justiție a Uniunii Europene, asigurarea protecției jurisdicționale a drepturilor unei persoane în temeiul dreptului Uniunii este de competența instanțelor statelor membre. Mai mult, articolul 19 alineatul (1) din Tratatul privind Uniunea Europeană (TUE) impune statelor membre obligația de a stabili căile de atac necesare pentru a asigura o protecție jurisdicțională efectivă în domeniile reglementate de dreptul Uniunii.</w:t>
      </w:r>
    </w:p>
    <w:p w14:paraId="649D07AC" w14:textId="77777777" w:rsidR="00647D0C" w:rsidRPr="00A61195" w:rsidRDefault="00647D0C" w:rsidP="00A61195">
      <w:r w:rsidRPr="00A61195">
        <w:br w:type="page"/>
      </w:r>
    </w:p>
    <w:p w14:paraId="773C4EB0" w14:textId="78ED2E5A" w:rsidR="00647D0C" w:rsidRPr="00A61195" w:rsidRDefault="00647D0C" w:rsidP="00A61195">
      <w:pPr>
        <w:pStyle w:val="ManualConsidrant"/>
      </w:pPr>
      <w:r w:rsidRPr="00A61195">
        <w:lastRenderedPageBreak/>
        <w:t>(55)</w:t>
      </w:r>
      <w:r w:rsidRPr="00A61195">
        <w:tab/>
        <w:t>Având în vedere creșterea numărului de fenomene meteorologice neprevăzute, în special inundații extreme și secete prelungite, și de incidente de poluare semnificative care determină sau exacerbează poluarea accidentală transfrontalieră, statele membre ar trebui să aibă obligația de a se asigura că altor state membre potențial afectate le sunt furnizate informații fără întârziere cu privire la astfel de incidente și de a coopera în mod eficace cu astfel de state membre pentru a atenua efectele evenimentului sau incidentului. Este necesar, de asemenea, să se consolideze cooperarea dintre statele membre și să se optimizeze procedurile de cooperare transfrontalieră în cazul unor probleme transfrontaliere mai structurale, și anume neaccidentale și cu efecte pe termen mai lung, care nu pot fi rezolvate la nivelul statelor membre, în conformitate cu articolul 12 din Directiva</w:t>
      </w:r>
      <w:r w:rsidR="009D708A">
        <w:t> </w:t>
      </w:r>
      <w:r w:rsidRPr="00A61195">
        <w:t>2000/60/CE. În cazul în care statele membre au stabilit deja o cooperare eficace, acest lucru ar trebui să fie luat în considerare. În cazul în care este necesară asistența din partea Uniunii, autoritățile naționale competente pot trimite cereri de asistență Centrului de coordonare a răspunsului la situații de urgență din cadrul Comisiei, care va facilita coordonarea furnizării asistenței necesare prin mecanismul de protecție civilă al Uniunii, în conformitate cu articolul 15 din Decizia nr. 1313/2013/UE a Parlamentului European și a Consiliului</w:t>
      </w:r>
      <w:r w:rsidRPr="00275CA3">
        <w:rPr>
          <w:rStyle w:val="FootnoteReference"/>
        </w:rPr>
        <w:footnoteReference w:id="26"/>
      </w:r>
      <w:r w:rsidRPr="00A61195">
        <w:t>. În plus, având în vedere că districtele hidrografice se pot extinde și dincolo de teritoriul Uniunii, este important să se asigure faptul că statele membre pun efectiv în aplicare Directiva 2000/60/CE pe teritoriile lor. Statele membre ar trebui, de asemenea, să depună eforturi pentru a stabili o coordonare adecvată cu țările terțe relevante, ceea ce ar contribui la îndeplinirea obiectivelor stabilite în directiva respectivă pentru respectivele districte hidrografice specifice.</w:t>
      </w:r>
    </w:p>
    <w:p w14:paraId="5FA3A3C8" w14:textId="77777777" w:rsidR="00647D0C" w:rsidRPr="00A61195" w:rsidRDefault="00647D0C" w:rsidP="00A61195">
      <w:r w:rsidRPr="00A61195">
        <w:br w:type="page"/>
      </w:r>
    </w:p>
    <w:p w14:paraId="23CF1496" w14:textId="77777777" w:rsidR="00647D0C" w:rsidRPr="00A61195" w:rsidRDefault="00647D0C" w:rsidP="00A61195">
      <w:pPr>
        <w:pStyle w:val="ManualConsidrant"/>
      </w:pPr>
      <w:r w:rsidRPr="00A61195">
        <w:lastRenderedPageBreak/>
        <w:t>(56)</w:t>
      </w:r>
      <w:r w:rsidRPr="00A61195">
        <w:tab/>
        <w:t>Comisia ar trebui să prezinte un raport cu privire la posibilitatea includerii unui mecanism de răspundere extinsă a producătorilor în Directiva 2000/60/CE. Raportul respectiv ar trebui să țină seama de experiența dobândită în special ca urmare a punerii în aplicare a dispozițiilor privind răspunderea extinsă a producătorilor din legislația Uniunii privind epurarea apelor uzate urbane, deșeurile și produsele din plastic de unică folosință.</w:t>
      </w:r>
    </w:p>
    <w:p w14:paraId="5A558BAB" w14:textId="77777777" w:rsidR="00647D0C" w:rsidRPr="00A61195" w:rsidRDefault="00647D0C" w:rsidP="00A61195">
      <w:pPr>
        <w:pStyle w:val="ManualConsidrant"/>
      </w:pPr>
      <w:r w:rsidRPr="00A61195">
        <w:t>(57)</w:t>
      </w:r>
      <w:r w:rsidRPr="00A61195">
        <w:tab/>
        <w:t>Prin urmare, Directivele 2000/60/CE, 2006/118/CE și 2008/105/CE ar trebui să fie modificate în consecință.</w:t>
      </w:r>
    </w:p>
    <w:p w14:paraId="1EDBFC69" w14:textId="6FAEC08D" w:rsidR="00647D0C" w:rsidRPr="00A61195" w:rsidRDefault="00647D0C" w:rsidP="00A61195">
      <w:pPr>
        <w:pStyle w:val="ManualConsidrant"/>
        <w:rPr>
          <w:bCs/>
          <w:iCs/>
        </w:rPr>
      </w:pPr>
      <w:r w:rsidRPr="00A61195">
        <w:t>(58)</w:t>
      </w:r>
      <w:r w:rsidRPr="00A61195">
        <w:tab/>
        <w:t>Întrucât obiectivele prezentei directive, și anume asigurarea unui nivel ridicat de protecție a mediului și a unei îmbunătățiri a calității mediului în ceea ce privește apele dulci europene, nu pot fi realizate în mod satisfăcător doar de către statele membre, dar, având în vedere caracterul transfrontalier al poluării apelor, acestea pot fi realizate mai bine la nivelul Uniunii, aceasta poate adopta măsuri, în conformitate cu principiul subsidiarității, astfel cum este prevăzut la articolul 5 din TUE. În conformitate cu principiul proporționalității, astfel cum este prevăzut la articolul respectiv, prezenta directivă nu depășește ceea ce este necesar pentru realizarea obiectivelor respective,</w:t>
      </w:r>
    </w:p>
    <w:p w14:paraId="786F0116" w14:textId="77777777" w:rsidR="00647D0C" w:rsidRPr="00A61195" w:rsidRDefault="00647D0C" w:rsidP="00A61195">
      <w:pPr>
        <w:pStyle w:val="Formuledadoption"/>
      </w:pPr>
      <w:r w:rsidRPr="00A61195">
        <w:t>ADOPTĂ PREZENTA DIRECTIVĂ:</w:t>
      </w:r>
    </w:p>
    <w:p w14:paraId="5589AAFE" w14:textId="77777777" w:rsidR="00647D0C" w:rsidRPr="00A61195" w:rsidRDefault="00647D0C" w:rsidP="00A61195">
      <w:pPr>
        <w:rPr>
          <w:i/>
        </w:rPr>
      </w:pPr>
      <w:r w:rsidRPr="00A61195">
        <w:br w:type="page"/>
      </w:r>
    </w:p>
    <w:p w14:paraId="1D71B1CF" w14:textId="1ACCA0C4" w:rsidR="00647D0C" w:rsidRPr="00A61195" w:rsidRDefault="00647D0C" w:rsidP="00A61195">
      <w:pPr>
        <w:pStyle w:val="Titrearticle"/>
        <w:rPr>
          <w:iCs/>
        </w:rPr>
      </w:pPr>
      <w:r w:rsidRPr="00A61195">
        <w:lastRenderedPageBreak/>
        <w:t>Articolul 1</w:t>
      </w:r>
      <w:r w:rsidR="009D708A">
        <w:t xml:space="preserve"> </w:t>
      </w:r>
      <w:r w:rsidRPr="00A61195">
        <w:br/>
        <w:t>Modificarea Directivei 2000/60/CE</w:t>
      </w:r>
    </w:p>
    <w:p w14:paraId="2DBF1C61" w14:textId="77777777" w:rsidR="00647D0C" w:rsidRPr="00A61195" w:rsidRDefault="00647D0C" w:rsidP="00647D0C">
      <w:r w:rsidRPr="00A61195">
        <w:t>Directiva 2000/60/CE se modifică după cum urmează:</w:t>
      </w:r>
    </w:p>
    <w:p w14:paraId="17B08856" w14:textId="77777777" w:rsidR="00647D0C" w:rsidRPr="00A61195" w:rsidRDefault="00647D0C" w:rsidP="00A61195">
      <w:pPr>
        <w:pStyle w:val="Point0"/>
      </w:pPr>
      <w:r w:rsidRPr="00A61195">
        <w:t>1.</w:t>
      </w:r>
      <w:r w:rsidRPr="00A61195">
        <w:tab/>
        <w:t>La articolul 1, a patra liniuță se înlocuiește cu următorul text:</w:t>
      </w:r>
    </w:p>
    <w:p w14:paraId="6A6B0F93" w14:textId="77777777" w:rsidR="00647D0C" w:rsidRPr="00A61195" w:rsidRDefault="00647D0C" w:rsidP="00A61195">
      <w:pPr>
        <w:pStyle w:val="Point1"/>
      </w:pPr>
      <w:r w:rsidRPr="00A61195">
        <w:t>„–</w:t>
      </w:r>
      <w:r w:rsidRPr="00A61195">
        <w:tab/>
        <w:t>realizarea obiectivelor stabilite în acorduri internaționale corespunzătoare, inclusiv în acordurile care urmăresc prevenirea și eliminarea poluării mediului marin, printr-o acțiune a Uniunii, stoparea sau eliminarea treptată a evacuărilor, emisiilor și pierderilor de substanțe periculoase prioritare, cu scopul ultim de a obține, în mediul marin, concentrații apropiate de nivelurile de bază pentru substanțele de origine naturală și a unor concentrații apropiate de zero pentru substanțele sintetice artificiale.”</w:t>
      </w:r>
    </w:p>
    <w:p w14:paraId="28416D6B" w14:textId="77777777" w:rsidR="00647D0C" w:rsidRPr="00A61195" w:rsidRDefault="00647D0C" w:rsidP="00647D0C">
      <w:pPr>
        <w:spacing w:before="0" w:after="160" w:line="259" w:lineRule="auto"/>
      </w:pPr>
      <w:r w:rsidRPr="00A61195">
        <w:br w:type="page"/>
      </w:r>
    </w:p>
    <w:p w14:paraId="710F74BD" w14:textId="77777777" w:rsidR="00647D0C" w:rsidRPr="00A61195" w:rsidRDefault="00647D0C" w:rsidP="00A61195">
      <w:pPr>
        <w:pStyle w:val="Point0"/>
      </w:pPr>
      <w:r w:rsidRPr="00A61195">
        <w:lastRenderedPageBreak/>
        <w:t>2.</w:t>
      </w:r>
      <w:r w:rsidRPr="00A61195">
        <w:tab/>
        <w:t>Articolul 2 se modifică după cum urmează:</w:t>
      </w:r>
    </w:p>
    <w:p w14:paraId="78FE72D0" w14:textId="77777777" w:rsidR="00647D0C" w:rsidRPr="00A61195" w:rsidRDefault="00647D0C" w:rsidP="00A61195">
      <w:pPr>
        <w:pStyle w:val="Point1"/>
      </w:pPr>
      <w:r w:rsidRPr="00A61195">
        <w:t>(a)</w:t>
      </w:r>
      <w:r w:rsidRPr="00A61195">
        <w:tab/>
        <w:t>punctul 24 se înlocuiește cu următorul text:</w:t>
      </w:r>
    </w:p>
    <w:p w14:paraId="54879504" w14:textId="507614EE" w:rsidR="00647D0C" w:rsidRPr="00A61195" w:rsidRDefault="00647D0C" w:rsidP="00A61195">
      <w:pPr>
        <w:pStyle w:val="Point2"/>
      </w:pPr>
      <w:r w:rsidRPr="00A61195">
        <w:t>„24.</w:t>
      </w:r>
      <w:r w:rsidRPr="00A61195">
        <w:tab/>
        <w:t>«stare chimică bună a unei ape de suprafață» înseamnă starea chimică necesară pentru a se atinge obiectivele de mediu pentru apele de suprafață prevăzute la articolul 4 alineatul (1) litera (a) din prezenta directivă, și anume starea chimică a unui corp de apă de suprafață în care concentrațiile de poluanți nu depășesc nici standardele de calitate a mediului pentru substanțele prioritare care figurează pe lista din partea A din anexa I la Directiva 2008/105/CE a Parlamentului European și a Consiliului</w:t>
      </w:r>
      <w:r w:rsidRPr="00A61195">
        <w:rPr>
          <w:b/>
          <w:vertAlign w:val="superscript"/>
        </w:rPr>
        <w:t>*</w:t>
      </w:r>
      <w:r w:rsidRPr="00A61195">
        <w:t>, nici standardele de calitate a mediului pentru poluanții specifici bazinelor hidrografice stabilite și aplicate în conformitate cu articolul 8d din directiva respectivă și în care nu sunt depășite nici valorile declanșatoare bazate pe efecte, în cazul în care acestea sunt disponibile;</w:t>
      </w:r>
    </w:p>
    <w:p w14:paraId="706C933E" w14:textId="1C0394F4" w:rsidR="00647D0C" w:rsidRPr="00A61195" w:rsidRDefault="009D708A" w:rsidP="00A61195">
      <w:pPr>
        <w:pStyle w:val="Text2"/>
      </w:pPr>
      <w:r>
        <w:t>________________</w:t>
      </w:r>
    </w:p>
    <w:p w14:paraId="105994BB" w14:textId="25D2D033" w:rsidR="00647D0C" w:rsidRPr="00A61195" w:rsidRDefault="00647D0C" w:rsidP="00A61195">
      <w:pPr>
        <w:pStyle w:val="Point2"/>
        <w:spacing w:before="0" w:line="240" w:lineRule="auto"/>
        <w:ind w:left="1985"/>
      </w:pPr>
      <w:r w:rsidRPr="00A61195">
        <w:rPr>
          <w:b/>
          <w:vertAlign w:val="superscript"/>
        </w:rPr>
        <w:t>*</w:t>
      </w:r>
      <w:r w:rsidRPr="00A61195">
        <w:tab/>
        <w:t>Directiva 2008/105/CE a Parlamentului European și a Consiliului din 16 decembrie 2008 privind standardele de calitate a mediului în domeniul apei, de modificare și de abrogare a Directivelor 82/176/CEE, 83/513/CEE, 84/156/CEE, 84/491/CEE, 86/280/CEE ale Consiliului și de modificare a Directivei 2000/60/CE (JO L 348, 24.12.2008, p. 84, ELI: </w:t>
      </w:r>
      <w:hyperlink r:id="rId18" w:history="1">
        <w:r w:rsidRPr="00275CA3">
          <w:rPr>
            <w:rStyle w:val="Hyperlink"/>
          </w:rPr>
          <w:t>http://data.europa.eu/eli/dir/2008/105/oj</w:t>
        </w:r>
      </w:hyperlink>
      <w:r w:rsidRPr="00A61195">
        <w:t>).”;</w:t>
      </w:r>
    </w:p>
    <w:p w14:paraId="57AB904A" w14:textId="77777777" w:rsidR="00647D0C" w:rsidRPr="00A61195" w:rsidRDefault="00647D0C" w:rsidP="00647D0C">
      <w:r w:rsidRPr="00A61195">
        <w:br w:type="page"/>
      </w:r>
    </w:p>
    <w:p w14:paraId="6BCB5639" w14:textId="77777777" w:rsidR="00647D0C" w:rsidRPr="00A61195" w:rsidRDefault="00647D0C" w:rsidP="00A61195">
      <w:pPr>
        <w:pStyle w:val="Point1"/>
      </w:pPr>
      <w:r w:rsidRPr="00A61195">
        <w:lastRenderedPageBreak/>
        <w:t>(b)</w:t>
      </w:r>
      <w:r w:rsidRPr="00A61195">
        <w:tab/>
        <w:t>punctul 30 se înlocuiește cu următorul text:</w:t>
      </w:r>
    </w:p>
    <w:p w14:paraId="72B7C5C2" w14:textId="5D0DC274" w:rsidR="00647D0C" w:rsidRPr="00A61195" w:rsidRDefault="00647D0C" w:rsidP="00A61195">
      <w:pPr>
        <w:pStyle w:val="Point2"/>
      </w:pPr>
      <w:r w:rsidRPr="00A61195">
        <w:t>„30.</w:t>
      </w:r>
      <w:r w:rsidRPr="00A61195">
        <w:tab/>
        <w:t>«substanțe prioritare» înseamnă substanțele care figurează pe lista din partea A din anexa I la Directiva 2008/105/CE, acestea fiind substanțele care prezintă un risc semnificativ pentru mediul acvatic sau prin intermediul acestuia și cărora li se acordă prioritate în conformitate cu articolul 16 alineatul (2) din prezenta directivă;”;</w:t>
      </w:r>
    </w:p>
    <w:p w14:paraId="0F2AA9D4" w14:textId="77777777" w:rsidR="00647D0C" w:rsidRPr="00A61195" w:rsidRDefault="00647D0C" w:rsidP="00A61195">
      <w:pPr>
        <w:pStyle w:val="Point1"/>
      </w:pPr>
      <w:r w:rsidRPr="00A61195">
        <w:t>(c)</w:t>
      </w:r>
      <w:r w:rsidRPr="00A61195">
        <w:tab/>
        <w:t>se introduc următoarele puncte:</w:t>
      </w:r>
    </w:p>
    <w:p w14:paraId="72C1D15A" w14:textId="73E9CDBB" w:rsidR="00647D0C" w:rsidRPr="00A61195" w:rsidRDefault="00647D0C" w:rsidP="00A61195">
      <w:pPr>
        <w:pStyle w:val="Point2"/>
      </w:pPr>
      <w:r w:rsidRPr="00A61195">
        <w:t>„30a.</w:t>
      </w:r>
      <w:r w:rsidRPr="00A61195">
        <w:tab/>
        <w:t>«substanțe periculoase prioritare» înseamnă substanțele prioritare care sunt identificate ca «periculoase» în conformitate cu legislația menționată la articolul 16 alineatul (3);</w:t>
      </w:r>
    </w:p>
    <w:p w14:paraId="10895166" w14:textId="6B8666DB" w:rsidR="00647D0C" w:rsidRPr="00A61195" w:rsidRDefault="00647D0C" w:rsidP="00A61195">
      <w:pPr>
        <w:pStyle w:val="Point2"/>
      </w:pPr>
      <w:r w:rsidRPr="00A61195">
        <w:t>30b.</w:t>
      </w:r>
      <w:r w:rsidRPr="00A61195">
        <w:tab/>
        <w:t>«poluanți specifici bazinelor hidrografice» înseamnă poluanți care nu sunt sau nu mai sunt identificați ca substanțe prioritare, dar pe care statele membre i-au identificat, pe baza evaluării presiunilor și impacturilor asupra corpurilor de apă de suprafață, efectuată în conformitate cu anexa II, ca fiind evacuați sau depozitați în cantități semnificative într-un bazin sau un sub-bazin hidrografic și ca prezentând astfel un risc semnificativ pentru mediul acvatic de pe teritoriul lor sau prin intermediul acestuia;”;</w:t>
      </w:r>
    </w:p>
    <w:p w14:paraId="7F047883" w14:textId="77777777" w:rsidR="00647D0C" w:rsidRPr="00A61195" w:rsidRDefault="00647D0C" w:rsidP="00647D0C">
      <w:pPr>
        <w:spacing w:before="0" w:after="160" w:line="259" w:lineRule="auto"/>
      </w:pPr>
      <w:r w:rsidRPr="00A61195">
        <w:br w:type="page"/>
      </w:r>
    </w:p>
    <w:p w14:paraId="5DAF8AF0" w14:textId="77777777" w:rsidR="00647D0C" w:rsidRPr="00A61195" w:rsidRDefault="00647D0C" w:rsidP="00A61195">
      <w:pPr>
        <w:pStyle w:val="Point1"/>
      </w:pPr>
      <w:r w:rsidRPr="00A61195">
        <w:lastRenderedPageBreak/>
        <w:t>(d)</w:t>
      </w:r>
      <w:r w:rsidRPr="00A61195">
        <w:tab/>
        <w:t>punctul 35 se înlocuiește cu următorul text:</w:t>
      </w:r>
    </w:p>
    <w:p w14:paraId="3271F38D" w14:textId="1E24DD5E" w:rsidR="00647D0C" w:rsidRPr="00A61195" w:rsidRDefault="00647D0C" w:rsidP="00A61195">
      <w:pPr>
        <w:pStyle w:val="Point2"/>
      </w:pPr>
      <w:r w:rsidRPr="00A61195">
        <w:t>„35.</w:t>
      </w:r>
      <w:r w:rsidRPr="00A61195">
        <w:tab/>
        <w:t xml:space="preserve">«standard de calitate a mediului» înseamnă concentrația unui anumit poluant sau grup de poluanți în apă, sedimente sau </w:t>
      </w:r>
      <w:proofErr w:type="spellStart"/>
      <w:r w:rsidRPr="00A61195">
        <w:t>biotă</w:t>
      </w:r>
      <w:proofErr w:type="spellEnd"/>
      <w:r w:rsidRPr="00A61195">
        <w:t>, care nu poate fi depășită pentru a asigura protecția sănătății umane și a mediului;”;</w:t>
      </w:r>
    </w:p>
    <w:p w14:paraId="5899444F" w14:textId="77777777" w:rsidR="00647D0C" w:rsidRPr="00A61195" w:rsidRDefault="00647D0C" w:rsidP="00A61195">
      <w:pPr>
        <w:pStyle w:val="Point1"/>
        <w:rPr>
          <w:bCs/>
          <w:iCs/>
        </w:rPr>
      </w:pPr>
      <w:r w:rsidRPr="00A61195">
        <w:t>(e)</w:t>
      </w:r>
      <w:r w:rsidRPr="00A61195">
        <w:tab/>
        <w:t>se introduce următorul punct:</w:t>
      </w:r>
    </w:p>
    <w:p w14:paraId="0ADE6D9C" w14:textId="074D11BB" w:rsidR="00647D0C" w:rsidRPr="00A61195" w:rsidRDefault="00647D0C" w:rsidP="00A61195">
      <w:pPr>
        <w:pStyle w:val="Point2"/>
        <w:rPr>
          <w:bCs/>
          <w:iCs/>
        </w:rPr>
      </w:pPr>
      <w:r w:rsidRPr="00A61195">
        <w:t>„35a.</w:t>
      </w:r>
      <w:r w:rsidRPr="00A61195">
        <w:tab/>
        <w:t xml:space="preserve">«valoare declanșatoare bazată pe efecte» înseamnă un prag pentru efectele unui poluant sau ale unui grup de poluanți din apă, sedimente sau </w:t>
      </w:r>
      <w:proofErr w:type="spellStart"/>
      <w:r w:rsidRPr="00A61195">
        <w:t>biotă</w:t>
      </w:r>
      <w:proofErr w:type="spellEnd"/>
      <w:r w:rsidRPr="00A61195">
        <w:t xml:space="preserve">, în cazul în care efectele respective sunt măsurate printr-o metodă de monitorizare bazată pe efecte adecvată și validată științific, peste care ar putea apărea efecte negative asupra sănătății umane sau a mediului cauzate de poluantul respectiv sau de grupul respectiv de poluanți din apă, sedimente sau </w:t>
      </w:r>
      <w:proofErr w:type="spellStart"/>
      <w:r w:rsidRPr="00A61195">
        <w:t>biotă</w:t>
      </w:r>
      <w:proofErr w:type="spellEnd"/>
      <w:r w:rsidRPr="00A61195">
        <w:t>;”;</w:t>
      </w:r>
    </w:p>
    <w:p w14:paraId="121FA429" w14:textId="77777777" w:rsidR="00647D0C" w:rsidRPr="00A61195" w:rsidRDefault="00647D0C" w:rsidP="00A61195">
      <w:pPr>
        <w:pStyle w:val="Point1"/>
        <w:rPr>
          <w:bCs/>
          <w:iCs/>
        </w:rPr>
      </w:pPr>
      <w:r w:rsidRPr="00A61195">
        <w:t>(f)</w:t>
      </w:r>
      <w:r w:rsidRPr="00A61195">
        <w:tab/>
        <w:t>punctul 37 se înlocuiește cu următorul text:</w:t>
      </w:r>
    </w:p>
    <w:p w14:paraId="62E96BFE" w14:textId="6DD63B7E" w:rsidR="00647D0C" w:rsidRPr="00A61195" w:rsidRDefault="00647D0C" w:rsidP="00A61195">
      <w:pPr>
        <w:pStyle w:val="Point2"/>
        <w:rPr>
          <w:bCs/>
          <w:iCs/>
        </w:rPr>
      </w:pPr>
      <w:r w:rsidRPr="00A61195">
        <w:t>„37.</w:t>
      </w:r>
      <w:r w:rsidRPr="00A61195">
        <w:tab/>
        <w:t>«apă destinată consumului uman» înseamnă apa destinată consumului uman, în sensul definiției de la articolul 2 punctul 1 din Directiva (UE) 2020/2184 a Parlamentului European și a Consiliului</w:t>
      </w:r>
      <w:r w:rsidRPr="00A61195">
        <w:rPr>
          <w:b/>
          <w:vertAlign w:val="superscript"/>
        </w:rPr>
        <w:t>*</w:t>
      </w:r>
      <w:r w:rsidRPr="00A61195">
        <w:t>;</w:t>
      </w:r>
    </w:p>
    <w:p w14:paraId="2FE0EAD5" w14:textId="77777777" w:rsidR="00647D0C" w:rsidRPr="00A61195" w:rsidRDefault="00647D0C" w:rsidP="00A61195">
      <w:pPr>
        <w:pStyle w:val="Text2"/>
      </w:pPr>
      <w:r w:rsidRPr="00A61195">
        <w:t>_______________</w:t>
      </w:r>
    </w:p>
    <w:p w14:paraId="629DB502" w14:textId="5D3B12A2" w:rsidR="00647D0C" w:rsidRPr="00A61195" w:rsidRDefault="00647D0C" w:rsidP="00A61195">
      <w:pPr>
        <w:pStyle w:val="Point2"/>
        <w:spacing w:before="0" w:line="240" w:lineRule="auto"/>
        <w:ind w:left="1985"/>
        <w:rPr>
          <w:bCs/>
          <w:iCs/>
        </w:rPr>
      </w:pPr>
      <w:r w:rsidRPr="00A61195">
        <w:rPr>
          <w:b/>
          <w:vertAlign w:val="superscript"/>
        </w:rPr>
        <w:t>*</w:t>
      </w:r>
      <w:r w:rsidRPr="00A61195">
        <w:tab/>
        <w:t>Directiva (UE) 2020/2184 a Parlamentului European și a Consiliului din 16 decembrie 2020 privind calitatea apei destinate consumului uman (JO L 435, 23.12.2020, p. 1, ELI: </w:t>
      </w:r>
      <w:hyperlink r:id="rId19" w:history="1">
        <w:r w:rsidRPr="00275CA3">
          <w:rPr>
            <w:rStyle w:val="Hyperlink"/>
          </w:rPr>
          <w:t>http://data.europa.eu/eli/dir/2020/2184/oj</w:t>
        </w:r>
      </w:hyperlink>
      <w:r w:rsidRPr="00A61195">
        <w:t>).”;</w:t>
      </w:r>
    </w:p>
    <w:p w14:paraId="57360071" w14:textId="77777777" w:rsidR="00647D0C" w:rsidRPr="00A61195" w:rsidRDefault="00647D0C" w:rsidP="00647D0C">
      <w:pPr>
        <w:spacing w:before="0" w:after="160" w:line="259" w:lineRule="auto"/>
        <w:rPr>
          <w:bCs/>
          <w:iCs/>
        </w:rPr>
      </w:pPr>
      <w:r w:rsidRPr="00A61195">
        <w:rPr>
          <w:bCs/>
          <w:iCs/>
        </w:rPr>
        <w:br w:type="page"/>
      </w:r>
    </w:p>
    <w:p w14:paraId="4DBBCC69" w14:textId="77777777" w:rsidR="00647D0C" w:rsidRPr="00A61195" w:rsidRDefault="00647D0C" w:rsidP="00A61195">
      <w:pPr>
        <w:pStyle w:val="Point1"/>
        <w:rPr>
          <w:bCs/>
          <w:iCs/>
        </w:rPr>
      </w:pPr>
      <w:r w:rsidRPr="00A61195">
        <w:lastRenderedPageBreak/>
        <w:t>(g)</w:t>
      </w:r>
      <w:r w:rsidRPr="00A61195">
        <w:tab/>
        <w:t>se adaugă următorul punct:</w:t>
      </w:r>
    </w:p>
    <w:p w14:paraId="389DBE6C" w14:textId="32ADD75A" w:rsidR="00647D0C" w:rsidRPr="00A61195" w:rsidRDefault="00647D0C" w:rsidP="00A61195">
      <w:pPr>
        <w:pStyle w:val="Point2"/>
      </w:pPr>
      <w:r w:rsidRPr="00A61195">
        <w:t>„42.</w:t>
      </w:r>
      <w:r w:rsidRPr="00A61195">
        <w:tab/>
        <w:t>«deteriorare a stării unui corp de apă» înseamnă reducerea cu o clasă a stării a cel puțin unuia dintre elementele calitative în înțelesul anexei V, chiar dacă această reducere nu duce la o scădere a clasificării corpului de apă în ansamblu; cu toate acestea, în cazul în care un element calitativ se află deja în clasa cea mai joasă, orice deteriorare suplimentară a elementului respectiv constituie o deteriorare a stării corpului de apă.”</w:t>
      </w:r>
    </w:p>
    <w:p w14:paraId="169F0CC1" w14:textId="77777777" w:rsidR="00647D0C" w:rsidRPr="00A61195" w:rsidRDefault="00647D0C" w:rsidP="00A61195">
      <w:pPr>
        <w:pStyle w:val="Point0"/>
      </w:pPr>
      <w:r w:rsidRPr="00A61195">
        <w:t>3.</w:t>
      </w:r>
      <w:r w:rsidRPr="00A61195">
        <w:tab/>
        <w:t>Articolul 4 se modifică după cum urmează:</w:t>
      </w:r>
    </w:p>
    <w:p w14:paraId="6EB90195" w14:textId="77777777" w:rsidR="00647D0C" w:rsidRPr="00A61195" w:rsidRDefault="00647D0C" w:rsidP="00A61195">
      <w:pPr>
        <w:pStyle w:val="Point1"/>
      </w:pPr>
      <w:r w:rsidRPr="00A61195">
        <w:t>(a)</w:t>
      </w:r>
      <w:r w:rsidRPr="00A61195">
        <w:tab/>
        <w:t>alineatul (1) se modifică după cum urmează:</w:t>
      </w:r>
    </w:p>
    <w:p w14:paraId="4A7E972E" w14:textId="77777777" w:rsidR="00647D0C" w:rsidRPr="00A61195" w:rsidRDefault="00647D0C" w:rsidP="00A61195">
      <w:pPr>
        <w:pStyle w:val="Point2"/>
        <w:rPr>
          <w:bCs/>
          <w:iCs/>
        </w:rPr>
      </w:pPr>
      <w:r w:rsidRPr="00A61195">
        <w:t>(i)</w:t>
      </w:r>
      <w:r w:rsidRPr="00A61195">
        <w:tab/>
        <w:t>la litera (a), punctele (i), (ii) și (iii) se înlocuiesc cu următorul text:</w:t>
      </w:r>
    </w:p>
    <w:p w14:paraId="757AA8D5" w14:textId="19AB9099" w:rsidR="00647D0C" w:rsidRPr="00A61195" w:rsidRDefault="00647D0C" w:rsidP="00A61195">
      <w:pPr>
        <w:pStyle w:val="Point3"/>
        <w:rPr>
          <w:bCs/>
          <w:iCs/>
        </w:rPr>
      </w:pPr>
      <w:r w:rsidRPr="00A61195">
        <w:t>„(i)</w:t>
      </w:r>
      <w:r w:rsidRPr="00A61195">
        <w:tab/>
        <w:t>statele membre pun în aplicare măsurile necesare pentru a preveni deteriorarea stării tuturor corpurilor de apă de suprafață, sub rezerva aplicării alineatelor (6)-(7b) și fără a aduce atingere alineatului (8);</w:t>
      </w:r>
    </w:p>
    <w:p w14:paraId="1B237ECD" w14:textId="77777777" w:rsidR="00647D0C" w:rsidRPr="00A61195" w:rsidRDefault="00647D0C">
      <w:pPr>
        <w:spacing w:before="0" w:after="160" w:line="259" w:lineRule="auto"/>
      </w:pPr>
      <w:r w:rsidRPr="00A61195">
        <w:br w:type="page"/>
      </w:r>
    </w:p>
    <w:p w14:paraId="7DABED82" w14:textId="6387D64A" w:rsidR="00647D0C" w:rsidRPr="00A61195" w:rsidRDefault="00647D0C" w:rsidP="00A61195">
      <w:pPr>
        <w:pStyle w:val="Point3"/>
        <w:rPr>
          <w:bCs/>
          <w:iCs/>
        </w:rPr>
      </w:pPr>
      <w:r w:rsidRPr="00A61195">
        <w:lastRenderedPageBreak/>
        <w:t>(ii)</w:t>
      </w:r>
      <w:r w:rsidRPr="00A61195">
        <w:tab/>
        <w:t>statele membre protejează, îmbunătățesc și refac toate corpurile de apă de suprafață, sub rezerva aplicării punctului (iii) în ceea ce privește corpurile de apă artificiale și corpurile de apă puternic modificate, cu scopul de a obține o stare bună a apelor de suprafață în termen de cel mult 15 ani de la data intrării în vigoare a prezentei directive, în conformitate cu dispozițiile prevăzute în anexa V, sub rezerva aplicării prelungirilor determinate în conformitate cu alineatul (4) și a aplicării alineatelor (5)</w:t>
      </w:r>
      <w:r w:rsidR="009D708A">
        <w:t>­</w:t>
      </w:r>
      <w:r w:rsidRPr="00A61195">
        <w:t>(7b), fără a aduce atingere alineatului (8);</w:t>
      </w:r>
    </w:p>
    <w:p w14:paraId="35950C89" w14:textId="1D589041" w:rsidR="00647D0C" w:rsidRPr="00A61195" w:rsidRDefault="00647D0C" w:rsidP="00A61195">
      <w:pPr>
        <w:pStyle w:val="Point3"/>
        <w:rPr>
          <w:bCs/>
          <w:iCs/>
        </w:rPr>
      </w:pPr>
      <w:r w:rsidRPr="00A61195">
        <w:t>(iii)</w:t>
      </w:r>
      <w:r w:rsidRPr="00A61195">
        <w:tab/>
        <w:t>statele membre protejează și îmbunătățesc toate corpurile de apă artificiale și corpurile de apă puternic modificate cu scopul de a obține un potențial ecologic bun și o stare chimică bună pentru apele de suprafață în termen de cel mult 15 ani de la data intrării în vigoare a prezentei directive, în conformitate cu dispozițiile prevăzute în anexa</w:t>
      </w:r>
      <w:r w:rsidR="009D708A">
        <w:t> </w:t>
      </w:r>
      <w:r w:rsidRPr="00A61195">
        <w:t>V, sub rezerva aplicării prelungirilor determinate în conformitate cu alineatul (4) și a aplicării alineatelor (5)-(7b), fără a aduce atingere alineatului (8);”;</w:t>
      </w:r>
    </w:p>
    <w:p w14:paraId="320EB8BD" w14:textId="77777777" w:rsidR="00647D0C" w:rsidRPr="00A61195" w:rsidRDefault="00647D0C" w:rsidP="00A61195">
      <w:pPr>
        <w:pStyle w:val="Point2"/>
        <w:rPr>
          <w:bCs/>
          <w:iCs/>
        </w:rPr>
      </w:pPr>
      <w:r w:rsidRPr="00A61195">
        <w:t>(ii)</w:t>
      </w:r>
      <w:r w:rsidRPr="00A61195">
        <w:tab/>
        <w:t>la litera (b), punctele (i) și (ii) se înlocuiesc cu următorul text:</w:t>
      </w:r>
    </w:p>
    <w:p w14:paraId="79D203BF" w14:textId="4B33EB02" w:rsidR="00647D0C" w:rsidRPr="00A61195" w:rsidRDefault="00647D0C" w:rsidP="00A61195">
      <w:pPr>
        <w:pStyle w:val="Point3"/>
        <w:rPr>
          <w:bCs/>
          <w:iCs/>
        </w:rPr>
      </w:pPr>
      <w:r w:rsidRPr="00A61195">
        <w:t>„(i)</w:t>
      </w:r>
      <w:r w:rsidRPr="00A61195">
        <w:tab/>
        <w:t>statele membre pun în aplicare măsurile necesare pentru a preveni sau a limita evacuarea poluanților în apele subterane și pentru a preveni deteriorarea stării tuturor corpurilor de apă subterană, sub rezerva aplicării alineatelor (6)-(7b) de la prezentul articol, fără a aduce atingere alineatului (8) de la prezentul articol și sub rezerva aplicării articolului 11 alineatul (3) litera (j);</w:t>
      </w:r>
    </w:p>
    <w:p w14:paraId="08E6B578" w14:textId="77777777" w:rsidR="00647D0C" w:rsidRPr="00A61195" w:rsidRDefault="00647D0C" w:rsidP="00647D0C">
      <w:pPr>
        <w:spacing w:before="0" w:after="160" w:line="259" w:lineRule="auto"/>
        <w:rPr>
          <w:bCs/>
          <w:iCs/>
        </w:rPr>
      </w:pPr>
      <w:r w:rsidRPr="00A61195">
        <w:rPr>
          <w:bCs/>
          <w:iCs/>
        </w:rPr>
        <w:br w:type="page"/>
      </w:r>
    </w:p>
    <w:p w14:paraId="15CC7278" w14:textId="2832286D" w:rsidR="00647D0C" w:rsidRPr="00A61195" w:rsidRDefault="00647D0C" w:rsidP="00A61195">
      <w:pPr>
        <w:pStyle w:val="Point3"/>
        <w:rPr>
          <w:bCs/>
          <w:iCs/>
        </w:rPr>
      </w:pPr>
      <w:r w:rsidRPr="00A61195">
        <w:lastRenderedPageBreak/>
        <w:t>(ii)</w:t>
      </w:r>
      <w:r w:rsidRPr="00A61195">
        <w:tab/>
        <w:t>statele membre protejează, îmbunătățesc și refac toate corpurile de apă subterană și asigură un echilibru între captările și realimentarea pânzei freatice cu scopul de a obține o stare bună a apelor subterane, în conformitate cu dispozițiile prevăzute în anexa V, în termen de cel mult 15 ani de la data intrării în vigoare a prezentei directive, sub rezerva aplicării prelungirilor determinate în conformitate cu alineatul (4) de la prezentul articol și a aplicării alineatelor (5)-(7b) de la prezentul articol, fără a aduce atingere alineatului (8) de la prezentul articol și sub rezerva aplicării articolului 11 alineatul (3) litera (j);”;</w:t>
      </w:r>
    </w:p>
    <w:p w14:paraId="5F503012" w14:textId="77777777" w:rsidR="00647D0C" w:rsidRPr="00A61195" w:rsidRDefault="00647D0C" w:rsidP="00A61195">
      <w:pPr>
        <w:pStyle w:val="Point2"/>
      </w:pPr>
      <w:r w:rsidRPr="00A61195">
        <w:t>(iii)</w:t>
      </w:r>
      <w:r w:rsidRPr="00A61195">
        <w:tab/>
        <w:t>la litera (b) punctul (iii), al doilea paragraf se înlocuiește cu următorul text:</w:t>
      </w:r>
    </w:p>
    <w:p w14:paraId="22511183" w14:textId="5E41A6A6" w:rsidR="00647D0C" w:rsidRPr="00A61195" w:rsidRDefault="00647D0C" w:rsidP="00A61195">
      <w:pPr>
        <w:pStyle w:val="Text3"/>
      </w:pPr>
      <w:r w:rsidRPr="00A61195">
        <w:t>„Măsurile necesare pentru obținerea unei inversări a acestei tendințe sunt puse în aplicare în conformitate cu articolul 17 alineatul (2) din prezenta directivă și cu articolul 5 și anexa IV la Directiva 2006/118/CE a Parlamentului European și a Consiliului</w:t>
      </w:r>
      <w:r w:rsidRPr="00A61195">
        <w:rPr>
          <w:b/>
          <w:bCs/>
          <w:vertAlign w:val="superscript"/>
        </w:rPr>
        <w:t>*</w:t>
      </w:r>
      <w:r w:rsidRPr="00A61195">
        <w:t>, sub rezerva aplicării alineatelor (6)-(7b) de la prezentul articol și fără a se aduce atingere alineatului (8) de la prezentul articol.</w:t>
      </w:r>
    </w:p>
    <w:p w14:paraId="1B198271" w14:textId="77777777" w:rsidR="00647D0C" w:rsidRPr="00A61195" w:rsidRDefault="00647D0C" w:rsidP="00A61195">
      <w:pPr>
        <w:pStyle w:val="Text3"/>
      </w:pPr>
      <w:r w:rsidRPr="00A61195">
        <w:t>_______________</w:t>
      </w:r>
    </w:p>
    <w:p w14:paraId="3CADF734" w14:textId="14A533B4" w:rsidR="00647D0C" w:rsidRPr="00A61195" w:rsidRDefault="00647D0C" w:rsidP="00A61195">
      <w:pPr>
        <w:pStyle w:val="Point3"/>
        <w:spacing w:before="0" w:line="240" w:lineRule="auto"/>
        <w:ind w:left="2552"/>
      </w:pPr>
      <w:r w:rsidRPr="007F7383">
        <w:rPr>
          <w:b/>
          <w:bCs/>
          <w:vertAlign w:val="superscript"/>
        </w:rPr>
        <w:t>*</w:t>
      </w:r>
      <w:r w:rsidRPr="00A61195">
        <w:tab/>
        <w:t>Directiva 2006/118/CE a Parlamentului European și a Consiliului din 12 decembrie 2006 privind prevenirea și controlul poluării apelor subterane (JO L 372, 27.12.2006, p. 19, ELI: </w:t>
      </w:r>
      <w:hyperlink r:id="rId20" w:history="1">
        <w:r w:rsidRPr="00275CA3">
          <w:rPr>
            <w:rStyle w:val="Hyperlink"/>
          </w:rPr>
          <w:t>http://data.europa.eu/eli/dir/2006/118/oj</w:t>
        </w:r>
      </w:hyperlink>
      <w:r w:rsidRPr="00A61195">
        <w:t>).”;</w:t>
      </w:r>
    </w:p>
    <w:p w14:paraId="78F14AAC" w14:textId="77777777" w:rsidR="00647D0C" w:rsidRPr="00A61195" w:rsidRDefault="00647D0C" w:rsidP="00647D0C">
      <w:r w:rsidRPr="00A61195">
        <w:br w:type="page"/>
      </w:r>
    </w:p>
    <w:p w14:paraId="5BCA9EF2" w14:textId="77777777" w:rsidR="00647D0C" w:rsidRPr="00A61195" w:rsidRDefault="00647D0C" w:rsidP="00A61195">
      <w:pPr>
        <w:pStyle w:val="Point1"/>
      </w:pPr>
      <w:r w:rsidRPr="00A61195">
        <w:lastRenderedPageBreak/>
        <w:t>(b)</w:t>
      </w:r>
      <w:r w:rsidRPr="00A61195">
        <w:tab/>
        <w:t>se introduc următoarele alineate:</w:t>
      </w:r>
    </w:p>
    <w:p w14:paraId="07408A80" w14:textId="77777777" w:rsidR="00647D0C" w:rsidRPr="00A61195" w:rsidRDefault="00647D0C" w:rsidP="00A61195">
      <w:pPr>
        <w:pStyle w:val="Point2"/>
      </w:pPr>
      <w:r w:rsidRPr="00A61195">
        <w:t>„(7a)</w:t>
      </w:r>
      <w:r w:rsidRPr="00A61195">
        <w:tab/>
        <w:t>Statele membre nu încalcă prezenta directivă în cazul în care eventualul impact negativ pe termen scurt asupra unuia sau mai multor elemente calitative ale unui corp de apă, cauzat de un nou proiect sau de o modificare a unui proiect existent în respectivul corp de apă, nu mai este detectabil după un an sau, în ceea ce privește elementele calitative biologice, după maximum trei ani de la inițierea executării proiectului, dacă sunt îndeplinite toate condițiile următoare:</w:t>
      </w:r>
    </w:p>
    <w:p w14:paraId="520E0925" w14:textId="77777777" w:rsidR="00647D0C" w:rsidRPr="00A61195" w:rsidRDefault="00647D0C" w:rsidP="00A61195">
      <w:pPr>
        <w:pStyle w:val="Point3"/>
      </w:pPr>
      <w:r w:rsidRPr="00A61195">
        <w:t>(a)</w:t>
      </w:r>
      <w:r w:rsidRPr="00A61195">
        <w:tab/>
        <w:t>impactul negativ nu este rezultatul evacuărilor, al emisiilor sau al pierderilor directe ale unui poluant;</w:t>
      </w:r>
    </w:p>
    <w:p w14:paraId="7F81B691" w14:textId="77777777" w:rsidR="00647D0C" w:rsidRPr="00A61195" w:rsidRDefault="00647D0C" w:rsidP="00A61195">
      <w:pPr>
        <w:pStyle w:val="Point3"/>
        <w:rPr>
          <w:bCs/>
          <w:iCs/>
        </w:rPr>
      </w:pPr>
      <w:r w:rsidRPr="00A61195">
        <w:t>(b)</w:t>
      </w:r>
      <w:r w:rsidRPr="00A61195">
        <w:tab/>
        <w:t xml:space="preserve">posibilitatea producerii impactului negativ este evaluată în mod fiabil </w:t>
      </w:r>
      <w:r w:rsidRPr="00A61195">
        <w:rPr>
          <w:i/>
          <w:iCs/>
        </w:rPr>
        <w:t>ex ante</w:t>
      </w:r>
      <w:r w:rsidRPr="00A61195">
        <w:t xml:space="preserve"> de către o autoritate competentă și se ajunge la concluzia că nu ar urma să existe niciun impact negativ asupra corpului de apă în cauză sau asupra oricărui corp de apă conectat la acesta după un an sau, în ceea ce privește elementele calitative biologice, după maximum trei ani;</w:t>
      </w:r>
    </w:p>
    <w:p w14:paraId="462E3DA0" w14:textId="77777777" w:rsidR="00647D0C" w:rsidRPr="00A61195" w:rsidRDefault="00647D0C" w:rsidP="00A61195">
      <w:pPr>
        <w:pStyle w:val="Point3"/>
        <w:rPr>
          <w:bCs/>
          <w:iCs/>
        </w:rPr>
      </w:pPr>
      <w:r w:rsidRPr="00A61195">
        <w:t>(c)</w:t>
      </w:r>
      <w:r w:rsidRPr="00A61195">
        <w:tab/>
        <w:t xml:space="preserve">este efectuată o verificare </w:t>
      </w:r>
      <w:r w:rsidRPr="00A61195">
        <w:rPr>
          <w:i/>
          <w:iCs/>
        </w:rPr>
        <w:t>ex post</w:t>
      </w:r>
      <w:r w:rsidRPr="00A61195">
        <w:t>;</w:t>
      </w:r>
    </w:p>
    <w:p w14:paraId="76FEF000" w14:textId="77777777" w:rsidR="00647D0C" w:rsidRPr="00A61195" w:rsidRDefault="00647D0C" w:rsidP="00A61195">
      <w:pPr>
        <w:pStyle w:val="Point3"/>
        <w:rPr>
          <w:bCs/>
          <w:iCs/>
        </w:rPr>
      </w:pPr>
      <w:r w:rsidRPr="00A61195">
        <w:t>(d)</w:t>
      </w:r>
      <w:r w:rsidRPr="00A61195">
        <w:tab/>
        <w:t>sunt luate toate măsurile posibile pentru a se atenua orice impact negativ asupra corpului de apă și asupra oricăror corpuri de apă conectate la acesta; și</w:t>
      </w:r>
    </w:p>
    <w:p w14:paraId="6FE292C6" w14:textId="77777777" w:rsidR="00647D0C" w:rsidRPr="00A61195" w:rsidRDefault="00647D0C">
      <w:pPr>
        <w:spacing w:before="0" w:after="160" w:line="259" w:lineRule="auto"/>
      </w:pPr>
      <w:r w:rsidRPr="00A61195">
        <w:br w:type="page"/>
      </w:r>
    </w:p>
    <w:p w14:paraId="2D4A17C7" w14:textId="3BC42C41" w:rsidR="00647D0C" w:rsidRPr="00A61195" w:rsidRDefault="00647D0C" w:rsidP="00A61195">
      <w:pPr>
        <w:pStyle w:val="Point3"/>
        <w:rPr>
          <w:bCs/>
          <w:iCs/>
        </w:rPr>
      </w:pPr>
      <w:r w:rsidRPr="00A61195">
        <w:lastRenderedPageBreak/>
        <w:t>(e)</w:t>
      </w:r>
      <w:r w:rsidRPr="00A61195">
        <w:tab/>
        <w:t xml:space="preserve">un rezumat al principalelor activități desfășurate în conformitate cu prezentul alineat, al rezultatelor relevante ale verificării </w:t>
      </w:r>
      <w:r w:rsidRPr="00A61195">
        <w:rPr>
          <w:i/>
          <w:iCs/>
        </w:rPr>
        <w:t>ex post</w:t>
      </w:r>
      <w:r w:rsidRPr="00A61195">
        <w:t xml:space="preserve"> și al măsurilor luate pentru atenuarea impacturilor negative este inclus în planul de gestionare a bazinului hidrografic prevăzut la articolul 13.</w:t>
      </w:r>
    </w:p>
    <w:p w14:paraId="0E7EF6CD" w14:textId="15340371" w:rsidR="00647D0C" w:rsidRPr="00A61195" w:rsidRDefault="00647D0C" w:rsidP="00A61195">
      <w:pPr>
        <w:pStyle w:val="Text3"/>
        <w:rPr>
          <w:bCs/>
          <w:iCs/>
        </w:rPr>
      </w:pPr>
      <w:r w:rsidRPr="00A61195">
        <w:t xml:space="preserve">În scopul efectuării verificării </w:t>
      </w:r>
      <w:r w:rsidRPr="00A61195">
        <w:rPr>
          <w:i/>
          <w:iCs/>
        </w:rPr>
        <w:t>ex post</w:t>
      </w:r>
      <w:r w:rsidRPr="00A61195">
        <w:t xml:space="preserve"> prevăzute la primul paragraf litera (c) pot fi utilizate mecanismele de monitorizare existente instituite în temeiul anexei V și, atunci când este necesar, acestea sunt completate de o monitorizare ad-hoc suplimentară.</w:t>
      </w:r>
    </w:p>
    <w:p w14:paraId="143D1468" w14:textId="03AD70CD" w:rsidR="00647D0C" w:rsidRPr="00A61195" w:rsidRDefault="00647D0C" w:rsidP="00A61195">
      <w:pPr>
        <w:pStyle w:val="Point2"/>
      </w:pPr>
      <w:r w:rsidRPr="00A61195">
        <w:t>(7b)</w:t>
      </w:r>
      <w:r w:rsidRPr="00A61195">
        <w:tab/>
        <w:t>Statele membre nu încalcă prezenta directivă atunci când deteriorarea stării unui corp de apă de suprafață receptor se produce ca urmare a relocării, prin intermediul unei activități umane, a apei sau a sedimentelor provenind de la același corp de apă de suprafață sau de la un alt astfel de corp de apă ori de la un corp de apă subterană către corpul de apă de suprafață receptor, fără a se cauza o creștere netă a cantității de poluanți, dacă sunt îndeplinite toate condițiile următoare:</w:t>
      </w:r>
    </w:p>
    <w:p w14:paraId="0644A311" w14:textId="1C20C646" w:rsidR="00647D0C" w:rsidRPr="00A61195" w:rsidRDefault="00647D0C" w:rsidP="00A61195">
      <w:pPr>
        <w:pStyle w:val="Point3"/>
        <w:rPr>
          <w:bCs/>
          <w:iCs/>
        </w:rPr>
      </w:pPr>
      <w:r w:rsidRPr="00A61195">
        <w:t>(a)</w:t>
      </w:r>
      <w:r w:rsidRPr="00A61195">
        <w:tab/>
        <w:t>sunt luate toate măsurile posibile, în special tratarea apei sau a sedimentelor, dacă este fezabil, pentru a se reduce la minimum transferul cantității de poluanți, în vederea atenuării impactului negativ asupra stării corpurilor de apă afectate de relocare;</w:t>
      </w:r>
    </w:p>
    <w:p w14:paraId="12306905" w14:textId="022FEF0C" w:rsidR="00647D0C" w:rsidRPr="00A61195" w:rsidRDefault="00647D0C" w:rsidP="00A61195">
      <w:pPr>
        <w:pStyle w:val="Point3"/>
        <w:rPr>
          <w:bCs/>
          <w:iCs/>
        </w:rPr>
      </w:pPr>
      <w:r w:rsidRPr="00A61195">
        <w:t>(b)</w:t>
      </w:r>
      <w:r w:rsidRPr="00A61195">
        <w:tab/>
        <w:t>este stabilită compoziția apei sau a sedimentelor relocate, iar relocarea nu mărește riscul global pentru sănătatea umană și pentru mediu în comparație cu riscul existent înainte de relocare;</w:t>
      </w:r>
    </w:p>
    <w:p w14:paraId="66398DE0" w14:textId="77777777" w:rsidR="00647D0C" w:rsidRPr="00A61195" w:rsidRDefault="00647D0C" w:rsidP="00647D0C">
      <w:pPr>
        <w:spacing w:before="0" w:after="160" w:line="259" w:lineRule="auto"/>
        <w:rPr>
          <w:bCs/>
          <w:iCs/>
        </w:rPr>
      </w:pPr>
      <w:r w:rsidRPr="00A61195">
        <w:rPr>
          <w:bCs/>
          <w:iCs/>
        </w:rPr>
        <w:br w:type="page"/>
      </w:r>
    </w:p>
    <w:p w14:paraId="4904B8E5" w14:textId="049386DB" w:rsidR="00647D0C" w:rsidRPr="00A61195" w:rsidRDefault="00647D0C" w:rsidP="00A61195">
      <w:pPr>
        <w:pStyle w:val="Point3"/>
        <w:rPr>
          <w:bCs/>
          <w:iCs/>
        </w:rPr>
      </w:pPr>
      <w:r w:rsidRPr="00A61195">
        <w:lastRenderedPageBreak/>
        <w:t>(c)</w:t>
      </w:r>
      <w:r w:rsidRPr="00A61195">
        <w:tab/>
        <w:t xml:space="preserve">corpul de apă de suprafață receptor este confirmat deja ca nefiind într-o stare chimică bună în ceea ce privește majoritatea poluanților relocați și, în special, în ceea ce privește poluanții cei mai persistenți și mai </w:t>
      </w:r>
      <w:proofErr w:type="spellStart"/>
      <w:r w:rsidRPr="00A61195">
        <w:t>bioacumulativi</w:t>
      </w:r>
      <w:proofErr w:type="spellEnd"/>
      <w:r w:rsidRPr="00A61195">
        <w:t xml:space="preserve"> relocați, și nu se preconizează că starea ecologică sau potențialul ecologic al corpului de apă receptor se va încadra într-o clasă inferioară ca urmare a relocării poluanților respectivi;</w:t>
      </w:r>
    </w:p>
    <w:p w14:paraId="5535FFF5" w14:textId="2AA924E0" w:rsidR="00647D0C" w:rsidRPr="00A61195" w:rsidRDefault="00647D0C" w:rsidP="00A61195">
      <w:pPr>
        <w:pStyle w:val="Point3"/>
        <w:rPr>
          <w:bCs/>
          <w:iCs/>
        </w:rPr>
      </w:pPr>
      <w:r w:rsidRPr="00A61195">
        <w:t>(d)</w:t>
      </w:r>
      <w:r w:rsidRPr="00A61195">
        <w:tab/>
        <w:t>relocarea nu are drept rezultat o sporire a nivelului tratamentului de purificare necesar pentru producerea apei potabile;</w:t>
      </w:r>
    </w:p>
    <w:p w14:paraId="13A940E2" w14:textId="686E0C73" w:rsidR="00647D0C" w:rsidRPr="00A61195" w:rsidRDefault="00647D0C" w:rsidP="00A61195">
      <w:pPr>
        <w:pStyle w:val="Point3"/>
        <w:rPr>
          <w:bCs/>
          <w:iCs/>
        </w:rPr>
      </w:pPr>
      <w:r w:rsidRPr="00A61195">
        <w:t>(e)</w:t>
      </w:r>
      <w:r w:rsidRPr="00A61195">
        <w:tab/>
        <w:t>în interiorul corpului de apă receptor, a fost stabilită în jurul oricărui punct de captare a apei destinate consumului uman o zonă în care se interzice relocarea;</w:t>
      </w:r>
    </w:p>
    <w:p w14:paraId="0AF8B272" w14:textId="77777777" w:rsidR="00647D0C" w:rsidRPr="00A61195" w:rsidRDefault="00647D0C" w:rsidP="00A61195">
      <w:pPr>
        <w:pStyle w:val="Point3"/>
      </w:pPr>
      <w:r w:rsidRPr="00A61195">
        <w:t>(f)</w:t>
      </w:r>
      <w:r w:rsidRPr="00A61195">
        <w:tab/>
        <w:t>din motive de fezabilitate tehnică sau de costuri disproporționate, nu există opțiuni semnificativ mai bune în ceea ce privește mediul;</w:t>
      </w:r>
    </w:p>
    <w:p w14:paraId="01E2821B" w14:textId="60E0974E" w:rsidR="00647D0C" w:rsidRPr="00A61195" w:rsidRDefault="00647D0C" w:rsidP="00A61195">
      <w:pPr>
        <w:pStyle w:val="Point3"/>
        <w:rPr>
          <w:bCs/>
          <w:iCs/>
        </w:rPr>
      </w:pPr>
      <w:r w:rsidRPr="00A61195">
        <w:t>(g)</w:t>
      </w:r>
      <w:r w:rsidRPr="00A61195">
        <w:tab/>
        <w:t>relocarea face obiectul unei reglementări sau al unei autorizări prealabile; și</w:t>
      </w:r>
    </w:p>
    <w:p w14:paraId="69A5EC3F" w14:textId="1B7E79AE" w:rsidR="00647D0C" w:rsidRPr="00A61195" w:rsidRDefault="00647D0C" w:rsidP="00A61195">
      <w:pPr>
        <w:pStyle w:val="Point3"/>
        <w:rPr>
          <w:bCs/>
          <w:iCs/>
        </w:rPr>
      </w:pPr>
      <w:r w:rsidRPr="00A61195">
        <w:t>(h)</w:t>
      </w:r>
      <w:r w:rsidRPr="00A61195">
        <w:tab/>
        <w:t>un rezumat, care include informații referitoare la literele (a)-(g) de la prezentul alineat și motivele relocării, este inclus în planul de gestionare a bazinului hidrografic prevăzut la articolul 13.”;</w:t>
      </w:r>
    </w:p>
    <w:p w14:paraId="1D650DB3" w14:textId="77777777" w:rsidR="00647D0C" w:rsidRPr="00A61195" w:rsidRDefault="00647D0C" w:rsidP="00647D0C">
      <w:pPr>
        <w:spacing w:before="0" w:after="160" w:line="259" w:lineRule="auto"/>
        <w:rPr>
          <w:bCs/>
          <w:iCs/>
        </w:rPr>
      </w:pPr>
      <w:r w:rsidRPr="00A61195">
        <w:rPr>
          <w:bCs/>
          <w:iCs/>
        </w:rPr>
        <w:br w:type="page"/>
      </w:r>
    </w:p>
    <w:p w14:paraId="48CB4A38" w14:textId="77777777" w:rsidR="00647D0C" w:rsidRPr="00A61195" w:rsidRDefault="00647D0C" w:rsidP="00A61195">
      <w:pPr>
        <w:pStyle w:val="Point1"/>
        <w:rPr>
          <w:bCs/>
          <w:iCs/>
        </w:rPr>
      </w:pPr>
      <w:r w:rsidRPr="00A61195">
        <w:lastRenderedPageBreak/>
        <w:t>(c)</w:t>
      </w:r>
      <w:r w:rsidRPr="00A61195">
        <w:tab/>
        <w:t>alineatele (8) și (9) se înlocuiesc cu următorul text:</w:t>
      </w:r>
    </w:p>
    <w:p w14:paraId="39EB170B" w14:textId="42EA0E5E" w:rsidR="00647D0C" w:rsidRPr="00A61195" w:rsidRDefault="00647D0C" w:rsidP="00A61195">
      <w:pPr>
        <w:pStyle w:val="Point2"/>
        <w:rPr>
          <w:bCs/>
          <w:iCs/>
        </w:rPr>
      </w:pPr>
      <w:r w:rsidRPr="00A61195">
        <w:t>„(8)</w:t>
      </w:r>
      <w:r w:rsidRPr="00A61195">
        <w:tab/>
        <w:t>Atunci când aplică alineatele (3)-(7b), statele membre se asigură că prin aceasta nu se împiedică sau nu se compromite în mod permanent realizarea obiectivelor prezentei directive în ceea ce privește alte corpuri de apă din același district hidrografic și că aplicarea dispozițiilor respective este în conformitate cu punerea în aplicare a altor dispoziții legale ale Uniunii în domeniul mediului.</w:t>
      </w:r>
    </w:p>
    <w:p w14:paraId="0ADFCC87" w14:textId="71224099" w:rsidR="00647D0C" w:rsidRPr="00A61195" w:rsidRDefault="00647D0C" w:rsidP="00A61195">
      <w:pPr>
        <w:pStyle w:val="Point2"/>
        <w:rPr>
          <w:bCs/>
          <w:iCs/>
        </w:rPr>
      </w:pPr>
      <w:r w:rsidRPr="00A61195">
        <w:t>(9)</w:t>
      </w:r>
      <w:r w:rsidRPr="00A61195">
        <w:tab/>
        <w:t>Statele membre iau măsuri pentru a se asigura că aplicarea noilor dispoziții, inclusiv aplicarea alineatelor (3)-(7b), garantează cel puțin același nivel de protecție ca și în cazul legislației Uniunii în vigoare.”</w:t>
      </w:r>
    </w:p>
    <w:p w14:paraId="51485BC8" w14:textId="77777777" w:rsidR="00647D0C" w:rsidRPr="00A61195" w:rsidRDefault="00647D0C" w:rsidP="00A61195">
      <w:pPr>
        <w:pStyle w:val="Point0"/>
      </w:pPr>
      <w:r w:rsidRPr="00A61195">
        <w:t>4.</w:t>
      </w:r>
      <w:r w:rsidRPr="00A61195">
        <w:tab/>
        <w:t>Articolul 7 alineatul (2) se înlocuiește cu următorul text:</w:t>
      </w:r>
    </w:p>
    <w:p w14:paraId="5FF5DB0D" w14:textId="4A152D56" w:rsidR="00647D0C" w:rsidRPr="00A61195" w:rsidRDefault="00647D0C" w:rsidP="00A61195">
      <w:pPr>
        <w:pStyle w:val="Point1"/>
      </w:pPr>
      <w:r w:rsidRPr="00A61195">
        <w:t>„(2)</w:t>
      </w:r>
      <w:r w:rsidRPr="00A61195">
        <w:tab/>
        <w:t>Pentru fiecare corp de apă identificat în temeiul alineatului (1) de la prezentul articol, statele membre se asigură de faptul că, pe lângă îndeplinirea obiectivelor prevăzute la articolul 4 din prezenta directivă în conformitate cu cerințele prezentei directive și pentru corpurile de apă de suprafață, inclusiv a standardelor de calitate stabilite la nivelul Uniunii în conformitate cu articolul 16 din prezenta directivă, apa obținută îndeplinește cerințele Directivei (UE) 2020/2184, pe baza regimului de tratare a apelor aplicat și în conformitate cu legislația Uniunii.”</w:t>
      </w:r>
    </w:p>
    <w:p w14:paraId="75E161ED" w14:textId="77777777" w:rsidR="00647D0C" w:rsidRPr="00A61195" w:rsidRDefault="00647D0C" w:rsidP="00647D0C">
      <w:r w:rsidRPr="00A61195">
        <w:br w:type="page"/>
      </w:r>
    </w:p>
    <w:p w14:paraId="6276C9FD" w14:textId="77777777" w:rsidR="00647D0C" w:rsidRPr="00A61195" w:rsidRDefault="00647D0C" w:rsidP="00A61195">
      <w:pPr>
        <w:pStyle w:val="Point0"/>
      </w:pPr>
      <w:r w:rsidRPr="00A61195">
        <w:lastRenderedPageBreak/>
        <w:t>5.</w:t>
      </w:r>
      <w:r w:rsidRPr="00A61195">
        <w:tab/>
        <w:t>Articolul 8 se modifică după cum urmează:</w:t>
      </w:r>
    </w:p>
    <w:p w14:paraId="022FE9B9" w14:textId="77777777" w:rsidR="00647D0C" w:rsidRPr="00A61195" w:rsidRDefault="00647D0C" w:rsidP="00A61195">
      <w:pPr>
        <w:pStyle w:val="Point1"/>
      </w:pPr>
      <w:r w:rsidRPr="00A61195">
        <w:t>(a)</w:t>
      </w:r>
      <w:r w:rsidRPr="00A61195">
        <w:tab/>
        <w:t>alineatul (3) se înlocuiește cu următorul text:</w:t>
      </w:r>
    </w:p>
    <w:p w14:paraId="03260686" w14:textId="6A15159E" w:rsidR="00647D0C" w:rsidRPr="00A61195" w:rsidRDefault="00647D0C" w:rsidP="00A61195">
      <w:pPr>
        <w:pStyle w:val="Point2"/>
      </w:pPr>
      <w:r w:rsidRPr="00A61195">
        <w:t>„(3)</w:t>
      </w:r>
      <w:r w:rsidRPr="00A61195">
        <w:tab/>
        <w:t>Comisia este împuternicită să adopte acte de punere în aplicare în vederea stabilirii de specificații tehnice și metode standardizate pentru analiza și monitorizarea stării apelor în conformitate cu anexa</w:t>
      </w:r>
      <w:r w:rsidR="007F7383">
        <w:t> </w:t>
      </w:r>
      <w:r w:rsidRPr="00A61195">
        <w:t xml:space="preserve">V, a stabilirii formatelor pentru raportarea datelor de monitorizare și a datelor privind starea, a adoptării rezultatelor exercițiului de </w:t>
      </w:r>
      <w:proofErr w:type="spellStart"/>
      <w:r w:rsidRPr="00A61195">
        <w:t>intercalibrare</w:t>
      </w:r>
      <w:proofErr w:type="spellEnd"/>
      <w:r w:rsidRPr="00A61195">
        <w:t xml:space="preserve"> și a valorilor stabilite pentru clasificările sistemului de monitorizare al statelor membre în conformitate cu punctul 1.4.1 punctul (ix) din anexa V și în vederea adoptării indicatorilor care permit compararea progreselor înregistrate de statele membre în direcția atingerii stării bune sau a potențialului bun al corpurilor lor de apă. Atunci când stabilește formatele pentru raportarea datelor de monitorizare și a datelor privind starea, Comisia poate recurge la sprijinul tehnic și științific oferit de Agenția Europeană de Mediu (AEM). Respectivele acte de punere în aplicare se adoptă în conformitate cu procedura de examinare menționată la articolul 21 alineatul (2).”;</w:t>
      </w:r>
    </w:p>
    <w:p w14:paraId="64D4EB84" w14:textId="77777777" w:rsidR="00647D0C" w:rsidRPr="00A61195" w:rsidRDefault="00647D0C" w:rsidP="00647D0C">
      <w:r w:rsidRPr="00A61195">
        <w:br w:type="page"/>
      </w:r>
    </w:p>
    <w:p w14:paraId="575C1791" w14:textId="77777777" w:rsidR="00647D0C" w:rsidRPr="00A61195" w:rsidRDefault="00647D0C" w:rsidP="00A61195">
      <w:pPr>
        <w:pStyle w:val="Point1"/>
      </w:pPr>
      <w:r w:rsidRPr="00A61195">
        <w:lastRenderedPageBreak/>
        <w:t>(b)</w:t>
      </w:r>
      <w:r w:rsidRPr="00A61195">
        <w:tab/>
        <w:t>se adaugă următoarele alineate:</w:t>
      </w:r>
    </w:p>
    <w:p w14:paraId="0300E81A" w14:textId="45078875" w:rsidR="00647D0C" w:rsidRPr="00A61195" w:rsidRDefault="00647D0C" w:rsidP="00A61195">
      <w:pPr>
        <w:pStyle w:val="Point2"/>
      </w:pPr>
      <w:r w:rsidRPr="00A61195">
        <w:t>„(4)</w:t>
      </w:r>
      <w:r w:rsidRPr="00A61195">
        <w:tab/>
        <w:t>Statele membre se asigură că datele de monitorizare disponibile și validate privind elementele calitative biologice din apele de suprafață colectate în conformitate cu punctul 1.3 din anexa V la prezenta directivă sunt puse la dispoziția publicului și a AEM o dată la trei ani și că datele de monitorizare disponibile și validate privind elementele calitative chimice din apele de suprafață și din apele subterane colectate în conformitate cu punctele 1.3 și 2.4 din anexa V la prezenta directivă sunt puse la dispoziția publicului și a AEM o dată la doi ani pe cale electronică, în conformitate cu Directivele 2003/4/CE</w:t>
      </w:r>
      <w:r w:rsidRPr="007F7383">
        <w:rPr>
          <w:b/>
          <w:bCs/>
          <w:vertAlign w:val="superscript"/>
        </w:rPr>
        <w:t>*</w:t>
      </w:r>
      <w:r w:rsidRPr="00A61195">
        <w:t>, 2007/2/CE</w:t>
      </w:r>
      <w:r w:rsidRPr="00A61195">
        <w:rPr>
          <w:b/>
          <w:bCs/>
          <w:vertAlign w:val="superscript"/>
        </w:rPr>
        <w:t>**</w:t>
      </w:r>
      <w:r w:rsidRPr="00A61195">
        <w:t xml:space="preserve"> și (UE) 2019/1024</w:t>
      </w:r>
      <w:r w:rsidRPr="00A61195">
        <w:rPr>
          <w:b/>
          <w:bCs/>
          <w:vertAlign w:val="superscript"/>
        </w:rPr>
        <w:t>***</w:t>
      </w:r>
      <w:r w:rsidRPr="00A61195">
        <w:t xml:space="preserve"> ale Parlamentului European și ale Consiliului. În acest scop, statele membre utilizează formatele stabilite în conformitate cu alineatul (3) de la prezentul articol și mecanisme automatizate de raportare și de transmitere a datelor aliniate la fluxurile de date relevante din cadrul Sistemului european de informații privind apa – Starea mediului.</w:t>
      </w:r>
    </w:p>
    <w:p w14:paraId="04A61C58" w14:textId="2FD3BCBB" w:rsidR="00647D0C" w:rsidRPr="00A61195" w:rsidRDefault="00647D0C" w:rsidP="00A61195">
      <w:pPr>
        <w:pStyle w:val="Point2"/>
      </w:pPr>
      <w:r w:rsidRPr="00A61195">
        <w:t>(5)</w:t>
      </w:r>
      <w:r w:rsidRPr="00A61195">
        <w:tab/>
        <w:t>AEM se asigură că informațiile puse la dispoziție în conformitate cu alineatul (4) sunt prelucrate și analizate cu regularitate în scopul punerii lor la dispoziție, pe portalurile relevante ale Uniunii, spre a fi reutilizate de către Comisie și agențiile relevante ale Uniunii și în scopul furnizării către Comisie, statele membre și public de informații obiective, fiabile și comparabile, în conformitate cu Regulamentul (CE) nr. 401/2009 al Parlamentului European și al Consiliului</w:t>
      </w:r>
      <w:r w:rsidRPr="00A61195">
        <w:rPr>
          <w:b/>
          <w:vertAlign w:val="superscript"/>
        </w:rPr>
        <w:t>****</w:t>
      </w:r>
      <w:r w:rsidRPr="00A61195">
        <w:t>.</w:t>
      </w:r>
    </w:p>
    <w:p w14:paraId="5CA93E02" w14:textId="77777777" w:rsidR="00647D0C" w:rsidRPr="00A61195" w:rsidRDefault="00647D0C">
      <w:pPr>
        <w:spacing w:before="0" w:after="160" w:line="259" w:lineRule="auto"/>
        <w:rPr>
          <w:bCs/>
          <w:iCs/>
        </w:rPr>
      </w:pPr>
      <w:r w:rsidRPr="00A61195">
        <w:rPr>
          <w:bCs/>
          <w:iCs/>
        </w:rPr>
        <w:br w:type="page"/>
      </w:r>
    </w:p>
    <w:p w14:paraId="739A1C1B" w14:textId="6225BBFA" w:rsidR="00647D0C" w:rsidRPr="00A61195" w:rsidRDefault="00647D0C" w:rsidP="00A61195">
      <w:pPr>
        <w:pStyle w:val="Point2"/>
        <w:rPr>
          <w:iCs/>
        </w:rPr>
      </w:pPr>
      <w:r w:rsidRPr="00A61195">
        <w:lastRenderedPageBreak/>
        <w:t>(6)</w:t>
      </w:r>
      <w:r w:rsidRPr="00A61195">
        <w:tab/>
        <w:t>Până la … [</w:t>
      </w:r>
      <w:r w:rsidRPr="00A61195">
        <w:rPr>
          <w:i/>
          <w:iCs/>
        </w:rPr>
        <w:t>18 luni de la data intrării în vigoare a prezentei directive de modificare</w:t>
      </w:r>
      <w:r w:rsidRPr="00A61195">
        <w:t>], Comisia publică un raport privind opțiunile pentru înființarea, finanțarea și funcționarea unui centru comun de monitorizare al Uniunii Europene.</w:t>
      </w:r>
    </w:p>
    <w:p w14:paraId="7A35243A" w14:textId="77777777" w:rsidR="00647D0C" w:rsidRPr="00A61195" w:rsidRDefault="00647D0C" w:rsidP="00A61195">
      <w:pPr>
        <w:pStyle w:val="Text3"/>
        <w:rPr>
          <w:bCs/>
          <w:iCs/>
        </w:rPr>
      </w:pPr>
      <w:r w:rsidRPr="00A61195">
        <w:t>Raportul ia în considerare, printre altele, următoarele elemente:</w:t>
      </w:r>
    </w:p>
    <w:p w14:paraId="63BBBEFA" w14:textId="7046ACDF" w:rsidR="00647D0C" w:rsidRPr="00A61195" w:rsidRDefault="00647D0C" w:rsidP="00A61195">
      <w:pPr>
        <w:pStyle w:val="Point3"/>
        <w:rPr>
          <w:bCs/>
          <w:iCs/>
        </w:rPr>
      </w:pPr>
      <w:r w:rsidRPr="00A61195">
        <w:t>(a)</w:t>
      </w:r>
      <w:r w:rsidRPr="00A61195">
        <w:tab/>
        <w:t>caracterul voluntar al utilizării unui astfel de centru comun de monitorizare;</w:t>
      </w:r>
    </w:p>
    <w:p w14:paraId="23093FE4" w14:textId="68053185" w:rsidR="00647D0C" w:rsidRPr="00A61195" w:rsidRDefault="00647D0C" w:rsidP="00A61195">
      <w:pPr>
        <w:pStyle w:val="Point3"/>
        <w:rPr>
          <w:bCs/>
          <w:iCs/>
        </w:rPr>
      </w:pPr>
      <w:r w:rsidRPr="00A61195">
        <w:t>(b)</w:t>
      </w:r>
      <w:r w:rsidRPr="00A61195">
        <w:tab/>
        <w:t>aspectele vizate de analizele ce urmează să fie efectuate de un astfel de centru, inclusiv gama de substanțe și indicatori de pe listele stabilite în temeiul prezentei directive, al Directivei 2006/118/CE și al Directivei 2008/105/CE a Parlamentului European și a Consiliului</w:t>
      </w:r>
      <w:r w:rsidRPr="00A61195">
        <w:rPr>
          <w:b/>
          <w:bCs/>
          <w:vertAlign w:val="superscript"/>
        </w:rPr>
        <w:t>*****</w:t>
      </w:r>
      <w:r w:rsidRPr="00A61195">
        <w:t xml:space="preserve"> care urmează să facă obiectul analizelor;</w:t>
      </w:r>
      <w:bookmarkStart w:id="5" w:name="DQCErrorScope00DF07C4827AF2CF1E4DC4627ED"/>
    </w:p>
    <w:bookmarkEnd w:id="5"/>
    <w:p w14:paraId="34E4DED4" w14:textId="64C9473E" w:rsidR="00647D0C" w:rsidRPr="00A61195" w:rsidRDefault="00647D0C" w:rsidP="00A61195">
      <w:pPr>
        <w:pStyle w:val="Point3"/>
        <w:rPr>
          <w:bCs/>
          <w:iCs/>
        </w:rPr>
      </w:pPr>
      <w:r w:rsidRPr="00A61195">
        <w:t>(c)</w:t>
      </w:r>
      <w:r w:rsidRPr="00A61195">
        <w:tab/>
        <w:t>sursele de finanțare ale unui astfel de centru, care pot include cofinanțarea din partea Uniunii;</w:t>
      </w:r>
      <w:bookmarkStart w:id="6" w:name="DQCErrorScope03A7E60428E9A34CE7618366651"/>
    </w:p>
    <w:bookmarkEnd w:id="6"/>
    <w:p w14:paraId="4B452C0E" w14:textId="741084FE" w:rsidR="00647D0C" w:rsidRPr="00A61195" w:rsidRDefault="00647D0C" w:rsidP="00A61195">
      <w:pPr>
        <w:pStyle w:val="Point3"/>
        <w:rPr>
          <w:bCs/>
          <w:iCs/>
        </w:rPr>
      </w:pPr>
      <w:r w:rsidRPr="00A61195">
        <w:t>(d)</w:t>
      </w:r>
      <w:r w:rsidRPr="00A61195">
        <w:tab/>
        <w:t>modelul operațional al unui astfel de centru, luând în considerare atât opțiunile centralizate, cât și pe cele descentralizate.</w:t>
      </w:r>
    </w:p>
    <w:p w14:paraId="37B7E20A" w14:textId="7938E50B" w:rsidR="00647D0C" w:rsidRPr="00A61195" w:rsidRDefault="00647D0C" w:rsidP="00A61195">
      <w:pPr>
        <w:pStyle w:val="Text3"/>
      </w:pPr>
      <w:r w:rsidRPr="00A61195">
        <w:t>În urma raportului, Comisia prezintă, dacă este cazul, o propunere legislativă în vederea înființării unui centru comun de monitorizare al Uniunii Europene.</w:t>
      </w:r>
    </w:p>
    <w:p w14:paraId="5CC133F8" w14:textId="77777777" w:rsidR="00647D0C" w:rsidRPr="00A61195" w:rsidRDefault="00647D0C">
      <w:pPr>
        <w:spacing w:before="0" w:after="160" w:line="259" w:lineRule="auto"/>
      </w:pPr>
      <w:r w:rsidRPr="00A61195">
        <w:br w:type="page"/>
      </w:r>
    </w:p>
    <w:p w14:paraId="24676204" w14:textId="63BCCAE9" w:rsidR="00647D0C" w:rsidRPr="00A61195" w:rsidRDefault="00647D0C" w:rsidP="00A61195">
      <w:pPr>
        <w:pStyle w:val="Text2"/>
        <w:rPr>
          <w:bCs/>
          <w:iCs/>
        </w:rPr>
      </w:pPr>
      <w:r w:rsidRPr="00A61195">
        <w:lastRenderedPageBreak/>
        <w:t>_____________</w:t>
      </w:r>
    </w:p>
    <w:p w14:paraId="2D27F8C3" w14:textId="18E3EAB2" w:rsidR="00647D0C" w:rsidRPr="00A61195" w:rsidRDefault="00647D0C" w:rsidP="00A61195">
      <w:pPr>
        <w:pStyle w:val="Point2"/>
        <w:spacing w:after="0" w:line="240" w:lineRule="auto"/>
        <w:ind w:left="1985"/>
        <w:rPr>
          <w:bCs/>
          <w:iCs/>
        </w:rPr>
      </w:pPr>
      <w:r w:rsidRPr="00A61195">
        <w:rPr>
          <w:b/>
          <w:bCs/>
          <w:vertAlign w:val="superscript"/>
        </w:rPr>
        <w:t>*</w:t>
      </w:r>
      <w:r w:rsidRPr="00A61195">
        <w:tab/>
        <w:t>Directiva 2003/4/CE a Parlamentului European și a Consiliului din 28 ianuarie</w:t>
      </w:r>
      <w:r w:rsidR="007F7383">
        <w:t> </w:t>
      </w:r>
      <w:r w:rsidRPr="00A61195">
        <w:t>2003 privind accesul publicului la informațiile despre mediu și de abrogare a Directivei 90/313/CEE a Consiliului (JO L 41, 14.2.2003, p.</w:t>
      </w:r>
      <w:r w:rsidR="007F7383">
        <w:t> </w:t>
      </w:r>
      <w:r w:rsidRPr="00A61195">
        <w:t>2</w:t>
      </w:r>
      <w:r w:rsidR="003935A6">
        <w:t>6</w:t>
      </w:r>
      <w:r w:rsidRPr="00A61195">
        <w:t>, ELI: </w:t>
      </w:r>
      <w:hyperlink r:id="rId21" w:history="1">
        <w:r w:rsidRPr="00275CA3">
          <w:rPr>
            <w:rStyle w:val="Hyperlink"/>
          </w:rPr>
          <w:t>http://data.europa.eu/eli/dir/2003/4/oj</w:t>
        </w:r>
      </w:hyperlink>
      <w:r w:rsidRPr="00A61195">
        <w:t>).</w:t>
      </w:r>
    </w:p>
    <w:p w14:paraId="717F2B5A" w14:textId="7DD977A6" w:rsidR="00647D0C" w:rsidRPr="00A61195" w:rsidRDefault="00647D0C" w:rsidP="00A61195">
      <w:pPr>
        <w:pStyle w:val="Point2"/>
        <w:spacing w:before="0" w:after="0" w:line="240" w:lineRule="auto"/>
        <w:ind w:left="1985"/>
        <w:rPr>
          <w:bCs/>
          <w:iCs/>
        </w:rPr>
      </w:pPr>
      <w:r w:rsidRPr="00A61195">
        <w:rPr>
          <w:b/>
          <w:bCs/>
          <w:vertAlign w:val="superscript"/>
        </w:rPr>
        <w:t>**</w:t>
      </w:r>
      <w:r w:rsidRPr="00A61195">
        <w:tab/>
        <w:t>Directiva 2007/2/CE a Parlamentului European și a Consiliului din 14 martie</w:t>
      </w:r>
      <w:r w:rsidR="007F7383">
        <w:t> </w:t>
      </w:r>
      <w:r w:rsidRPr="00A61195">
        <w:t>2007 de instituire a unei infrastructuri pentru informații spațiale în Comunitatea Europeană (Inspire) (JO L 108, 25.4.2007, p. 1, ELI: </w:t>
      </w:r>
      <w:hyperlink r:id="rId22" w:history="1">
        <w:r w:rsidRPr="00275CA3">
          <w:rPr>
            <w:rStyle w:val="Hyperlink"/>
          </w:rPr>
          <w:t>http://data.europa.eu/eli/dir/2007/2/oj</w:t>
        </w:r>
      </w:hyperlink>
      <w:r w:rsidRPr="00A61195">
        <w:t>).</w:t>
      </w:r>
    </w:p>
    <w:p w14:paraId="36AF05B8" w14:textId="3EA59E08" w:rsidR="00647D0C" w:rsidRPr="00A61195" w:rsidRDefault="00647D0C" w:rsidP="00A61195">
      <w:pPr>
        <w:pStyle w:val="Point2"/>
        <w:spacing w:before="0" w:after="0" w:line="240" w:lineRule="auto"/>
        <w:ind w:left="1985"/>
        <w:rPr>
          <w:szCs w:val="24"/>
        </w:rPr>
      </w:pPr>
      <w:r w:rsidRPr="00A61195">
        <w:rPr>
          <w:b/>
          <w:bCs/>
          <w:vertAlign w:val="superscript"/>
        </w:rPr>
        <w:t>***</w:t>
      </w:r>
      <w:r w:rsidRPr="00A61195">
        <w:tab/>
        <w:t>Directiva (UE) 2019/1024 a Parlamentului European și a Consiliului din 20 iunie 2019 privind datele deschise și reutilizarea informațiilor din sectorul public (JO L 172, 26.6.2019, p. 56, ELI: </w:t>
      </w:r>
      <w:hyperlink r:id="rId23" w:history="1">
        <w:r w:rsidRPr="00275CA3">
          <w:rPr>
            <w:rStyle w:val="Hyperlink"/>
          </w:rPr>
          <w:t>http://data.europa.eu/eli/dir/2019/1024/oj</w:t>
        </w:r>
      </w:hyperlink>
      <w:r w:rsidRPr="00A61195">
        <w:t>).</w:t>
      </w:r>
    </w:p>
    <w:p w14:paraId="737B3E94" w14:textId="39918072" w:rsidR="00647D0C" w:rsidRPr="00A61195" w:rsidRDefault="00647D0C" w:rsidP="003935A6">
      <w:pPr>
        <w:pStyle w:val="Point2"/>
        <w:spacing w:before="0" w:after="0" w:line="240" w:lineRule="auto"/>
        <w:ind w:left="1985"/>
        <w:rPr>
          <w:szCs w:val="24"/>
        </w:rPr>
      </w:pPr>
      <w:r w:rsidRPr="00A61195">
        <w:rPr>
          <w:b/>
          <w:bCs/>
          <w:vertAlign w:val="superscript"/>
        </w:rPr>
        <w:t>****</w:t>
      </w:r>
      <w:r w:rsidRPr="00A61195">
        <w:tab/>
        <w:t>Regulamentul (CE) nr. 401/2009 al Parlamentului European și al Consiliului din</w:t>
      </w:r>
      <w:r w:rsidR="007F7383">
        <w:t> </w:t>
      </w:r>
      <w:r w:rsidRPr="00A61195">
        <w:t>23 aprilie 2009 privind Agenția Europeană de Mediu și Rețeaua europeană de informare și observare a mediului (JO L 126, 21.5.2009, p. 13, ELI: </w:t>
      </w:r>
      <w:hyperlink r:id="rId24" w:history="1">
        <w:r w:rsidRPr="00275CA3">
          <w:rPr>
            <w:rStyle w:val="Hyperlink"/>
          </w:rPr>
          <w:t>http://data.europa.eu/eli/reg/2009/401/oj</w:t>
        </w:r>
      </w:hyperlink>
      <w:r w:rsidRPr="00A61195">
        <w:t>).</w:t>
      </w:r>
    </w:p>
    <w:p w14:paraId="5A1CB2B1" w14:textId="6B5206E4" w:rsidR="00647D0C" w:rsidRPr="00A61195" w:rsidRDefault="00647D0C" w:rsidP="00A61195">
      <w:pPr>
        <w:pStyle w:val="Point2"/>
        <w:spacing w:before="0" w:line="240" w:lineRule="auto"/>
        <w:ind w:left="1985"/>
        <w:rPr>
          <w:bCs/>
          <w:iCs/>
        </w:rPr>
      </w:pPr>
      <w:r w:rsidRPr="00A61195">
        <w:rPr>
          <w:b/>
          <w:bCs/>
          <w:vertAlign w:val="superscript"/>
        </w:rPr>
        <w:t>*****</w:t>
      </w:r>
      <w:r w:rsidRPr="00A61195">
        <w:tab/>
        <w:t>Directiva 2008/105/CE a Parlamentului European și a Consiliului din 16 decembrie 2008 privind standardele de calitate a mediului în domeniul apei, de modificare și de abrogare a Directivelor 82/176/CEE, 83/513/CEE, 84/156/CEE, 84/491/CEE, 86/280/CEE ale Consiliului și de modificare a Directivei 2000/60/CE (JO L 348, 24.12.2008, p. 84, ELI: </w:t>
      </w:r>
      <w:hyperlink r:id="rId25" w:history="1">
        <w:r w:rsidRPr="00275CA3">
          <w:rPr>
            <w:rStyle w:val="Hyperlink"/>
          </w:rPr>
          <w:t>http://data.europa.eu/eli/dir/2008/105/oj</w:t>
        </w:r>
      </w:hyperlink>
      <w:r w:rsidRPr="00A61195">
        <w:t>).”</w:t>
      </w:r>
    </w:p>
    <w:p w14:paraId="1A00251E" w14:textId="77777777" w:rsidR="00647D0C" w:rsidRPr="00A61195" w:rsidRDefault="00647D0C" w:rsidP="00647D0C">
      <w:r w:rsidRPr="00A61195">
        <w:br w:type="page"/>
      </w:r>
    </w:p>
    <w:p w14:paraId="129CAA32" w14:textId="77777777" w:rsidR="00647D0C" w:rsidRPr="00A61195" w:rsidRDefault="00647D0C" w:rsidP="00A61195">
      <w:pPr>
        <w:pStyle w:val="Point0"/>
      </w:pPr>
      <w:r w:rsidRPr="00A61195">
        <w:lastRenderedPageBreak/>
        <w:t>6.</w:t>
      </w:r>
      <w:r w:rsidRPr="00A61195">
        <w:tab/>
        <w:t>Articolul 10 se modifică după cum urmează:</w:t>
      </w:r>
    </w:p>
    <w:p w14:paraId="1F39FFC8" w14:textId="77777777" w:rsidR="00647D0C" w:rsidRPr="00A61195" w:rsidRDefault="00647D0C" w:rsidP="00A61195">
      <w:pPr>
        <w:pStyle w:val="Point1"/>
      </w:pPr>
      <w:r w:rsidRPr="00A61195">
        <w:t>(a)</w:t>
      </w:r>
      <w:r w:rsidRPr="00A61195">
        <w:tab/>
        <w:t>alineatul (2) se înlocuiește cu următorul text:</w:t>
      </w:r>
    </w:p>
    <w:p w14:paraId="0F16574D" w14:textId="23047117" w:rsidR="00647D0C" w:rsidRPr="00A61195" w:rsidRDefault="00647D0C" w:rsidP="00A61195">
      <w:pPr>
        <w:pStyle w:val="Point2"/>
      </w:pPr>
      <w:r w:rsidRPr="00A61195">
        <w:t>„(2)</w:t>
      </w:r>
      <w:r w:rsidRPr="00A61195">
        <w:tab/>
        <w:t>În scopul respectării obiectivelor, a standardelor de calitate și a valorilor prag stabilite în temeiul prezentei directive, statele membre asigură stabilirea și punerea în aplicare a următoarelor:</w:t>
      </w:r>
    </w:p>
    <w:p w14:paraId="671FEEED" w14:textId="77777777" w:rsidR="00647D0C" w:rsidRPr="00A61195" w:rsidRDefault="00647D0C" w:rsidP="00A61195">
      <w:pPr>
        <w:pStyle w:val="Point3"/>
      </w:pPr>
      <w:r w:rsidRPr="00A61195">
        <w:t>(a)</w:t>
      </w:r>
      <w:r w:rsidRPr="00A61195">
        <w:tab/>
        <w:t>controale ale emisiilor pe baza celor mai bune tehnici disponibile;</w:t>
      </w:r>
    </w:p>
    <w:p w14:paraId="4F1DDEA7" w14:textId="6DDE9F9B" w:rsidR="00647D0C" w:rsidRPr="00A61195" w:rsidRDefault="00647D0C" w:rsidP="00A61195">
      <w:pPr>
        <w:pStyle w:val="Point3"/>
      </w:pPr>
      <w:r w:rsidRPr="00A61195">
        <w:t>(b)</w:t>
      </w:r>
      <w:r w:rsidRPr="00A61195">
        <w:tab/>
        <w:t xml:space="preserve">valori-limită de emisie relevante; </w:t>
      </w:r>
    </w:p>
    <w:p w14:paraId="47F37D5E" w14:textId="77777777" w:rsidR="00647D0C" w:rsidRPr="00A61195" w:rsidRDefault="00647D0C" w:rsidP="00A61195">
      <w:pPr>
        <w:pStyle w:val="Point3"/>
      </w:pPr>
      <w:r w:rsidRPr="00A61195">
        <w:t>(c)</w:t>
      </w:r>
      <w:r w:rsidRPr="00A61195">
        <w:tab/>
        <w:t>în cazul impacturilor difuze, controale, care includ, dacă este necesar, cele mai bune practici de mediu,</w:t>
      </w:r>
      <w:bookmarkStart w:id="7" w:name="DQCErrorScopeF0089A24B2AAEA7D7CE5AD0CB5B"/>
    </w:p>
    <w:bookmarkEnd w:id="7"/>
    <w:p w14:paraId="631D4AAD" w14:textId="77777777" w:rsidR="00647D0C" w:rsidRPr="00A61195" w:rsidRDefault="00647D0C" w:rsidP="00A61195">
      <w:pPr>
        <w:pStyle w:val="Text3"/>
      </w:pPr>
      <w:r w:rsidRPr="00A61195">
        <w:t>în conformitate cu Directiva 91/676/CEE a Consiliului</w:t>
      </w:r>
      <w:r w:rsidRPr="00A61195">
        <w:rPr>
          <w:b/>
          <w:vertAlign w:val="superscript"/>
        </w:rPr>
        <w:t>*</w:t>
      </w:r>
      <w:r w:rsidRPr="00A61195">
        <w:t xml:space="preserve"> și cu Directivele 2009/128/CE</w:t>
      </w:r>
      <w:r w:rsidRPr="00A61195">
        <w:rPr>
          <w:b/>
          <w:vertAlign w:val="superscript"/>
        </w:rPr>
        <w:t>**</w:t>
      </w:r>
      <w:r w:rsidRPr="00A61195">
        <w:t>, 2010/75/UE</w:t>
      </w:r>
      <w:r w:rsidRPr="00A61195">
        <w:rPr>
          <w:b/>
          <w:vertAlign w:val="superscript"/>
        </w:rPr>
        <w:t>***</w:t>
      </w:r>
      <w:r w:rsidRPr="00A61195">
        <w:t xml:space="preserve"> și (UE) 2024/3019</w:t>
      </w:r>
      <w:r w:rsidRPr="00A61195">
        <w:rPr>
          <w:b/>
          <w:vertAlign w:val="superscript"/>
        </w:rPr>
        <w:t>****</w:t>
      </w:r>
      <w:r w:rsidRPr="00A61195">
        <w:t xml:space="preserve"> ale Parlamentului European și ale Consiliului, precum și cu orice alt act legislativ al Uniunii relevant pentru abordarea poluării din surse punctiforme sau a poluării difuze, inclusiv orice act legislativ relevant adoptat în conformitate cu articolul 16 din prezenta directivă.</w:t>
      </w:r>
    </w:p>
    <w:p w14:paraId="75C6AC48" w14:textId="77777777" w:rsidR="00647D0C" w:rsidRPr="00A61195" w:rsidRDefault="00647D0C" w:rsidP="00647D0C">
      <w:pPr>
        <w:spacing w:before="0" w:after="160" w:line="259" w:lineRule="auto"/>
      </w:pPr>
      <w:r w:rsidRPr="00A61195">
        <w:br w:type="page"/>
      </w:r>
    </w:p>
    <w:p w14:paraId="61CC3366" w14:textId="77777777" w:rsidR="00647D0C" w:rsidRPr="00A61195" w:rsidRDefault="00647D0C" w:rsidP="00A61195">
      <w:pPr>
        <w:pStyle w:val="Text2"/>
      </w:pPr>
      <w:r w:rsidRPr="00A61195">
        <w:lastRenderedPageBreak/>
        <w:t>______________________</w:t>
      </w:r>
    </w:p>
    <w:p w14:paraId="71DCC9F6" w14:textId="5672CEB0" w:rsidR="00647D0C" w:rsidRPr="00A61195" w:rsidRDefault="00647D0C" w:rsidP="00A61195">
      <w:pPr>
        <w:pStyle w:val="Point2"/>
        <w:spacing w:before="0" w:after="0" w:line="240" w:lineRule="auto"/>
        <w:ind w:left="1985"/>
      </w:pPr>
      <w:r w:rsidRPr="00A61195">
        <w:rPr>
          <w:b/>
          <w:vertAlign w:val="superscript"/>
        </w:rPr>
        <w:t>*</w:t>
      </w:r>
      <w:r w:rsidRPr="00A61195">
        <w:rPr>
          <w:b/>
        </w:rPr>
        <w:tab/>
      </w:r>
      <w:r w:rsidRPr="00A61195">
        <w:t xml:space="preserve">Directiva 91/676/CEE a Consiliului din 12 decembrie 1991 privind protecția apelor împotriva poluării cu nitrați proveniți din surse agricole (JO L 375, 31.12.1991, p. 1, ELI: </w:t>
      </w:r>
      <w:hyperlink r:id="rId26" w:history="1">
        <w:r w:rsidRPr="00275CA3">
          <w:rPr>
            <w:rStyle w:val="Hyperlink"/>
          </w:rPr>
          <w:t>http://data.europa.eu/eli/dir/1991/676/oj</w:t>
        </w:r>
      </w:hyperlink>
      <w:r w:rsidRPr="00A61195">
        <w:t>).</w:t>
      </w:r>
    </w:p>
    <w:p w14:paraId="3E3CD083" w14:textId="499A4EAF" w:rsidR="00647D0C" w:rsidRPr="00A61195" w:rsidRDefault="00647D0C" w:rsidP="00A61195">
      <w:pPr>
        <w:pStyle w:val="Point2"/>
        <w:spacing w:before="0" w:after="0" w:line="240" w:lineRule="auto"/>
        <w:ind w:left="1985"/>
      </w:pPr>
      <w:r w:rsidRPr="00A61195">
        <w:rPr>
          <w:b/>
          <w:vertAlign w:val="superscript"/>
        </w:rPr>
        <w:t>**</w:t>
      </w:r>
      <w:r w:rsidRPr="00A61195">
        <w:tab/>
        <w:t>Directiva 2009/128/CE a Parlamentului European și a Consiliului din 21 octombrie 2009 de stabilire a unui cadru de acțiune comunitară în vederea utilizării durabile a pesticidelor (JO L 309, 24.11.2009, p. 71, ELI: </w:t>
      </w:r>
      <w:hyperlink r:id="rId27" w:history="1">
        <w:r w:rsidRPr="00275CA3">
          <w:rPr>
            <w:rStyle w:val="Hyperlink"/>
          </w:rPr>
          <w:t>http://data.europa.eu/eli/dir/2009/128/oj</w:t>
        </w:r>
      </w:hyperlink>
      <w:r w:rsidRPr="00A61195">
        <w:t>).</w:t>
      </w:r>
    </w:p>
    <w:p w14:paraId="3E180C07" w14:textId="3EE3AC2F" w:rsidR="00647D0C" w:rsidRPr="00A61195" w:rsidRDefault="00647D0C" w:rsidP="00A61195">
      <w:pPr>
        <w:pStyle w:val="Point2"/>
        <w:spacing w:before="0" w:after="0" w:line="240" w:lineRule="auto"/>
        <w:ind w:left="1985"/>
      </w:pPr>
      <w:r w:rsidRPr="00A61195">
        <w:rPr>
          <w:b/>
          <w:vertAlign w:val="superscript"/>
        </w:rPr>
        <w:t>***</w:t>
      </w:r>
      <w:r w:rsidRPr="00A61195">
        <w:tab/>
        <w:t>Directiva 2010/75/UE a Parlamentului European și a Consiliului din 24 noiembrie 2010 privind emisiile industriale și emisiile generate de creșterea animalelor (prevenirea și controlul integrat al poluării) (JO L 334, 17.12.2010, p. 17, ELI: </w:t>
      </w:r>
      <w:hyperlink r:id="rId28" w:history="1">
        <w:r w:rsidRPr="00275CA3">
          <w:rPr>
            <w:rStyle w:val="Hyperlink"/>
          </w:rPr>
          <w:t>http://data.europa.eu/eli/dir/2010/75/oj</w:t>
        </w:r>
      </w:hyperlink>
      <w:r w:rsidRPr="00A61195">
        <w:t>).</w:t>
      </w:r>
    </w:p>
    <w:p w14:paraId="3B924B99" w14:textId="20779ABE" w:rsidR="00647D0C" w:rsidRPr="00A61195" w:rsidRDefault="00647D0C" w:rsidP="00A61195">
      <w:pPr>
        <w:pStyle w:val="Point2"/>
        <w:spacing w:before="0" w:line="240" w:lineRule="auto"/>
        <w:ind w:left="1985"/>
      </w:pPr>
      <w:r w:rsidRPr="00A61195">
        <w:rPr>
          <w:b/>
          <w:vertAlign w:val="superscript"/>
        </w:rPr>
        <w:t>****</w:t>
      </w:r>
      <w:r w:rsidRPr="00A61195">
        <w:tab/>
        <w:t>Directiva (UE) 2024/3019 a Parlamentului European și a Consiliului din 27 noiembrie 2024 privind epurarea apelor uzate urbane (JO L, 2024/3019, 12.12.2024, ELI: </w:t>
      </w:r>
      <w:hyperlink r:id="rId29" w:history="1">
        <w:r w:rsidRPr="00275CA3">
          <w:rPr>
            <w:rStyle w:val="Hyperlink"/>
          </w:rPr>
          <w:t>http://data.europa.eu/eli/dir/2024/3019/oj</w:t>
        </w:r>
      </w:hyperlink>
      <w:r w:rsidRPr="00A61195">
        <w:t>).”;</w:t>
      </w:r>
    </w:p>
    <w:p w14:paraId="039FE660" w14:textId="77777777" w:rsidR="00647D0C" w:rsidRPr="00A61195" w:rsidRDefault="00647D0C" w:rsidP="00A61195">
      <w:pPr>
        <w:pStyle w:val="Point1"/>
      </w:pPr>
      <w:r w:rsidRPr="00A61195">
        <w:t>(b)</w:t>
      </w:r>
      <w:r w:rsidRPr="00A61195">
        <w:tab/>
        <w:t>alineatul (3) se înlocuiește cu următorul text:</w:t>
      </w:r>
    </w:p>
    <w:p w14:paraId="77F96917" w14:textId="13A10F8D" w:rsidR="00647D0C" w:rsidRPr="00A61195" w:rsidRDefault="00647D0C" w:rsidP="00A61195">
      <w:pPr>
        <w:pStyle w:val="Point2"/>
      </w:pPr>
      <w:r w:rsidRPr="00A61195">
        <w:t>„(3)</w:t>
      </w:r>
      <w:r w:rsidRPr="00A61195">
        <w:tab/>
        <w:t>În cazul în care un obiectiv de calitate, un standard de calitate sau un prag, indiferent dacă este stabilit în temeiul prezentei directive, al Directivei 2006/118/CE sau al Directivei 2008/105/CE ori în temeiul oricărui alt act legislativ al Uniunii, impune condiții mai stricte decât cele care rezultă din aplicarea alineatului (2), se stabilesc, în consecință, controale mai stricte ale emisiilor.”</w:t>
      </w:r>
    </w:p>
    <w:p w14:paraId="36418739" w14:textId="77777777" w:rsidR="00647D0C" w:rsidRPr="00A61195" w:rsidRDefault="00647D0C" w:rsidP="00647D0C">
      <w:pPr>
        <w:spacing w:before="0" w:after="160" w:line="259" w:lineRule="auto"/>
      </w:pPr>
      <w:r w:rsidRPr="00A61195">
        <w:br w:type="page"/>
      </w:r>
    </w:p>
    <w:p w14:paraId="0AED76E5" w14:textId="77777777" w:rsidR="00647D0C" w:rsidRPr="00A61195" w:rsidRDefault="00647D0C" w:rsidP="00A61195">
      <w:pPr>
        <w:pStyle w:val="Point0"/>
        <w:rPr>
          <w:bCs/>
          <w:iCs/>
        </w:rPr>
      </w:pPr>
      <w:r w:rsidRPr="00A61195">
        <w:lastRenderedPageBreak/>
        <w:t>7.</w:t>
      </w:r>
      <w:r w:rsidRPr="00A61195">
        <w:tab/>
        <w:t>Articolul 11 se modifică după cum urmează:</w:t>
      </w:r>
    </w:p>
    <w:p w14:paraId="52F6D2DB" w14:textId="77777777" w:rsidR="00647D0C" w:rsidRPr="00A61195" w:rsidRDefault="00647D0C" w:rsidP="00A61195">
      <w:pPr>
        <w:pStyle w:val="Point1"/>
        <w:rPr>
          <w:bCs/>
          <w:iCs/>
        </w:rPr>
      </w:pPr>
      <w:r w:rsidRPr="00A61195">
        <w:t>(a)</w:t>
      </w:r>
      <w:r w:rsidRPr="00A61195">
        <w:tab/>
        <w:t>se introduce următorul alineat:</w:t>
      </w:r>
    </w:p>
    <w:p w14:paraId="62040714" w14:textId="41F4E04D" w:rsidR="00647D0C" w:rsidRPr="00A61195" w:rsidRDefault="00647D0C" w:rsidP="00A61195">
      <w:pPr>
        <w:pStyle w:val="Point2"/>
        <w:rPr>
          <w:bCs/>
          <w:iCs/>
        </w:rPr>
      </w:pPr>
      <w:r w:rsidRPr="00A61195">
        <w:t>„(1a)</w:t>
      </w:r>
      <w:r w:rsidRPr="00A61195">
        <w:tab/>
        <w:t>Atunci când abordează problema poluării chimice, statele membre acordă prioritate, atunci când este posibil, măsurilor de control la sursă, în conformitate cu legislația sectorială relevantă a Uniunii privind poluarea. În cazul în care este necesar, sunt avute în vedere, în scopul atingerii stării bune a</w:t>
      </w:r>
      <w:r w:rsidR="00386139">
        <w:t xml:space="preserve"> </w:t>
      </w:r>
      <w:r w:rsidRPr="00A61195">
        <w:t>corpurilor de apă, și măsurile de reducere a riscului reprezentat de potențialii poluanți care sunt prezenți deja în produse și de poluanții aflați deja în mediu.”;</w:t>
      </w:r>
    </w:p>
    <w:p w14:paraId="75202627" w14:textId="77777777" w:rsidR="00647D0C" w:rsidRPr="00A61195" w:rsidRDefault="00647D0C" w:rsidP="00A61195">
      <w:pPr>
        <w:pStyle w:val="Point1"/>
        <w:rPr>
          <w:bCs/>
          <w:iCs/>
        </w:rPr>
      </w:pPr>
      <w:r w:rsidRPr="00A61195">
        <w:t>(b)</w:t>
      </w:r>
      <w:r w:rsidRPr="00A61195">
        <w:tab/>
        <w:t>la alineatul (3), litera (k) se înlocuiește cu următorul text:</w:t>
      </w:r>
    </w:p>
    <w:p w14:paraId="6D64A671" w14:textId="77777777" w:rsidR="00647D0C" w:rsidRPr="00A61195" w:rsidRDefault="00647D0C" w:rsidP="00A61195">
      <w:pPr>
        <w:pStyle w:val="Point2"/>
        <w:rPr>
          <w:bCs/>
          <w:iCs/>
        </w:rPr>
      </w:pPr>
      <w:r w:rsidRPr="00A61195">
        <w:t>„(k)</w:t>
      </w:r>
      <w:r w:rsidRPr="00A61195">
        <w:tab/>
        <w:t>în conformitate cu acțiunile adoptate în temeiul articolului 16, măsuri pentru eliminarea poluării apelor de suprafață cu substanțe periculoase prioritare și pentru reducerea treptată a poluării cu alte substanțe care ar putea împiedica statele membre să realizeze obiectivele de mediu prevăzute la articolul 4 pentru corpurile de apă de suprafață;”;</w:t>
      </w:r>
    </w:p>
    <w:p w14:paraId="49523C0E" w14:textId="77777777" w:rsidR="00647D0C" w:rsidRPr="00A61195" w:rsidRDefault="00647D0C" w:rsidP="00A61195">
      <w:pPr>
        <w:pStyle w:val="Point1"/>
        <w:rPr>
          <w:bCs/>
          <w:iCs/>
        </w:rPr>
      </w:pPr>
      <w:r w:rsidRPr="00A61195">
        <w:t>(c)</w:t>
      </w:r>
      <w:r w:rsidRPr="00A61195">
        <w:tab/>
        <w:t>la alineatul (5), a doua liniuță se înlocuiește cu următorul text:</w:t>
      </w:r>
    </w:p>
    <w:p w14:paraId="72D6BA6D" w14:textId="77777777" w:rsidR="00647D0C" w:rsidRPr="00A61195" w:rsidRDefault="00647D0C" w:rsidP="00A61195">
      <w:pPr>
        <w:pStyle w:val="Point2"/>
        <w:rPr>
          <w:bCs/>
          <w:iCs/>
        </w:rPr>
      </w:pPr>
      <w:r w:rsidRPr="00A61195">
        <w:t>„–</w:t>
      </w:r>
      <w:r w:rsidRPr="00A61195">
        <w:tab/>
        <w:t>permisele și autorizațiile relevante sunt reexaminate și, după caz, revizuite;”.</w:t>
      </w:r>
    </w:p>
    <w:p w14:paraId="32BAE388" w14:textId="77777777" w:rsidR="00647D0C" w:rsidRPr="00A61195" w:rsidRDefault="00647D0C" w:rsidP="00647D0C">
      <w:pPr>
        <w:spacing w:before="0" w:after="160" w:line="259" w:lineRule="auto"/>
      </w:pPr>
      <w:r w:rsidRPr="00A61195">
        <w:br w:type="page"/>
      </w:r>
    </w:p>
    <w:p w14:paraId="46B79CAA" w14:textId="77777777" w:rsidR="00647D0C" w:rsidRPr="00A61195" w:rsidRDefault="00647D0C" w:rsidP="00A61195">
      <w:pPr>
        <w:pStyle w:val="Point0"/>
      </w:pPr>
      <w:r w:rsidRPr="00A61195">
        <w:lastRenderedPageBreak/>
        <w:t>8.</w:t>
      </w:r>
      <w:r w:rsidRPr="00A61195">
        <w:tab/>
        <w:t>Articolul 12 se înlocuiește cu următorul text:</w:t>
      </w:r>
    </w:p>
    <w:p w14:paraId="0D0211CF" w14:textId="77777777" w:rsidR="00647D0C" w:rsidRPr="00A61195" w:rsidRDefault="00647D0C" w:rsidP="00A61195">
      <w:pPr>
        <w:pStyle w:val="Text1"/>
      </w:pPr>
      <w:r w:rsidRPr="00A61195">
        <w:t>„</w:t>
      </w:r>
      <w:r w:rsidRPr="007F7383">
        <w:rPr>
          <w:i/>
          <w:iCs/>
        </w:rPr>
        <w:t xml:space="preserve">Articolul 12 </w:t>
      </w:r>
      <w:r w:rsidRPr="007F7383">
        <w:rPr>
          <w:i/>
          <w:iCs/>
        </w:rPr>
        <w:br/>
        <w:t>Probleme care nu pot fi tratate la nivelul unui stat membru</w:t>
      </w:r>
    </w:p>
    <w:p w14:paraId="2371E2D4" w14:textId="77777777" w:rsidR="00647D0C" w:rsidRPr="00A61195" w:rsidRDefault="00647D0C" w:rsidP="00A61195">
      <w:pPr>
        <w:pStyle w:val="Point1"/>
      </w:pPr>
      <w:r w:rsidRPr="00A61195">
        <w:t>(1)</w:t>
      </w:r>
      <w:r w:rsidRPr="00A61195">
        <w:tab/>
        <w:t>În cazul în care un stat membru identifică o problemă care are un impact asupra gestionării apelor sale, dar pe care nu o poate rezolva el însuși, statul membru respectiv notifică problema autorităților competente ale oricărui stat membru relevant și, în cazul în care este vorba de un district hidrografic internațional, oricărei structuri de coordonare relevante identificate în temeiul articolului 3 alineatul (4) și formulează recomandări cu privire la rezolvarea sa.</w:t>
      </w:r>
    </w:p>
    <w:p w14:paraId="6317B46F" w14:textId="77777777" w:rsidR="00647D0C" w:rsidRPr="00A61195" w:rsidRDefault="00647D0C" w:rsidP="00A61195">
      <w:pPr>
        <w:pStyle w:val="Point1"/>
      </w:pPr>
      <w:r w:rsidRPr="00A61195">
        <w:t>(2)</w:t>
      </w:r>
      <w:r w:rsidRPr="00A61195">
        <w:tab/>
        <w:t>Statele membre în cauză cooperează pentru a identifica sursele problemelor menționate la alineatul (1) și măsurile necesare pentru abordarea respectivelor probleme.</w:t>
      </w:r>
    </w:p>
    <w:p w14:paraId="1F71E2DD" w14:textId="77777777" w:rsidR="00647D0C" w:rsidRPr="00A61195" w:rsidRDefault="00647D0C" w:rsidP="00A61195">
      <w:pPr>
        <w:pStyle w:val="Text2"/>
      </w:pPr>
      <w:r w:rsidRPr="00A61195">
        <w:t>Statele membre își răspund reciproc în timp util, în termen de cel mult trei luni de la notificarea menționată la alineatul (1).</w:t>
      </w:r>
    </w:p>
    <w:p w14:paraId="2BF973EA" w14:textId="4235ED11" w:rsidR="00647D0C" w:rsidRPr="00A61195" w:rsidRDefault="00647D0C" w:rsidP="00A61195">
      <w:pPr>
        <w:pStyle w:val="Point1"/>
      </w:pPr>
      <w:r w:rsidRPr="00A61195">
        <w:t>(3)</w:t>
      </w:r>
      <w:r w:rsidRPr="00A61195">
        <w:tab/>
        <w:t>Comisia este informată cu privire la orice</w:t>
      </w:r>
      <w:r w:rsidR="00386139">
        <w:t xml:space="preserve"> </w:t>
      </w:r>
      <w:r w:rsidRPr="00A61195">
        <w:t>cooperare menționată la alineatul (2) de la prezentul articol și este invitată să acorde sprijin în acest sens. Când este cazul, Comisia, ținând cont de planurile care i-au fost aduse la cunoștință în temeiul articolului 15, analizează dacă este necesară adoptarea unor măsuri suplimentare la nivelul Uniunii în vederea reducerii impactului transfrontalier asupra corpurilor de apă.</w:t>
      </w:r>
    </w:p>
    <w:p w14:paraId="6EEBC48D" w14:textId="77777777" w:rsidR="00647D0C" w:rsidRPr="00A61195" w:rsidRDefault="00647D0C">
      <w:pPr>
        <w:spacing w:before="0" w:after="160" w:line="259" w:lineRule="auto"/>
      </w:pPr>
      <w:r w:rsidRPr="00A61195">
        <w:br w:type="page"/>
      </w:r>
    </w:p>
    <w:p w14:paraId="1BE0B3CC" w14:textId="7AF39D70" w:rsidR="00647D0C" w:rsidRPr="00A61195" w:rsidRDefault="00647D0C" w:rsidP="00A61195">
      <w:pPr>
        <w:pStyle w:val="Point1"/>
        <w:rPr>
          <w:bCs/>
          <w:iCs/>
        </w:rPr>
      </w:pPr>
      <w:r w:rsidRPr="00A61195">
        <w:lastRenderedPageBreak/>
        <w:t>(4)</w:t>
      </w:r>
      <w:r w:rsidRPr="00A61195">
        <w:tab/>
        <w:t>Comisia prezintă, în termen de șase luni, observații cu privire la orice recomandări primite din partea statelor membre în contextul cooperării menționate la alineatele (2) și (3).</w:t>
      </w:r>
    </w:p>
    <w:p w14:paraId="165E6025" w14:textId="16E9210F" w:rsidR="00647D0C" w:rsidRPr="00A61195" w:rsidRDefault="00647D0C" w:rsidP="00A61195">
      <w:pPr>
        <w:pStyle w:val="Point1"/>
      </w:pPr>
      <w:r w:rsidRPr="00A61195">
        <w:t>(5)</w:t>
      </w:r>
      <w:r w:rsidRPr="00A61195">
        <w:tab/>
        <w:t>În cazul în care un stat membru se confruntă cu circumstanțe excepționale de origine naturală sau antropică sau cu situații de forță majoră, în special inundații extreme și secete prelungite sau incidente semnificative de poluare, care ar putea afecta corpuri de apă situate în alte state membre, acest stat membru se asigură că sunt informate fără întârziere atât autoritățile competente în ceea ce privește corpurile de apă afectate din respectivele state membre, cât și orice structură de coordonare relevantă identificată în temeiul articolului 3 alineatul (4) în ceea ce privește un bazin hidrografic internațional, precum și Comisia, și că, în cazul în care nu există deja, se instituie cooperarea necesară între statele membre afectate, făcându-se apel la aceasta pentru investigarea cauzelor și remedierea consecințelor circumstanțelor excepționale sau a incidentelor și pentru mobilizarea răspunsului la situații de urgență, după caz.”</w:t>
      </w:r>
    </w:p>
    <w:p w14:paraId="3D9B2669" w14:textId="77777777" w:rsidR="00647D0C" w:rsidRPr="00A61195" w:rsidRDefault="00647D0C" w:rsidP="00A61195">
      <w:pPr>
        <w:spacing w:before="0" w:after="160" w:line="259" w:lineRule="auto"/>
        <w:rPr>
          <w:bCs/>
          <w:iCs/>
        </w:rPr>
      </w:pPr>
      <w:r w:rsidRPr="00A61195">
        <w:rPr>
          <w:bCs/>
          <w:iCs/>
        </w:rPr>
        <w:br w:type="page"/>
      </w:r>
    </w:p>
    <w:p w14:paraId="041D621D" w14:textId="77777777" w:rsidR="00647D0C" w:rsidRPr="00A61195" w:rsidRDefault="00647D0C" w:rsidP="00A61195">
      <w:pPr>
        <w:pStyle w:val="Point0"/>
      </w:pPr>
      <w:r w:rsidRPr="00A61195">
        <w:lastRenderedPageBreak/>
        <w:t>9.</w:t>
      </w:r>
      <w:r w:rsidRPr="00A61195">
        <w:tab/>
        <w:t>Se introduce următorul articol:</w:t>
      </w:r>
    </w:p>
    <w:p w14:paraId="7649AF73" w14:textId="77777777" w:rsidR="00647D0C" w:rsidRPr="00A61195" w:rsidRDefault="00647D0C" w:rsidP="00A61195">
      <w:pPr>
        <w:pStyle w:val="Text1"/>
        <w:rPr>
          <w:bCs/>
        </w:rPr>
      </w:pPr>
      <w:r w:rsidRPr="00A61195">
        <w:t>„</w:t>
      </w:r>
      <w:r w:rsidRPr="007F7383">
        <w:rPr>
          <w:i/>
          <w:iCs/>
        </w:rPr>
        <w:t xml:space="preserve">Articolul 14a </w:t>
      </w:r>
      <w:r w:rsidRPr="007F7383">
        <w:rPr>
          <w:i/>
          <w:iCs/>
        </w:rPr>
        <w:br/>
        <w:t>Accesul la justiție</w:t>
      </w:r>
    </w:p>
    <w:p w14:paraId="03DCC278" w14:textId="77777777" w:rsidR="00647D0C" w:rsidRPr="00A61195" w:rsidRDefault="00647D0C" w:rsidP="00A61195">
      <w:pPr>
        <w:pStyle w:val="Point1"/>
        <w:rPr>
          <w:bCs/>
          <w:iCs/>
        </w:rPr>
      </w:pPr>
      <w:r w:rsidRPr="00A61195">
        <w:t>(1)</w:t>
      </w:r>
      <w:r w:rsidRPr="00A61195">
        <w:tab/>
        <w:t>În conformitate cu obiectivul de a contribui la punerea în aplicare a Convenției privind accesul la informație, participarea publicului la luarea deciziei și accesul la justiție în probleme de mediu</w:t>
      </w:r>
      <w:r w:rsidRPr="00A61195">
        <w:rPr>
          <w:b/>
          <w:bCs/>
          <w:vertAlign w:val="superscript"/>
        </w:rPr>
        <w:t>*</w:t>
      </w:r>
      <w:r w:rsidRPr="00A61195">
        <w:t xml:space="preserve">, semnată la </w:t>
      </w:r>
      <w:proofErr w:type="spellStart"/>
      <w:r w:rsidRPr="00A61195">
        <w:t>Aarhus</w:t>
      </w:r>
      <w:proofErr w:type="spellEnd"/>
      <w:r w:rsidRPr="00A61195">
        <w:t xml:space="preserve"> la 25 iunie 1998, statele membre se asigură că, în conformitate cu sistemul juridic național aplicabil, membrii publicului interesat au acces la o cale de atac în fața unei instanțe sau a unui alt organism independent și imparțial stabilit prin lege, pentru a putea contesta legalitatea de fond sau de procedură a deciziilor, a actelor sau a omisiunilor care intră sub incidența articolelor 4 și 11 și a articolului 13 alineatul (1) din prezenta directivă, atunci când este îndeplinită cel puțin una dintre următoarele condiții:</w:t>
      </w:r>
    </w:p>
    <w:p w14:paraId="471D3A74" w14:textId="77777777" w:rsidR="00647D0C" w:rsidRPr="00A61195" w:rsidRDefault="00647D0C" w:rsidP="00A61195">
      <w:pPr>
        <w:pStyle w:val="Point2"/>
        <w:rPr>
          <w:bCs/>
          <w:iCs/>
        </w:rPr>
      </w:pPr>
      <w:r w:rsidRPr="00A61195">
        <w:t>(a)</w:t>
      </w:r>
      <w:r w:rsidRPr="00A61195">
        <w:tab/>
        <w:t>aceștia au un interes suficient; sau</w:t>
      </w:r>
    </w:p>
    <w:p w14:paraId="47584B35" w14:textId="77777777" w:rsidR="00647D0C" w:rsidRPr="00A61195" w:rsidRDefault="00647D0C" w:rsidP="00A61195">
      <w:pPr>
        <w:pStyle w:val="Point2"/>
        <w:rPr>
          <w:bCs/>
          <w:iCs/>
        </w:rPr>
      </w:pPr>
      <w:r w:rsidRPr="00A61195">
        <w:t>(b)</w:t>
      </w:r>
      <w:r w:rsidRPr="00A61195">
        <w:tab/>
        <w:t>aceștia susțin că li s-a încălcat un drept, atunci când dispozițiile de procedură administrativă ale unui stat membru impun această condiție preliminară.</w:t>
      </w:r>
    </w:p>
    <w:p w14:paraId="214A0CA5" w14:textId="77777777" w:rsidR="00647D0C" w:rsidRPr="00A61195" w:rsidRDefault="00647D0C" w:rsidP="00647D0C">
      <w:pPr>
        <w:spacing w:before="0" w:after="160" w:line="259" w:lineRule="auto"/>
        <w:rPr>
          <w:bCs/>
          <w:iCs/>
        </w:rPr>
      </w:pPr>
      <w:r w:rsidRPr="00A61195">
        <w:rPr>
          <w:bCs/>
          <w:iCs/>
        </w:rPr>
        <w:br w:type="page"/>
      </w:r>
    </w:p>
    <w:p w14:paraId="30D3C7FF" w14:textId="608AAD6C" w:rsidR="00647D0C" w:rsidRPr="00A61195" w:rsidRDefault="00647D0C" w:rsidP="00A61195">
      <w:pPr>
        <w:pStyle w:val="Point1"/>
      </w:pPr>
      <w:r w:rsidRPr="00A61195">
        <w:lastRenderedPageBreak/>
        <w:t>(2)</w:t>
      </w:r>
      <w:r w:rsidRPr="00A61195">
        <w:tab/>
        <w:t>Statele membre stabilesc ce înseamnă interes suficient și încălcarea unui drept, în conformitate cu obiectivul de a acorda un acces amplu la justiție publicului interesat. În acest sens, interesul oricărei organizații neguvernamentale care promovează protecția mediului și îndeplinește cerințele prevăzute de dreptul național este considerat suficient în înțelesul alineatului (1) litera (a). De asemenea, astfel de organizații sunt considerate ca având drepturi susceptibile de a fi încălcate în înțelesul alineatului (1) litera (b).</w:t>
      </w:r>
    </w:p>
    <w:p w14:paraId="47AC4200" w14:textId="77777777" w:rsidR="00647D0C" w:rsidRPr="00A61195" w:rsidRDefault="00647D0C" w:rsidP="00A61195">
      <w:pPr>
        <w:pStyle w:val="Point1"/>
      </w:pPr>
      <w:r w:rsidRPr="00A61195">
        <w:t>(3)</w:t>
      </w:r>
      <w:r w:rsidRPr="00A61195">
        <w:tab/>
        <w:t>Calitatea procesuală în exercitarea căii de atac nu este condiționată de rolul pe care membrul publicului în cauză l-a jucat în cursul unei etape participative a procedurilor decizionale în temeiul prezentei directive.</w:t>
      </w:r>
    </w:p>
    <w:p w14:paraId="366CD4F7" w14:textId="77777777" w:rsidR="00647D0C" w:rsidRPr="00A61195" w:rsidRDefault="00647D0C" w:rsidP="00A61195">
      <w:pPr>
        <w:pStyle w:val="Point1"/>
      </w:pPr>
      <w:r w:rsidRPr="00A61195">
        <w:t>(4)</w:t>
      </w:r>
      <w:r w:rsidRPr="00A61195">
        <w:tab/>
        <w:t>Statele membre hotărăsc în ce etapă a procedurii pot fi atacate deciziile, actele sau omisiunile menționate la alineatul (1).</w:t>
      </w:r>
    </w:p>
    <w:p w14:paraId="0832CED7" w14:textId="77777777" w:rsidR="00647D0C" w:rsidRPr="00A61195" w:rsidRDefault="00647D0C" w:rsidP="00A61195">
      <w:pPr>
        <w:pStyle w:val="Point1"/>
      </w:pPr>
      <w:r w:rsidRPr="00A61195">
        <w:t>(5)</w:t>
      </w:r>
      <w:r w:rsidRPr="00A61195">
        <w:tab/>
        <w:t>Calea de atac este corectă, echitabilă, rapidă și cu un cost neprohibitiv și prevede mecanisme adecvate și eficace în materie de măsuri reparatorii, inclusiv prin măsuri provizorii, după caz.</w:t>
      </w:r>
    </w:p>
    <w:p w14:paraId="4B7B09D7" w14:textId="77777777" w:rsidR="00647D0C" w:rsidRPr="00A61195" w:rsidRDefault="00647D0C" w:rsidP="00A61195">
      <w:pPr>
        <w:pStyle w:val="Point1"/>
      </w:pPr>
      <w:r w:rsidRPr="00A61195">
        <w:t>(6)</w:t>
      </w:r>
      <w:r w:rsidRPr="00A61195">
        <w:tab/>
        <w:t>Statele membre se asigură că informațiile practice privind accesul la căile de atac administrative și judiciare menționate la prezentul articol sunt puse la dispoziția publicului.</w:t>
      </w:r>
    </w:p>
    <w:p w14:paraId="4A3560C3" w14:textId="14D7F6F7" w:rsidR="00647D0C" w:rsidRPr="00A61195" w:rsidRDefault="007F7383" w:rsidP="00A61195">
      <w:pPr>
        <w:pStyle w:val="Text1"/>
        <w:rPr>
          <w:bCs/>
          <w:iCs/>
        </w:rPr>
      </w:pPr>
      <w:r>
        <w:t>________________</w:t>
      </w:r>
    </w:p>
    <w:p w14:paraId="7CCDE2A4" w14:textId="0EC70AD7" w:rsidR="00647D0C" w:rsidRPr="00A61195" w:rsidRDefault="00647D0C" w:rsidP="00A61195">
      <w:pPr>
        <w:pStyle w:val="Point1"/>
        <w:spacing w:before="0" w:line="240" w:lineRule="auto"/>
        <w:ind w:left="1418"/>
        <w:rPr>
          <w:bCs/>
          <w:iCs/>
        </w:rPr>
      </w:pPr>
      <w:r w:rsidRPr="00A61195">
        <w:rPr>
          <w:b/>
          <w:bCs/>
          <w:vertAlign w:val="superscript"/>
        </w:rPr>
        <w:t>*</w:t>
      </w:r>
      <w:r w:rsidRPr="00A61195">
        <w:tab/>
        <w:t>JO L 124, 17.5.2005, p. 4, ELI: </w:t>
      </w:r>
      <w:hyperlink r:id="rId30" w:history="1">
        <w:r w:rsidRPr="00275CA3">
          <w:rPr>
            <w:rStyle w:val="Hyperlink"/>
          </w:rPr>
          <w:t>http://data.europa.eu/eli/convention/2005/370/oj</w:t>
        </w:r>
      </w:hyperlink>
      <w:r w:rsidRPr="00A61195">
        <w:t>.”</w:t>
      </w:r>
    </w:p>
    <w:p w14:paraId="671AEC4C" w14:textId="77777777" w:rsidR="00647D0C" w:rsidRPr="00A61195" w:rsidRDefault="00647D0C">
      <w:pPr>
        <w:spacing w:before="0" w:after="160" w:line="259" w:lineRule="auto"/>
      </w:pPr>
      <w:r w:rsidRPr="00A61195">
        <w:br w:type="page"/>
      </w:r>
    </w:p>
    <w:p w14:paraId="017CAA90" w14:textId="65E04098" w:rsidR="00647D0C" w:rsidRPr="00A61195" w:rsidRDefault="00647D0C" w:rsidP="00A61195">
      <w:pPr>
        <w:pStyle w:val="Point0"/>
        <w:rPr>
          <w:bCs/>
          <w:iCs/>
        </w:rPr>
      </w:pPr>
      <w:r w:rsidRPr="00A61195">
        <w:lastRenderedPageBreak/>
        <w:t>10.</w:t>
      </w:r>
      <w:r w:rsidRPr="00A61195">
        <w:tab/>
        <w:t>La articolul 15, alineatul (3) se elimină.</w:t>
      </w:r>
    </w:p>
    <w:p w14:paraId="26A808E4" w14:textId="77777777" w:rsidR="00647D0C" w:rsidRPr="00A61195" w:rsidRDefault="00647D0C" w:rsidP="00A61195">
      <w:pPr>
        <w:pStyle w:val="Point0"/>
      </w:pPr>
      <w:r w:rsidRPr="00A61195">
        <w:t>11.</w:t>
      </w:r>
      <w:r w:rsidRPr="00A61195">
        <w:tab/>
        <w:t>Articolul 16 se înlocuiește cu următorul text:</w:t>
      </w:r>
    </w:p>
    <w:p w14:paraId="1769DD9C" w14:textId="77777777" w:rsidR="00647D0C" w:rsidRPr="00A61195" w:rsidRDefault="00647D0C" w:rsidP="00A61195">
      <w:pPr>
        <w:pStyle w:val="Text1"/>
        <w:rPr>
          <w:bCs/>
        </w:rPr>
      </w:pPr>
      <w:r w:rsidRPr="00A61195">
        <w:t>„</w:t>
      </w:r>
      <w:r w:rsidRPr="007F7383">
        <w:rPr>
          <w:i/>
          <w:iCs/>
        </w:rPr>
        <w:t xml:space="preserve">Articolul 16 </w:t>
      </w:r>
      <w:r w:rsidRPr="007F7383">
        <w:rPr>
          <w:i/>
          <w:iCs/>
        </w:rPr>
        <w:br/>
        <w:t>Strategii de combatere a poluării apei</w:t>
      </w:r>
    </w:p>
    <w:p w14:paraId="5367734A" w14:textId="77777777" w:rsidR="00647D0C" w:rsidRPr="00A61195" w:rsidRDefault="00647D0C" w:rsidP="00A61195">
      <w:pPr>
        <w:pStyle w:val="Point1"/>
      </w:pPr>
      <w:r w:rsidRPr="00A61195">
        <w:t>(1)</w:t>
      </w:r>
      <w:r w:rsidRPr="00A61195">
        <w:tab/>
        <w:t>Parlamentul European și Consiliul adoptă măsuri specifice împotriva poluării apelor cu poluanți individuali sau cu grupuri de poluanți care prezintă un risc semnificativ pentru mediul acvatic sau prin intermediul acestuia, inclusiv riscuri pentru apele utilizate la captarea apei potabile. Pentru poluanții respectivi, măsurile vizează reducerea treptată a substanțelor prioritare, astfel cum sunt definite la articolul 2 punctul 30, și stoparea sau eliminarea treptată a evacuărilor, a emisiilor și a pierderilor de substanțe periculoase prioritare, astfel cum sunt definite la articolul 2 punctul 30a. Aceste măsuri sunt adoptate pe baza propunerilor prezentate de Comisie în conformitate cu procedurile prevăzute de tratat.</w:t>
      </w:r>
    </w:p>
    <w:p w14:paraId="42BEB643" w14:textId="77777777" w:rsidR="00647D0C" w:rsidRPr="00A61195" w:rsidRDefault="00647D0C" w:rsidP="00647D0C">
      <w:pPr>
        <w:rPr>
          <w:bCs/>
          <w:iCs/>
        </w:rPr>
      </w:pPr>
      <w:r w:rsidRPr="00A61195">
        <w:rPr>
          <w:bCs/>
          <w:iCs/>
        </w:rPr>
        <w:br w:type="page"/>
      </w:r>
    </w:p>
    <w:p w14:paraId="2962F85D" w14:textId="3C2A0DB7" w:rsidR="00647D0C" w:rsidRPr="00A61195" w:rsidRDefault="00647D0C" w:rsidP="00A61195">
      <w:pPr>
        <w:pStyle w:val="Point1"/>
        <w:rPr>
          <w:iCs/>
        </w:rPr>
      </w:pPr>
      <w:r w:rsidRPr="00A61195">
        <w:lastRenderedPageBreak/>
        <w:t>(2)</w:t>
      </w:r>
      <w:r w:rsidRPr="00A61195">
        <w:tab/>
        <w:t>Comisia revizuiește lista substanțelor prioritare și SCM-urile corespunzătoare pentru substanțele respective stabilite în partea A din anexa I la Directiva 2008/105/CE până la … [</w:t>
      </w:r>
      <w:r w:rsidRPr="00A61195">
        <w:rPr>
          <w:i/>
          <w:iCs/>
        </w:rPr>
        <w:t>șase ani de la data intrării în vigoare a prezentei directive</w:t>
      </w:r>
      <w:r w:rsidRPr="00A61195">
        <w:t xml:space="preserve"> </w:t>
      </w:r>
      <w:r w:rsidRPr="00A61195">
        <w:rPr>
          <w:i/>
          <w:iCs/>
        </w:rPr>
        <w:t>de modificare</w:t>
      </w:r>
      <w:r w:rsidRPr="00A61195">
        <w:t xml:space="preserve">] și, ulterior, o dată la șase ani și, atunci când este cazul, însoțește revizuirea de o propunere legislativă de actualizare a listei substanțelor prioritare și a SCM-urilor corespunzătoare din apele de suprafață, sedimente sau </w:t>
      </w:r>
      <w:proofErr w:type="spellStart"/>
      <w:r w:rsidRPr="00A61195">
        <w:t>biotă</w:t>
      </w:r>
      <w:proofErr w:type="spellEnd"/>
      <w:r w:rsidRPr="00A61195">
        <w:t>. Atunci când efectuează revizuirea, Comisia acordă prioritate substanțelor în legătură cu care trebuie întreprinse măsuri pe baza riscurilor pe care le prezintă pentru mediul acvatic sau prin intermediul acestuia, identificate prin:</w:t>
      </w:r>
    </w:p>
    <w:p w14:paraId="54DEE153" w14:textId="0EF8606E" w:rsidR="00647D0C" w:rsidRPr="00A61195" w:rsidRDefault="00647D0C" w:rsidP="00A61195">
      <w:pPr>
        <w:pStyle w:val="Point2"/>
        <w:rPr>
          <w:bCs/>
          <w:iCs/>
        </w:rPr>
      </w:pPr>
      <w:r w:rsidRPr="00A61195">
        <w:t>(a)</w:t>
      </w:r>
      <w:r w:rsidRPr="00A61195">
        <w:tab/>
        <w:t>evaluarea riscurilor efectuată în temeiul Directivei 2001/83/CE a Parlamentului European și a Consiliului</w:t>
      </w:r>
      <w:r w:rsidRPr="00A61195">
        <w:rPr>
          <w:b/>
          <w:bCs/>
          <w:vertAlign w:val="superscript"/>
        </w:rPr>
        <w:t>*</w:t>
      </w:r>
      <w:r w:rsidRPr="00A61195">
        <w:t>, al Regulamentului (CE) nr. 1907/2006 al Parlamentului European și al Consiliului</w:t>
      </w:r>
      <w:r w:rsidRPr="00A61195">
        <w:rPr>
          <w:b/>
          <w:bCs/>
          <w:vertAlign w:val="superscript"/>
        </w:rPr>
        <w:t>**</w:t>
      </w:r>
      <w:r w:rsidRPr="00A61195">
        <w:t>, al Directivei 2009/128/CE și al Regulamentelor (CE) nr. 1107/2009</w:t>
      </w:r>
      <w:r w:rsidRPr="00A61195">
        <w:rPr>
          <w:b/>
          <w:bCs/>
          <w:vertAlign w:val="superscript"/>
        </w:rPr>
        <w:t>***</w:t>
      </w:r>
      <w:r w:rsidRPr="00A61195">
        <w:t>, (UE) nr. 528/2012</w:t>
      </w:r>
      <w:r w:rsidRPr="00A61195">
        <w:rPr>
          <w:b/>
          <w:bCs/>
          <w:vertAlign w:val="superscript"/>
        </w:rPr>
        <w:t>****</w:t>
      </w:r>
      <w:r w:rsidRPr="00A61195">
        <w:t xml:space="preserve"> și (UE) 2019/6</w:t>
      </w:r>
      <w:r w:rsidRPr="00A61195">
        <w:rPr>
          <w:b/>
          <w:bCs/>
          <w:vertAlign w:val="superscript"/>
        </w:rPr>
        <w:t>*****</w:t>
      </w:r>
      <w:r w:rsidRPr="00A61195">
        <w:t xml:space="preserve"> ale Parlamentului European și ale Consiliului</w:t>
      </w:r>
      <w:r w:rsidR="007F7383">
        <w:t>;</w:t>
      </w:r>
      <w:r w:rsidRPr="00A61195">
        <w:t xml:space="preserve"> sau</w:t>
      </w:r>
    </w:p>
    <w:p w14:paraId="05770951" w14:textId="77777777" w:rsidR="00647D0C" w:rsidRPr="00A61195" w:rsidRDefault="00647D0C" w:rsidP="00A61195">
      <w:pPr>
        <w:pStyle w:val="Point2"/>
        <w:rPr>
          <w:bCs/>
          <w:iCs/>
        </w:rPr>
      </w:pPr>
      <w:r w:rsidRPr="00A61195">
        <w:t>(b)</w:t>
      </w:r>
      <w:r w:rsidRPr="00A61195">
        <w:tab/>
        <w:t>o procedură simplificată de evaluare bazată pe riscuri, întemeiată pe principii științifice, ținând seama în special de:</w:t>
      </w:r>
    </w:p>
    <w:p w14:paraId="42AD2BF0" w14:textId="6C90F76B" w:rsidR="00647D0C" w:rsidRPr="00A61195" w:rsidRDefault="00647D0C" w:rsidP="007F7383">
      <w:pPr>
        <w:pStyle w:val="Tiret3"/>
        <w:rPr>
          <w:bCs/>
          <w:iCs/>
        </w:rPr>
      </w:pPr>
      <w:r w:rsidRPr="00A61195">
        <w:t xml:space="preserve">datele referitoare la pericolul intrinsec al substanței respective și, în special, la </w:t>
      </w:r>
      <w:proofErr w:type="spellStart"/>
      <w:r w:rsidRPr="00A61195">
        <w:t>ecotoxicitatea</w:t>
      </w:r>
      <w:proofErr w:type="spellEnd"/>
      <w:r w:rsidRPr="00A61195">
        <w:t xml:space="preserve"> sa acvatică și toxicitatea sa pentru om prin intermediul căilor de expunere acvatice;</w:t>
      </w:r>
    </w:p>
    <w:p w14:paraId="748A603F" w14:textId="77777777" w:rsidR="00647D0C" w:rsidRPr="00A61195" w:rsidRDefault="00647D0C">
      <w:pPr>
        <w:spacing w:before="0" w:after="160" w:line="259" w:lineRule="auto"/>
        <w:rPr>
          <w:bCs/>
          <w:iCs/>
        </w:rPr>
      </w:pPr>
      <w:r w:rsidRPr="00A61195">
        <w:rPr>
          <w:bCs/>
          <w:iCs/>
        </w:rPr>
        <w:br w:type="page"/>
      </w:r>
    </w:p>
    <w:p w14:paraId="087B62EB" w14:textId="0B4FB972" w:rsidR="00647D0C" w:rsidRPr="00A61195" w:rsidRDefault="00647D0C" w:rsidP="007F7383">
      <w:pPr>
        <w:pStyle w:val="Tiret3"/>
      </w:pPr>
      <w:r w:rsidRPr="00A61195">
        <w:lastRenderedPageBreak/>
        <w:t>datele obținute din monitorizarea contaminării pe scară extinsă a mediului, inclusiv datele de monitorizare raportate Comisiei de către statele membre în conformitate cu articolul 8b alineatul (4) din Directiva 2008/105/CE; și</w:t>
      </w:r>
    </w:p>
    <w:p w14:paraId="008E84DA" w14:textId="276D4804" w:rsidR="00647D0C" w:rsidRPr="00A61195" w:rsidRDefault="00647D0C" w:rsidP="007F7383">
      <w:pPr>
        <w:pStyle w:val="Tiret3"/>
      </w:pPr>
      <w:r w:rsidRPr="00A61195">
        <w:t>alți factori dovediți care ar putea indica posibilitatea unei contaminări pe scară extinsă a mediului, cum ar fi volumul de producție sau volumul utilizat al substanței în cauză și tipurile de utilizare.</w:t>
      </w:r>
    </w:p>
    <w:p w14:paraId="58B61041" w14:textId="77777777" w:rsidR="00647D0C" w:rsidRPr="00A61195" w:rsidRDefault="00647D0C" w:rsidP="00A61195">
      <w:pPr>
        <w:pStyle w:val="Point1"/>
      </w:pPr>
      <w:r w:rsidRPr="00A61195">
        <w:t>(3)</w:t>
      </w:r>
      <w:r w:rsidRPr="00A61195">
        <w:tab/>
        <w:t>În cursul revizuirii menționate la alineatul (2), Comisia clasifică, după caz, substanțele prioritare într-una sau mai multe dintre următoarele categorii:</w:t>
      </w:r>
    </w:p>
    <w:p w14:paraId="5B9A6773" w14:textId="77777777" w:rsidR="00647D0C" w:rsidRPr="00A61195" w:rsidRDefault="00647D0C" w:rsidP="00A61195">
      <w:pPr>
        <w:pStyle w:val="Point2"/>
        <w:rPr>
          <w:bCs/>
          <w:iCs/>
        </w:rPr>
      </w:pPr>
      <w:r w:rsidRPr="00A61195">
        <w:t>(a)</w:t>
      </w:r>
      <w:r w:rsidRPr="00A61195">
        <w:tab/>
        <w:t>substanțe periculoase prioritare;</w:t>
      </w:r>
    </w:p>
    <w:p w14:paraId="4D7F9ED0" w14:textId="267087F6" w:rsidR="00647D0C" w:rsidRPr="00A61195" w:rsidRDefault="00647D0C" w:rsidP="00A61195">
      <w:pPr>
        <w:pStyle w:val="Point2"/>
        <w:rPr>
          <w:bCs/>
          <w:iCs/>
        </w:rPr>
      </w:pPr>
      <w:r w:rsidRPr="00A61195">
        <w:t>(b)</w:t>
      </w:r>
      <w:r w:rsidRPr="00A61195">
        <w:tab/>
        <w:t xml:space="preserve">substanțe care se comportă ca substanțe persistente, </w:t>
      </w:r>
      <w:proofErr w:type="spellStart"/>
      <w:r w:rsidRPr="00A61195">
        <w:t>bioacumulative</w:t>
      </w:r>
      <w:proofErr w:type="spellEnd"/>
      <w:r w:rsidRPr="00A61195">
        <w:t xml:space="preserve"> și toxice omniprezente (PBT-uri omniprezente);</w:t>
      </w:r>
    </w:p>
    <w:p w14:paraId="33FC6AF4" w14:textId="77777777" w:rsidR="00647D0C" w:rsidRPr="00A61195" w:rsidRDefault="00647D0C" w:rsidP="00A61195">
      <w:pPr>
        <w:pStyle w:val="Point2"/>
        <w:rPr>
          <w:bCs/>
          <w:iCs/>
        </w:rPr>
      </w:pPr>
      <w:r w:rsidRPr="00A61195">
        <w:t>(c)</w:t>
      </w:r>
      <w:r w:rsidRPr="00A61195">
        <w:tab/>
        <w:t xml:space="preserve">substanțe care tind să se acumuleze în sedimente sau în </w:t>
      </w:r>
      <w:proofErr w:type="spellStart"/>
      <w:r w:rsidRPr="00A61195">
        <w:t>biotă</w:t>
      </w:r>
      <w:proofErr w:type="spellEnd"/>
      <w:r w:rsidRPr="00A61195">
        <w:t>, ori în ambele.</w:t>
      </w:r>
    </w:p>
    <w:p w14:paraId="11714672" w14:textId="77777777" w:rsidR="00647D0C" w:rsidRPr="00A61195" w:rsidRDefault="00647D0C">
      <w:pPr>
        <w:spacing w:before="0" w:after="160" w:line="259" w:lineRule="auto"/>
      </w:pPr>
      <w:r w:rsidRPr="00A61195">
        <w:br w:type="page"/>
      </w:r>
    </w:p>
    <w:p w14:paraId="759FE0DD" w14:textId="7B9B574E" w:rsidR="00647D0C" w:rsidRPr="00A61195" w:rsidRDefault="00647D0C" w:rsidP="00A61195">
      <w:pPr>
        <w:pStyle w:val="Text2"/>
        <w:rPr>
          <w:bCs/>
          <w:iCs/>
        </w:rPr>
      </w:pPr>
      <w:r w:rsidRPr="00A61195">
        <w:lastRenderedPageBreak/>
        <w:t>În acest sens, Comisia ține seama de identificarea substanțelor care prezintă motive de îngrijorare realizată în temeiul altor acte legislative relevante ale Uniunii privind substanțele periculoase, printre care se numără Regulamentul (CE) nr. 1272/2008 al Parlamentului European și al Consiliului</w:t>
      </w:r>
      <w:r w:rsidRPr="00A61195">
        <w:rPr>
          <w:b/>
          <w:bCs/>
          <w:vertAlign w:val="superscript"/>
        </w:rPr>
        <w:t>******</w:t>
      </w:r>
      <w:r w:rsidRPr="00A61195">
        <w:t>, în acordurile internaționale relevante și în cadrul rapoartelor științifice relevante. Se iau în considerare în special substanțele care îndeplinesc criteriile prevăzute la articolul 57 din Regulamentul (CE) nr. 1907/2006, în cazul în care criteriile referitoare la motivele de îngrijorare sunt relevante pentru mediul acvatic.</w:t>
      </w:r>
    </w:p>
    <w:p w14:paraId="541EEB78" w14:textId="398536BA" w:rsidR="00647D0C" w:rsidRPr="00A61195" w:rsidRDefault="00647D0C" w:rsidP="00A61195">
      <w:pPr>
        <w:pStyle w:val="Point1"/>
      </w:pPr>
      <w:r w:rsidRPr="00A61195">
        <w:t>(3a)</w:t>
      </w:r>
      <w:r w:rsidRPr="00A61195">
        <w:tab/>
        <w:t xml:space="preserve">Ca parte a revizuirii și a propunerii însoțitoare menționate la alineatul (2) de la prezentul articol, Comisia propune, după caz, deselectarea substanțelor din lista substanțelor enumerate în partea A din anexa I la Directiva 2008/105/CE în cazul în care acestea nu mai prezintă un risc semnificativ pentru mediul acvatic din cadrul Uniunii sau prin intermediul acestuia și le include în registrul cu SCM-uri armonizate pentru poluanți specifici bazinelor hidrografice în partea C din anexa II la directiva respectivă. Propunerea ține seama de rezultatele evaluărilor statelor membre cu privire la presiunile și impacturile asupra corpurilor de apă de suprafață efectuate în conformitate cu anexa II la prezenta directivă. Statele membre pun în aplicare </w:t>
      </w:r>
      <w:proofErr w:type="spellStart"/>
      <w:r w:rsidRPr="00A61195">
        <w:t>SCM</w:t>
      </w:r>
      <w:r w:rsidR="007F7383">
        <w:t>­</w:t>
      </w:r>
      <w:r w:rsidRPr="00A61195">
        <w:t>urile</w:t>
      </w:r>
      <w:proofErr w:type="spellEnd"/>
      <w:r w:rsidRPr="00A61195">
        <w:t xml:space="preserve"> armonizate corespunzătoare în cazul în care poluanții prezintă motive de îngrijorare la nivel național sau regional, în conformitate cu articolul 8d din Directiva 2008/105/CE.</w:t>
      </w:r>
    </w:p>
    <w:p w14:paraId="6FD27D87" w14:textId="77777777" w:rsidR="00647D0C" w:rsidRPr="00A61195" w:rsidRDefault="00647D0C">
      <w:pPr>
        <w:spacing w:before="0" w:after="160" w:line="259" w:lineRule="auto"/>
        <w:rPr>
          <w:bCs/>
          <w:iCs/>
        </w:rPr>
      </w:pPr>
      <w:r w:rsidRPr="00A61195">
        <w:rPr>
          <w:bCs/>
          <w:iCs/>
        </w:rPr>
        <w:br w:type="page"/>
      </w:r>
    </w:p>
    <w:p w14:paraId="413C4272" w14:textId="46915F94" w:rsidR="00647D0C" w:rsidRPr="00A61195" w:rsidRDefault="00647D0C" w:rsidP="00A61195">
      <w:pPr>
        <w:pStyle w:val="Point1"/>
        <w:rPr>
          <w:iCs/>
        </w:rPr>
      </w:pPr>
      <w:r w:rsidRPr="00A61195">
        <w:lastRenderedPageBreak/>
        <w:t>(4)</w:t>
      </w:r>
      <w:r w:rsidRPr="00A61195">
        <w:tab/>
        <w:t>Comisia revizuiește lista poluanților specifici bazinelor hidrografice și SCM-urile corespunzătoare din partea C din anexa II la Directiva 2008/105/CE până la … [</w:t>
      </w:r>
      <w:r w:rsidRPr="00A61195">
        <w:rPr>
          <w:i/>
          <w:iCs/>
        </w:rPr>
        <w:t>șase ani de la data intrării în vigoare a prezentei directive de modificare</w:t>
      </w:r>
      <w:r w:rsidRPr="00A61195">
        <w:t>] și, ulterior, o dată la șase ani și, atunci când este cazul, însoțește revizuirea cu o propunere legislativă de actualizare a listei respective.</w:t>
      </w:r>
    </w:p>
    <w:p w14:paraId="58100494" w14:textId="74324467" w:rsidR="00647D0C" w:rsidRPr="00A61195" w:rsidRDefault="00647D0C" w:rsidP="00A61195">
      <w:pPr>
        <w:pStyle w:val="Point1"/>
      </w:pPr>
      <w:r w:rsidRPr="00A61195">
        <w:t>(4a)</w:t>
      </w:r>
      <w:r w:rsidRPr="00A61195">
        <w:tab/>
        <w:t>Când identifică poluanți specifici bazinelor hidrografice pentru care ar putea fi necesar să se stabilească SCM-uri la nivelul Uniunii, Comisia ia în considerare următoarele criterii:</w:t>
      </w:r>
    </w:p>
    <w:p w14:paraId="798C8FAF" w14:textId="77777777" w:rsidR="00647D0C" w:rsidRPr="00A61195" w:rsidRDefault="00647D0C" w:rsidP="00A61195">
      <w:pPr>
        <w:pStyle w:val="Point2"/>
        <w:rPr>
          <w:bCs/>
          <w:iCs/>
        </w:rPr>
      </w:pPr>
      <w:r w:rsidRPr="00A61195">
        <w:t>(a)</w:t>
      </w:r>
      <w:r w:rsidRPr="00A61195">
        <w:tab/>
        <w:t>riscul prezentat de poluanți, inclusiv pericolul acestora, concentrațiile lor în mediu și concentrația a cărei depășire poate antrena efecte, precum și posibilele efecte cumulative;</w:t>
      </w:r>
    </w:p>
    <w:p w14:paraId="20711853" w14:textId="77777777" w:rsidR="00647D0C" w:rsidRPr="00A61195" w:rsidRDefault="00647D0C" w:rsidP="00A61195">
      <w:pPr>
        <w:pStyle w:val="Point2"/>
        <w:rPr>
          <w:bCs/>
          <w:iCs/>
        </w:rPr>
      </w:pPr>
      <w:r w:rsidRPr="00A61195">
        <w:t>(b)</w:t>
      </w:r>
      <w:r w:rsidRPr="00A61195">
        <w:tab/>
        <w:t>disparitatea dintre SCM-urile naționale stabilite pentru poluanții specifici bazinelor hidrografice de către diferite state membre și măsura în care o astfel de disparitate este justificabilă;</w:t>
      </w:r>
    </w:p>
    <w:p w14:paraId="2DBEE36C" w14:textId="77777777" w:rsidR="00647D0C" w:rsidRPr="00A61195" w:rsidRDefault="00647D0C" w:rsidP="00A61195">
      <w:pPr>
        <w:pStyle w:val="Point2"/>
        <w:rPr>
          <w:bCs/>
          <w:iCs/>
        </w:rPr>
      </w:pPr>
      <w:r w:rsidRPr="00A61195">
        <w:t>(c)</w:t>
      </w:r>
      <w:r w:rsidRPr="00A61195">
        <w:tab/>
        <w:t>numărul de state membre care pun deja în aplicare SCM-uri pentru poluanții specifici bazinelor hidrografice analizați.</w:t>
      </w:r>
    </w:p>
    <w:p w14:paraId="778EDFE9" w14:textId="62A220E7" w:rsidR="00647D0C" w:rsidRPr="00A61195" w:rsidRDefault="00647D0C" w:rsidP="00A61195">
      <w:pPr>
        <w:pStyle w:val="Point1"/>
      </w:pPr>
      <w:r w:rsidRPr="00A61195">
        <w:t>(4b)</w:t>
      </w:r>
      <w:r w:rsidRPr="00A61195">
        <w:tab/>
        <w:t>Comisia revizuiește lista orientativă a categoriilor de poluanți specifici bazinelor hidrografice prevăzută în partea A din anexa II la Directiva 2008/105/CE până la … [</w:t>
      </w:r>
      <w:r w:rsidRPr="00A61195">
        <w:rPr>
          <w:i/>
          <w:iCs/>
        </w:rPr>
        <w:t>șase ani de la data intrării în vigoare a prezentei directive de modificare</w:t>
      </w:r>
      <w:r w:rsidRPr="00A61195">
        <w:t>] și, ulterior, o dată la șase ani și, atunci când este cazul, însoțește revizuirea de o propunere legislativă de actualizare a listei respective.</w:t>
      </w:r>
    </w:p>
    <w:p w14:paraId="0A171DFD" w14:textId="77777777" w:rsidR="00647D0C" w:rsidRPr="00A61195" w:rsidRDefault="00647D0C">
      <w:pPr>
        <w:spacing w:before="0" w:after="160" w:line="259" w:lineRule="auto"/>
        <w:rPr>
          <w:bCs/>
          <w:iCs/>
        </w:rPr>
      </w:pPr>
      <w:r w:rsidRPr="00A61195">
        <w:rPr>
          <w:bCs/>
          <w:iCs/>
        </w:rPr>
        <w:br w:type="page"/>
      </w:r>
    </w:p>
    <w:p w14:paraId="3F30E2D5" w14:textId="00D5186F" w:rsidR="00647D0C" w:rsidRPr="00A61195" w:rsidRDefault="00647D0C" w:rsidP="00A61195">
      <w:pPr>
        <w:pStyle w:val="Point1"/>
      </w:pPr>
      <w:r w:rsidRPr="00A61195">
        <w:lastRenderedPageBreak/>
        <w:t>(5)</w:t>
      </w:r>
      <w:r w:rsidRPr="00A61195">
        <w:tab/>
        <w:t>Pentru a asista Comisia în revizuirea anexelor I și II la Directiva 2008/105/CE, Agenția Europeană pentru Produse Chimice (ECHA) pregătește rapoarte științifice, care iau în considerare următoarele elemente:</w:t>
      </w:r>
    </w:p>
    <w:p w14:paraId="517AE284" w14:textId="77777777" w:rsidR="00647D0C" w:rsidRPr="00A61195" w:rsidRDefault="00647D0C" w:rsidP="00A61195">
      <w:pPr>
        <w:pStyle w:val="Point2"/>
        <w:rPr>
          <w:bCs/>
          <w:iCs/>
        </w:rPr>
      </w:pPr>
      <w:r w:rsidRPr="00A61195">
        <w:t>(a)</w:t>
      </w:r>
      <w:r w:rsidRPr="00A61195">
        <w:tab/>
        <w:t>avizele Comitetului pentru evaluarea riscurilor (CER) și ale Comitetului pentru analiză socioeconomică (CASE) din cadrul ECHA;</w:t>
      </w:r>
    </w:p>
    <w:p w14:paraId="7250B353" w14:textId="77777777" w:rsidR="00647D0C" w:rsidRPr="00A61195" w:rsidRDefault="00647D0C" w:rsidP="00A61195">
      <w:pPr>
        <w:pStyle w:val="Point2"/>
        <w:rPr>
          <w:bCs/>
          <w:iCs/>
        </w:rPr>
      </w:pPr>
      <w:r w:rsidRPr="00A61195">
        <w:t>(b)</w:t>
      </w:r>
      <w:r w:rsidRPr="00A61195">
        <w:tab/>
        <w:t>rezultatele programelor de monitorizare elaborate în conformitate cu articolul 8 din prezenta directivă;</w:t>
      </w:r>
    </w:p>
    <w:p w14:paraId="1CFC5B09" w14:textId="77777777" w:rsidR="00647D0C" w:rsidRPr="00A61195" w:rsidRDefault="00647D0C" w:rsidP="00A61195">
      <w:pPr>
        <w:pStyle w:val="Point2"/>
        <w:rPr>
          <w:bCs/>
          <w:iCs/>
        </w:rPr>
      </w:pPr>
      <w:r w:rsidRPr="00A61195">
        <w:t>(c)</w:t>
      </w:r>
      <w:r w:rsidRPr="00A61195">
        <w:tab/>
        <w:t>datele de monitorizare colectate în conformitate cu articolul 8b alineatul (4) din Directiva 2008/105/CE;</w:t>
      </w:r>
    </w:p>
    <w:p w14:paraId="183D20B1" w14:textId="1A1F5C13" w:rsidR="00647D0C" w:rsidRPr="00A61195" w:rsidRDefault="00647D0C" w:rsidP="00A61195">
      <w:pPr>
        <w:pStyle w:val="Point2"/>
        <w:rPr>
          <w:bCs/>
          <w:iCs/>
        </w:rPr>
      </w:pPr>
      <w:r w:rsidRPr="00A61195">
        <w:t>(d)</w:t>
      </w:r>
      <w:r w:rsidRPr="00A61195">
        <w:tab/>
        <w:t>rezultatul revizuirilor anexelor la Directivele 2006/118/CE și (UE) 2020/2184;</w:t>
      </w:r>
    </w:p>
    <w:p w14:paraId="7C1BF785" w14:textId="77777777" w:rsidR="00647D0C" w:rsidRPr="00A61195" w:rsidRDefault="00647D0C" w:rsidP="00A61195">
      <w:pPr>
        <w:pStyle w:val="Point2"/>
        <w:rPr>
          <w:bCs/>
          <w:iCs/>
        </w:rPr>
      </w:pPr>
      <w:r w:rsidRPr="00A61195">
        <w:t>(e)</w:t>
      </w:r>
      <w:r w:rsidRPr="00A61195">
        <w:tab/>
        <w:t>cerințele privind combaterea poluării solului, inclusiv datele de monitorizare conexe;</w:t>
      </w:r>
    </w:p>
    <w:p w14:paraId="3925ABCA" w14:textId="77777777" w:rsidR="00647D0C" w:rsidRPr="00A61195" w:rsidRDefault="00647D0C" w:rsidP="00A61195">
      <w:pPr>
        <w:pStyle w:val="Point2"/>
        <w:rPr>
          <w:bCs/>
          <w:iCs/>
        </w:rPr>
      </w:pPr>
      <w:r w:rsidRPr="00A61195">
        <w:t>(f)</w:t>
      </w:r>
      <w:r w:rsidRPr="00A61195">
        <w:tab/>
        <w:t xml:space="preserve">programele de cercetare și publicațiile științifice ale Uniunii, inclusiv informații furnizate de tehnologiile de teledetecție, de observarea Pământului, precum serviciile </w:t>
      </w:r>
      <w:proofErr w:type="spellStart"/>
      <w:r w:rsidRPr="00A61195">
        <w:t>Copernicus</w:t>
      </w:r>
      <w:proofErr w:type="spellEnd"/>
      <w:r w:rsidRPr="00A61195">
        <w:t xml:space="preserve">, de senzori și dispozitive </w:t>
      </w:r>
      <w:r w:rsidRPr="00A61195">
        <w:rPr>
          <w:i/>
          <w:iCs/>
        </w:rPr>
        <w:t xml:space="preserve">in </w:t>
      </w:r>
      <w:proofErr w:type="spellStart"/>
      <w:r w:rsidRPr="00A61195">
        <w:rPr>
          <w:i/>
          <w:iCs/>
        </w:rPr>
        <w:t>situ</w:t>
      </w:r>
      <w:proofErr w:type="spellEnd"/>
      <w:r w:rsidRPr="00A61195">
        <w:t xml:space="preserve"> și de date științifice cetățenești, valorificându-se oportunitățile oferite de inteligența artificială, de analiza și prelucrarea avansată a datelor;</w:t>
      </w:r>
    </w:p>
    <w:p w14:paraId="1F7B1FB8" w14:textId="77777777" w:rsidR="00647D0C" w:rsidRPr="00A61195" w:rsidRDefault="00647D0C">
      <w:pPr>
        <w:spacing w:before="0" w:after="160" w:line="259" w:lineRule="auto"/>
      </w:pPr>
      <w:r w:rsidRPr="00A61195">
        <w:br w:type="page"/>
      </w:r>
    </w:p>
    <w:p w14:paraId="753C34DA" w14:textId="33E62736" w:rsidR="00647D0C" w:rsidRPr="00A61195" w:rsidRDefault="00647D0C" w:rsidP="00A61195">
      <w:pPr>
        <w:pStyle w:val="Point2"/>
        <w:rPr>
          <w:bCs/>
          <w:iCs/>
        </w:rPr>
      </w:pPr>
      <w:r w:rsidRPr="00A61195">
        <w:lastRenderedPageBreak/>
        <w:t>(g)</w:t>
      </w:r>
      <w:r w:rsidRPr="00A61195">
        <w:tab/>
        <w:t>observații și informații de la părțile interesate relevante; și</w:t>
      </w:r>
    </w:p>
    <w:p w14:paraId="21C4928C" w14:textId="77777777" w:rsidR="00647D0C" w:rsidRPr="00A61195" w:rsidRDefault="00647D0C" w:rsidP="00A61195">
      <w:pPr>
        <w:pStyle w:val="Point2"/>
        <w:rPr>
          <w:bCs/>
          <w:iCs/>
        </w:rPr>
      </w:pPr>
      <w:r w:rsidRPr="00A61195">
        <w:t>(h)</w:t>
      </w:r>
      <w:r w:rsidRPr="00A61195">
        <w:tab/>
        <w:t>recomandările grupurilor de lucru instituite în cadrul Strategiei comune de punere în aplicare a Directivei 2000/60/CE.</w:t>
      </w:r>
    </w:p>
    <w:p w14:paraId="0D36C860" w14:textId="77777777" w:rsidR="00647D0C" w:rsidRPr="00A61195" w:rsidRDefault="00647D0C" w:rsidP="00A61195">
      <w:pPr>
        <w:pStyle w:val="Text2"/>
        <w:rPr>
          <w:bCs/>
          <w:iCs/>
        </w:rPr>
      </w:pPr>
      <w:r w:rsidRPr="00A61195">
        <w:t>Până la … [</w:t>
      </w:r>
      <w:r w:rsidRPr="00A61195">
        <w:rPr>
          <w:i/>
          <w:iCs/>
        </w:rPr>
        <w:t>patru ani de la data intrării în vigoare a prezentei directive de modificare</w:t>
      </w:r>
      <w:r w:rsidRPr="00A61195">
        <w:t>] și, ulterior, o dată la șase ani, ECHA redactează și pune la dispoziția publicului un raport în care sintetizează constatările din rapoartele științifice întocmite în temeiul prezentului alineat.</w:t>
      </w:r>
    </w:p>
    <w:p w14:paraId="00E94B01" w14:textId="401BF335" w:rsidR="00647D0C" w:rsidRPr="00A61195" w:rsidRDefault="00647D0C" w:rsidP="00A61195">
      <w:pPr>
        <w:pStyle w:val="Point1"/>
      </w:pPr>
      <w:r w:rsidRPr="00A61195">
        <w:t>(6)</w:t>
      </w:r>
      <w:r w:rsidRPr="00A61195">
        <w:tab/>
        <w:t>Atunci când este necesar, Comisia prezintă propuneri pentru controale cu scopul de a realiza următoarele:</w:t>
      </w:r>
    </w:p>
    <w:p w14:paraId="10EF10AD" w14:textId="51263F81" w:rsidR="00647D0C" w:rsidRPr="00A61195" w:rsidRDefault="00647D0C" w:rsidP="00A61195">
      <w:pPr>
        <w:pStyle w:val="Point2"/>
        <w:rPr>
          <w:bCs/>
          <w:iCs/>
        </w:rPr>
      </w:pPr>
      <w:r w:rsidRPr="00A61195">
        <w:t>(a)</w:t>
      </w:r>
      <w:r w:rsidRPr="00A61195">
        <w:tab/>
        <w:t>reducerea progresivă a evacuărilor, a emisiilor și a pierderilor de substanțe prioritare; și</w:t>
      </w:r>
    </w:p>
    <w:p w14:paraId="3E5F6FE0" w14:textId="435F106E" w:rsidR="00647D0C" w:rsidRPr="00A61195" w:rsidRDefault="00647D0C" w:rsidP="00A61195">
      <w:pPr>
        <w:pStyle w:val="Point2"/>
        <w:rPr>
          <w:bCs/>
          <w:iCs/>
        </w:rPr>
      </w:pPr>
      <w:r w:rsidRPr="00A61195">
        <w:t>(b)</w:t>
      </w:r>
      <w:r w:rsidRPr="00A61195">
        <w:tab/>
        <w:t>în special stoparea sau eliminarea treptată a evacuărilor, a emisiilor și a pierderilor de substanțe periculoase prioritare, astfel cum sunt identificate în conformitate cu alineatul (3), inclusiv, după caz, un calendar pentru aceste acțiuni în termen de 20 de ani de la desemnarea substanțelor drept substanțe periculoase prioritare.</w:t>
      </w:r>
    </w:p>
    <w:p w14:paraId="32C243FB" w14:textId="77777777" w:rsidR="00647D0C" w:rsidRPr="00A61195" w:rsidRDefault="00647D0C">
      <w:pPr>
        <w:spacing w:before="0" w:after="160" w:line="259" w:lineRule="auto"/>
      </w:pPr>
      <w:r w:rsidRPr="00A61195">
        <w:br w:type="page"/>
      </w:r>
    </w:p>
    <w:p w14:paraId="6E53BE19" w14:textId="517C908D" w:rsidR="00647D0C" w:rsidRPr="00A61195" w:rsidRDefault="00647D0C" w:rsidP="00A61195">
      <w:pPr>
        <w:pStyle w:val="Text2"/>
        <w:rPr>
          <w:bCs/>
          <w:iCs/>
        </w:rPr>
      </w:pPr>
      <w:r w:rsidRPr="00A61195">
        <w:lastRenderedPageBreak/>
        <w:t>Atunci când face acest lucru, Comisia identifică nivelul și combinația adecvate, eficiente din punctul de vedere al costurilor și proporționale ale controalelor produselor și proceselor atât pentru sursele punctiforme, cât și pentru sursele difuze și ia în considerare valorile-limită uniforme ale emisiilor de pe întreg teritoriul Uniunii în ceea ce privește controalele proceselor. Dacă este necesar, acțiunea la nivelul Uniunii privind controalele proceselor poate fi structurată pe sectoare. În cazul în care controalele produselor sau proceselor includ o revizuire a autorizațiilor sau a aprobărilor de substanțe relevante emise în temeiul Directivei 2001/83/CE, al Regulamentului (CE) nr. 1907/2006, al Directivei 2009/128/CE, al Regulamentului (CE) nr. 1107/2009, al Directivei 2010/75/UE, al Regulamentului (UE) nr. 528/2012 sau al Regulamentului (UE) 2019/6, aceste revizuiri se efectuează în conformitate cu dispozițiile directivelor și regulamentelor respective, astfel cum se indică la articolul 7a din Directiva 2008/105/CE. Aceste revizuiri țin seama de evaluarea efectuată de Comisie în conformitate cu articolul 7a alineatul (1) din Directiva 2008/105/CE. Fiecare propunere privind controalele specifică, atunci când este cazul, modalitățile referitoare la revizuirea și actualizarea lor, precum și la evaluarea eficienței lor.</w:t>
      </w:r>
    </w:p>
    <w:p w14:paraId="21A17270" w14:textId="43CCC966" w:rsidR="00647D0C" w:rsidRPr="00A61195" w:rsidRDefault="00647D0C" w:rsidP="00A61195">
      <w:pPr>
        <w:pStyle w:val="Point1"/>
      </w:pPr>
      <w:r w:rsidRPr="00A61195">
        <w:t>(</w:t>
      </w:r>
      <w:r w:rsidR="007F7383">
        <w:t>9</w:t>
      </w:r>
      <w:r w:rsidRPr="00A61195">
        <w:t>)</w:t>
      </w:r>
      <w:r w:rsidRPr="00A61195">
        <w:tab/>
        <w:t>Comisia poate elabora strategii de combatere a poluării apei cu orice alt poluant sau grup de poluanți, inclusiv de combatere a poluării accidentale a apei.</w:t>
      </w:r>
    </w:p>
    <w:p w14:paraId="3DBFA5B4" w14:textId="77777777" w:rsidR="00647D0C" w:rsidRPr="00A61195" w:rsidRDefault="00647D0C">
      <w:pPr>
        <w:spacing w:before="0" w:after="160" w:line="259" w:lineRule="auto"/>
      </w:pPr>
      <w:r w:rsidRPr="00A61195">
        <w:br w:type="page"/>
      </w:r>
    </w:p>
    <w:p w14:paraId="49AFFD2A" w14:textId="61B6D2BE" w:rsidR="00647D0C" w:rsidRPr="00A61195" w:rsidRDefault="00647D0C" w:rsidP="00A61195">
      <w:pPr>
        <w:pStyle w:val="Text1"/>
        <w:rPr>
          <w:bCs/>
          <w:iCs/>
        </w:rPr>
      </w:pPr>
      <w:r w:rsidRPr="00A61195">
        <w:lastRenderedPageBreak/>
        <w:t>__________________</w:t>
      </w:r>
    </w:p>
    <w:p w14:paraId="7F902339" w14:textId="591ED1FB" w:rsidR="00647D0C" w:rsidRPr="00A61195" w:rsidRDefault="00647D0C" w:rsidP="00A61195">
      <w:pPr>
        <w:pStyle w:val="Point1"/>
        <w:spacing w:before="0" w:after="0" w:line="240" w:lineRule="auto"/>
        <w:ind w:left="1418"/>
        <w:rPr>
          <w:bCs/>
          <w:iCs/>
        </w:rPr>
      </w:pPr>
      <w:r w:rsidRPr="00A61195">
        <w:rPr>
          <w:vertAlign w:val="superscript"/>
        </w:rPr>
        <w:t>*</w:t>
      </w:r>
      <w:r w:rsidRPr="00A61195">
        <w:tab/>
        <w:t>Directiva 2001/83/CE a Parlamentului European și a Consiliului din 6 noiembrie 2001 de instituire a unui cod comunitar cu privire la medicamentele de uz uman (JO L 311, 28.11.2001, p. 67, ELI: </w:t>
      </w:r>
      <w:hyperlink r:id="rId31" w:history="1">
        <w:r w:rsidRPr="00275CA3">
          <w:rPr>
            <w:rStyle w:val="Hyperlink"/>
          </w:rPr>
          <w:t>http://data.europa.eu/eli/dir/2001/83/oj</w:t>
        </w:r>
      </w:hyperlink>
      <w:r w:rsidRPr="00A61195">
        <w:t>).</w:t>
      </w:r>
    </w:p>
    <w:p w14:paraId="57A44248" w14:textId="0E813779" w:rsidR="00647D0C" w:rsidRPr="00A61195" w:rsidRDefault="00647D0C" w:rsidP="00A61195">
      <w:pPr>
        <w:pStyle w:val="Point1"/>
        <w:spacing w:before="0" w:after="0" w:line="240" w:lineRule="auto"/>
        <w:ind w:left="1418"/>
        <w:rPr>
          <w:szCs w:val="24"/>
        </w:rPr>
      </w:pPr>
      <w:r w:rsidRPr="00A61195">
        <w:rPr>
          <w:vertAlign w:val="superscript"/>
        </w:rPr>
        <w:t>**</w:t>
      </w:r>
      <w:r w:rsidRPr="00A61195">
        <w:rPr>
          <w:vertAlign w:val="superscript"/>
        </w:rPr>
        <w:tab/>
      </w:r>
      <w:r w:rsidRPr="00A61195">
        <w:t>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p. 1, ELI: </w:t>
      </w:r>
      <w:hyperlink r:id="rId32" w:history="1">
        <w:r w:rsidRPr="00275CA3">
          <w:rPr>
            <w:rStyle w:val="Hyperlink"/>
          </w:rPr>
          <w:t>http://data.europa.eu/eli/reg/2006/1907/oj</w:t>
        </w:r>
      </w:hyperlink>
      <w:r w:rsidRPr="00A61195">
        <w:t>).</w:t>
      </w:r>
    </w:p>
    <w:p w14:paraId="538FB8AB" w14:textId="6F12B3D1" w:rsidR="00647D0C" w:rsidRPr="00A61195" w:rsidRDefault="00647D0C" w:rsidP="00A61195">
      <w:pPr>
        <w:pStyle w:val="Point1"/>
        <w:spacing w:before="0" w:after="0" w:line="240" w:lineRule="auto"/>
        <w:ind w:left="1418"/>
        <w:rPr>
          <w:szCs w:val="24"/>
        </w:rPr>
      </w:pPr>
      <w:r w:rsidRPr="00A61195">
        <w:rPr>
          <w:vertAlign w:val="superscript"/>
        </w:rPr>
        <w:t>***</w:t>
      </w:r>
      <w:r w:rsidRPr="00A61195">
        <w:tab/>
        <w:t>Regulamentul (CE) nr. 1107/2009 al Parlamentului European și al Consiliului din 21 octombrie 2009 privind introducerea pe piață a produselor fitosanitare și de abrogare a Directivelor 79/117/CEE și 91/414/CEE ale Consiliului (JO L 309, 24.11.2009, p. 1, ELI: </w:t>
      </w:r>
      <w:hyperlink r:id="rId33" w:history="1">
        <w:r w:rsidRPr="00275CA3">
          <w:rPr>
            <w:rStyle w:val="Hyperlink"/>
          </w:rPr>
          <w:t>http://data.europa.eu/eli/reg/2009/1107/oj</w:t>
        </w:r>
      </w:hyperlink>
      <w:r w:rsidRPr="00A61195">
        <w:t>).</w:t>
      </w:r>
    </w:p>
    <w:p w14:paraId="4BAC6345" w14:textId="0BA2F81E" w:rsidR="00647D0C" w:rsidRPr="00A61195" w:rsidRDefault="00647D0C" w:rsidP="00A61195">
      <w:pPr>
        <w:pStyle w:val="Point1"/>
        <w:spacing w:before="0" w:after="0" w:line="240" w:lineRule="auto"/>
        <w:ind w:left="1418"/>
        <w:rPr>
          <w:szCs w:val="24"/>
        </w:rPr>
      </w:pPr>
      <w:r w:rsidRPr="00A61195">
        <w:rPr>
          <w:vertAlign w:val="superscript"/>
        </w:rPr>
        <w:t>****</w:t>
      </w:r>
      <w:r w:rsidRPr="00A61195">
        <w:tab/>
        <w:t xml:space="preserve">Regulamentul (UE) nr. 528/2012 al Parlamentului European și al Consiliului din 22 mai 2012 privind punerea la dispoziție pe piață și utilizarea produselor </w:t>
      </w:r>
      <w:proofErr w:type="spellStart"/>
      <w:r w:rsidRPr="00A61195">
        <w:t>biocide</w:t>
      </w:r>
      <w:proofErr w:type="spellEnd"/>
      <w:r w:rsidRPr="00A61195">
        <w:t xml:space="preserve"> (JO L 167, 27.6.2012, p. 1, ELI: </w:t>
      </w:r>
      <w:hyperlink r:id="rId34" w:history="1">
        <w:r w:rsidRPr="00275CA3">
          <w:rPr>
            <w:rStyle w:val="Hyperlink"/>
          </w:rPr>
          <w:t>http://data.europa.eu/eli/reg/2012/528/oj</w:t>
        </w:r>
      </w:hyperlink>
      <w:r w:rsidRPr="00A61195">
        <w:t>).</w:t>
      </w:r>
    </w:p>
    <w:p w14:paraId="2F691E2B" w14:textId="6DC624CD" w:rsidR="00647D0C" w:rsidRPr="00A61195" w:rsidRDefault="00647D0C" w:rsidP="00A61195">
      <w:pPr>
        <w:pStyle w:val="Point1"/>
        <w:spacing w:after="0" w:line="240" w:lineRule="auto"/>
        <w:ind w:left="1418"/>
        <w:rPr>
          <w:szCs w:val="24"/>
        </w:rPr>
      </w:pPr>
      <w:r w:rsidRPr="00A61195">
        <w:rPr>
          <w:vertAlign w:val="superscript"/>
        </w:rPr>
        <w:t>*****</w:t>
      </w:r>
      <w:r w:rsidRPr="00A61195">
        <w:tab/>
        <w:t>Regulamentul (UE) 2019/6 al Parlamentului European și al Consiliului din 11 decembrie 2018 privind produsele medicinale veterinare și de abrogare a Directivei 2001/82/CE (JO L 4, 7.1.2019, p. 43, ELI: </w:t>
      </w:r>
      <w:hyperlink r:id="rId35" w:history="1">
        <w:r w:rsidRPr="00275CA3">
          <w:rPr>
            <w:rStyle w:val="Hyperlink"/>
          </w:rPr>
          <w:t>http://data.europa.eu/eli/reg/2019/6/oj</w:t>
        </w:r>
      </w:hyperlink>
      <w:r w:rsidRPr="00A61195">
        <w:t>).</w:t>
      </w:r>
    </w:p>
    <w:p w14:paraId="6EB711C3" w14:textId="73340FAB" w:rsidR="00647D0C" w:rsidRPr="00A61195" w:rsidRDefault="00647D0C" w:rsidP="00A61195">
      <w:pPr>
        <w:pStyle w:val="Point1"/>
        <w:spacing w:before="0" w:line="240" w:lineRule="auto"/>
        <w:ind w:left="1418"/>
        <w:rPr>
          <w:bCs/>
          <w:iCs/>
        </w:rPr>
      </w:pPr>
      <w:r w:rsidRPr="00A61195">
        <w:rPr>
          <w:vertAlign w:val="superscript"/>
        </w:rPr>
        <w:t>******</w:t>
      </w:r>
      <w:r w:rsidRPr="00A61195">
        <w:rPr>
          <w:vertAlign w:val="superscript"/>
        </w:rPr>
        <w:tab/>
      </w:r>
      <w:r w:rsidRPr="00A61195">
        <w:t>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p. 1, ELI: </w:t>
      </w:r>
      <w:hyperlink r:id="rId36" w:history="1">
        <w:r w:rsidRPr="00275CA3">
          <w:rPr>
            <w:rStyle w:val="Hyperlink"/>
          </w:rPr>
          <w:t>http://data.europa.eu/eli/reg/2008/1272/oj</w:t>
        </w:r>
      </w:hyperlink>
      <w:r w:rsidRPr="00A61195">
        <w:t>).”</w:t>
      </w:r>
    </w:p>
    <w:p w14:paraId="766DAE7D" w14:textId="77777777" w:rsidR="00647D0C" w:rsidRPr="00A61195" w:rsidRDefault="00647D0C">
      <w:pPr>
        <w:spacing w:before="0" w:after="160" w:line="259" w:lineRule="auto"/>
        <w:rPr>
          <w:bCs/>
          <w:iCs/>
        </w:rPr>
      </w:pPr>
      <w:r w:rsidRPr="00A61195">
        <w:rPr>
          <w:bCs/>
          <w:iCs/>
        </w:rPr>
        <w:br w:type="page"/>
      </w:r>
    </w:p>
    <w:p w14:paraId="00316440" w14:textId="7C44CCB1" w:rsidR="00647D0C" w:rsidRPr="00A61195" w:rsidRDefault="00647D0C" w:rsidP="00A61195">
      <w:pPr>
        <w:pStyle w:val="Point0"/>
      </w:pPr>
      <w:r w:rsidRPr="00A61195">
        <w:lastRenderedPageBreak/>
        <w:t>12.</w:t>
      </w:r>
      <w:r w:rsidRPr="00A61195">
        <w:tab/>
        <w:t>La articolul 17, alineatele (4) și (5) se elimină.</w:t>
      </w:r>
    </w:p>
    <w:p w14:paraId="01DF88DA" w14:textId="77777777" w:rsidR="00647D0C" w:rsidRPr="00A61195" w:rsidRDefault="00647D0C" w:rsidP="00A61195">
      <w:pPr>
        <w:pStyle w:val="Point0"/>
      </w:pPr>
      <w:r w:rsidRPr="00A61195">
        <w:t>13.</w:t>
      </w:r>
      <w:r w:rsidRPr="00A61195">
        <w:tab/>
        <w:t>La articolul 18, alineatul (4) se elimină.</w:t>
      </w:r>
    </w:p>
    <w:p w14:paraId="2D0CC537" w14:textId="77777777" w:rsidR="00647D0C" w:rsidRPr="00A61195" w:rsidRDefault="00647D0C" w:rsidP="00A61195">
      <w:pPr>
        <w:pStyle w:val="Point0"/>
      </w:pPr>
      <w:r w:rsidRPr="00A61195">
        <w:t>14.</w:t>
      </w:r>
      <w:r w:rsidRPr="00A61195">
        <w:tab/>
        <w:t>Se introduce următorul articol:</w:t>
      </w:r>
    </w:p>
    <w:p w14:paraId="5924E411" w14:textId="016E7008" w:rsidR="00647D0C" w:rsidRPr="00A61195" w:rsidRDefault="00647D0C" w:rsidP="00A61195">
      <w:pPr>
        <w:pStyle w:val="Text1"/>
      </w:pPr>
      <w:r w:rsidRPr="00A61195">
        <w:t>„</w:t>
      </w:r>
      <w:r w:rsidRPr="007F7383">
        <w:rPr>
          <w:i/>
          <w:iCs/>
        </w:rPr>
        <w:t>Articolul 19a</w:t>
      </w:r>
      <w:r w:rsidR="009B37F7" w:rsidRPr="007F7383">
        <w:rPr>
          <w:i/>
          <w:iCs/>
        </w:rPr>
        <w:t xml:space="preserve"> </w:t>
      </w:r>
      <w:r w:rsidR="009B37F7" w:rsidRPr="007F7383">
        <w:rPr>
          <w:i/>
          <w:iCs/>
        </w:rPr>
        <w:br/>
      </w:r>
      <w:r w:rsidRPr="007F7383">
        <w:rPr>
          <w:i/>
          <w:iCs/>
        </w:rPr>
        <w:t>Raportul privind un mecanism de răspundere extinsă a producătorilor</w:t>
      </w:r>
    </w:p>
    <w:p w14:paraId="774E3B10" w14:textId="522A4F0F" w:rsidR="00647D0C" w:rsidRPr="00A61195" w:rsidRDefault="00647D0C" w:rsidP="00A61195">
      <w:pPr>
        <w:pStyle w:val="Text1"/>
        <w:rPr>
          <w:bCs/>
          <w:iCs/>
        </w:rPr>
      </w:pPr>
      <w:r w:rsidRPr="00A61195">
        <w:t>Până la … [</w:t>
      </w:r>
      <w:r w:rsidRPr="00A61195">
        <w:rPr>
          <w:i/>
          <w:iCs/>
        </w:rPr>
        <w:t>36 de luni de la data intrării în vigoare a prezentei directive de modificare</w:t>
      </w:r>
      <w:r w:rsidRPr="00A61195">
        <w:t>], Comisia publică un raport privind posibilitatea de a include în prezenta directivă un mecanism de răspundere extinsă a producătorilor. Raportul evaluează în special dacă este fezabil ca producătorii să fie obligați să contribuie la costurile programelor de monitorizare elaborate în temeiul articolului 8 din prezenta directivă în cazul în care producătorii respectivi introduc pe piața Uniunii produse care conțin oricare dintre substanțele incluse pe lista din anexa I la Directiva 2006/118/CE sau în anexa I la Directiva 2008/105/CE.”</w:t>
      </w:r>
    </w:p>
    <w:p w14:paraId="0F3CBB51" w14:textId="77777777" w:rsidR="00647D0C" w:rsidRPr="00A61195" w:rsidRDefault="00647D0C" w:rsidP="00A61195">
      <w:pPr>
        <w:pStyle w:val="Point0"/>
      </w:pPr>
      <w:r w:rsidRPr="00A61195">
        <w:t>15.</w:t>
      </w:r>
      <w:r w:rsidRPr="00A61195">
        <w:tab/>
        <w:t>Articolele 20 și 21 se înlocuiesc cu următorul text:</w:t>
      </w:r>
    </w:p>
    <w:p w14:paraId="27EAD87C" w14:textId="77777777" w:rsidR="00647D0C" w:rsidRPr="00A61195" w:rsidRDefault="00647D0C" w:rsidP="00A61195">
      <w:pPr>
        <w:pStyle w:val="Text1"/>
      </w:pPr>
      <w:r w:rsidRPr="00A61195">
        <w:t>„</w:t>
      </w:r>
      <w:r w:rsidRPr="007F7383">
        <w:rPr>
          <w:i/>
          <w:iCs/>
        </w:rPr>
        <w:t xml:space="preserve">Articolul 20 </w:t>
      </w:r>
      <w:r w:rsidRPr="007F7383">
        <w:rPr>
          <w:i/>
          <w:iCs/>
        </w:rPr>
        <w:br/>
        <w:t>Adaptări tehnice și punerea în aplicare a prezentei directive</w:t>
      </w:r>
    </w:p>
    <w:p w14:paraId="777FE084" w14:textId="22571EC1" w:rsidR="00647D0C" w:rsidRPr="00A61195" w:rsidRDefault="00647D0C" w:rsidP="00A61195">
      <w:pPr>
        <w:pStyle w:val="Text1"/>
      </w:pPr>
      <w:r w:rsidRPr="00A61195">
        <w:t>Comisia este împuternicită să adopte acte delegate în conformitate cu articolul 20a pentru a modifica anexele I și III și, respectiv, punctul 1.3.6 din anexa V în vederea adaptării la progresele științifice și tehnice a cerințelor de informații legate de autoritățile competente, a conținutului analizei economice și, respectiv, a standardelor de monitorizare selectate.</w:t>
      </w:r>
    </w:p>
    <w:p w14:paraId="7FD50F20" w14:textId="77777777" w:rsidR="00647D0C" w:rsidRPr="00A61195" w:rsidRDefault="00647D0C" w:rsidP="00647D0C">
      <w:pPr>
        <w:spacing w:before="0" w:after="160" w:line="259" w:lineRule="auto"/>
      </w:pPr>
      <w:r w:rsidRPr="00A61195">
        <w:br w:type="page"/>
      </w:r>
    </w:p>
    <w:p w14:paraId="2BB24379" w14:textId="77777777" w:rsidR="00647D0C" w:rsidRPr="007F7383" w:rsidRDefault="00647D0C" w:rsidP="00A61195">
      <w:pPr>
        <w:pStyle w:val="Text1"/>
        <w:rPr>
          <w:i/>
          <w:iCs/>
        </w:rPr>
      </w:pPr>
      <w:r w:rsidRPr="007F7383">
        <w:rPr>
          <w:i/>
          <w:iCs/>
        </w:rPr>
        <w:lastRenderedPageBreak/>
        <w:t xml:space="preserve">Articolul 20a </w:t>
      </w:r>
      <w:r w:rsidRPr="007F7383">
        <w:rPr>
          <w:i/>
          <w:iCs/>
        </w:rPr>
        <w:br/>
        <w:t>Exercitarea delegării de competențe</w:t>
      </w:r>
    </w:p>
    <w:p w14:paraId="70D354BE" w14:textId="77777777" w:rsidR="00647D0C" w:rsidRPr="00A61195" w:rsidRDefault="00647D0C" w:rsidP="00A61195">
      <w:pPr>
        <w:pStyle w:val="Point1"/>
      </w:pPr>
      <w:r w:rsidRPr="00A61195">
        <w:t>(1)</w:t>
      </w:r>
      <w:r w:rsidRPr="00A61195">
        <w:tab/>
        <w:t>Competența de a adopta acte delegate este conferită Comisiei în condițiile stabilite la prezentul articol.</w:t>
      </w:r>
    </w:p>
    <w:p w14:paraId="7666EA6A" w14:textId="6928B17A" w:rsidR="00647D0C" w:rsidRPr="00A61195" w:rsidRDefault="00647D0C" w:rsidP="00A61195">
      <w:pPr>
        <w:pStyle w:val="Point1"/>
      </w:pPr>
      <w:r w:rsidRPr="00A61195">
        <w:t>(2)</w:t>
      </w:r>
      <w:r w:rsidRPr="00A61195">
        <w:tab/>
        <w:t>Competența de a adopta acte delegate menționată la articolul 20 se conferă Comisiei pe o perioadă nedeterminată de la … [</w:t>
      </w:r>
      <w:r w:rsidRPr="00A61195">
        <w:rPr>
          <w:i/>
          <w:iCs/>
        </w:rPr>
        <w:t>data intrării în vigoare a prezentei directive de modificare</w:t>
      </w:r>
      <w:r w:rsidRPr="00A61195">
        <w:t>].</w:t>
      </w:r>
    </w:p>
    <w:p w14:paraId="653BEC33" w14:textId="77777777" w:rsidR="00647D0C" w:rsidRPr="00A61195" w:rsidRDefault="00647D0C" w:rsidP="00A61195">
      <w:pPr>
        <w:pStyle w:val="Point1"/>
      </w:pPr>
      <w:r w:rsidRPr="00A61195">
        <w:t>(3)</w:t>
      </w:r>
      <w:r w:rsidRPr="00A61195">
        <w:tab/>
        <w:t xml:space="preserve">Delegarea de competențe menționată la articolul 20 poate fi revocată oricând de Parlamentul European și de Consiliu. O decizie de revocare pune capăt delegării de competențe specificate în decizia respectivă. Decizia produce efecte din ziua care urmează datei publicării acesteia în </w:t>
      </w:r>
      <w:r w:rsidRPr="00A61195">
        <w:rPr>
          <w:i/>
        </w:rPr>
        <w:t>Jurnalul Oficial al Uniunii Europene</w:t>
      </w:r>
      <w:r w:rsidRPr="00A61195">
        <w:t xml:space="preserve"> sau de la o dată ulterioară menționată în decizie. Decizia nu aduce atingere actelor delegate care sunt deja în vigoare.</w:t>
      </w:r>
    </w:p>
    <w:p w14:paraId="4F03BAB5" w14:textId="77777777" w:rsidR="00647D0C" w:rsidRPr="00A61195" w:rsidRDefault="00647D0C" w:rsidP="00A61195">
      <w:pPr>
        <w:pStyle w:val="Point1"/>
      </w:pPr>
      <w:r w:rsidRPr="00A61195">
        <w:t>(4)</w:t>
      </w:r>
      <w:r w:rsidRPr="00A61195">
        <w:tab/>
        <w:t>Înainte de adoptarea unui act delegat, Comisia consultă experții desemnați de fiecare stat membru în conformitate cu principiile prevăzute în Acordul interinstituțional din 13 aprilie 2016 privind o mai bună legiferare.</w:t>
      </w:r>
    </w:p>
    <w:p w14:paraId="5D1EA152" w14:textId="77777777" w:rsidR="00647D0C" w:rsidRPr="00A61195" w:rsidRDefault="00647D0C" w:rsidP="00A61195">
      <w:pPr>
        <w:pStyle w:val="Point1"/>
      </w:pPr>
      <w:r w:rsidRPr="00A61195">
        <w:t>(5)</w:t>
      </w:r>
      <w:r w:rsidRPr="00A61195">
        <w:tab/>
        <w:t>De îndată ce adoptă un act delegat, Comisia îl notifică simultan Parlamentului European și Consiliului.</w:t>
      </w:r>
    </w:p>
    <w:p w14:paraId="72266F9C" w14:textId="77777777" w:rsidR="00647D0C" w:rsidRPr="00A61195" w:rsidRDefault="00647D0C">
      <w:pPr>
        <w:spacing w:before="0" w:after="160" w:line="259" w:lineRule="auto"/>
      </w:pPr>
      <w:r w:rsidRPr="00A61195">
        <w:br w:type="page"/>
      </w:r>
    </w:p>
    <w:p w14:paraId="7B1FB262" w14:textId="68CBEBEA" w:rsidR="00647D0C" w:rsidRPr="00A61195" w:rsidRDefault="00647D0C" w:rsidP="00A61195">
      <w:pPr>
        <w:pStyle w:val="Point1"/>
      </w:pPr>
      <w:r w:rsidRPr="00A61195">
        <w:lastRenderedPageBreak/>
        <w:t>(6)</w:t>
      </w:r>
      <w:r w:rsidRPr="00A61195">
        <w:tab/>
        <w:t>Un act delegat adoptat în temeiul articolului 20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14:paraId="6F8F9072" w14:textId="77777777" w:rsidR="00647D0C" w:rsidRPr="007F7383" w:rsidRDefault="00647D0C" w:rsidP="00A61195">
      <w:pPr>
        <w:pStyle w:val="Text1"/>
        <w:rPr>
          <w:i/>
          <w:iCs/>
        </w:rPr>
      </w:pPr>
      <w:r w:rsidRPr="007F7383">
        <w:rPr>
          <w:i/>
          <w:iCs/>
        </w:rPr>
        <w:t xml:space="preserve">Articolul 21 </w:t>
      </w:r>
      <w:r w:rsidRPr="007F7383">
        <w:rPr>
          <w:i/>
          <w:iCs/>
        </w:rPr>
        <w:br/>
        <w:t>Procedura comitetului</w:t>
      </w:r>
    </w:p>
    <w:p w14:paraId="71A546AB" w14:textId="77777777" w:rsidR="00647D0C" w:rsidRPr="00A61195" w:rsidRDefault="00647D0C" w:rsidP="00A61195">
      <w:pPr>
        <w:pStyle w:val="Point1"/>
      </w:pPr>
      <w:r w:rsidRPr="00A61195">
        <w:t>(1)</w:t>
      </w:r>
      <w:r w:rsidRPr="00A61195">
        <w:tab/>
        <w:t>Comisia este asistată de un comitet. Respectivul comitet reprezintă un comitet în înțelesul Regulamentului (UE) nr. 182/2011 al Parlamentului European și al Consiliului</w:t>
      </w:r>
      <w:r w:rsidRPr="00A61195">
        <w:rPr>
          <w:b/>
          <w:vertAlign w:val="superscript"/>
        </w:rPr>
        <w:t>*</w:t>
      </w:r>
      <w:r w:rsidRPr="00A61195">
        <w:t>.</w:t>
      </w:r>
    </w:p>
    <w:p w14:paraId="6C9505A1" w14:textId="77777777" w:rsidR="00647D0C" w:rsidRPr="00A61195" w:rsidRDefault="00647D0C" w:rsidP="00A61195">
      <w:pPr>
        <w:pStyle w:val="Point1"/>
      </w:pPr>
      <w:r w:rsidRPr="00A61195">
        <w:t>(2)</w:t>
      </w:r>
      <w:r w:rsidRPr="00A61195">
        <w:tab/>
        <w:t>În cazul în care se face trimitere la prezentul alineat, se aplică articolul 5 din Regulamentul (UE) nr. 182/2011.</w:t>
      </w:r>
    </w:p>
    <w:p w14:paraId="2C05E6E7" w14:textId="77777777" w:rsidR="00647D0C" w:rsidRPr="00A61195" w:rsidRDefault="00647D0C" w:rsidP="00A61195">
      <w:pPr>
        <w:pStyle w:val="Text2"/>
      </w:pPr>
      <w:r w:rsidRPr="00A61195">
        <w:t>În cazul în care comitetul nu emite un aviz, Comisia nu adoptă proiectul de act de punere în aplicare și se aplică articolul 5 alineatul (4) al treilea paragraf din Regulamentul (UE) nr. 182/2011.</w:t>
      </w:r>
    </w:p>
    <w:p w14:paraId="7977F7AB" w14:textId="4DD7A364" w:rsidR="00647D0C" w:rsidRPr="00A61195" w:rsidRDefault="007F7383" w:rsidP="00A61195">
      <w:pPr>
        <w:pStyle w:val="Text1"/>
      </w:pPr>
      <w:r>
        <w:t>________________</w:t>
      </w:r>
    </w:p>
    <w:p w14:paraId="0A654D77" w14:textId="03244D1C" w:rsidR="00647D0C" w:rsidRPr="00A61195" w:rsidRDefault="00647D0C" w:rsidP="00A61195">
      <w:pPr>
        <w:pStyle w:val="Point1"/>
        <w:spacing w:before="0" w:line="240" w:lineRule="auto"/>
        <w:ind w:left="1418"/>
      </w:pPr>
      <w:r w:rsidRPr="00A61195">
        <w:rPr>
          <w:b/>
          <w:vertAlign w:val="superscript"/>
        </w:rPr>
        <w:t>*</w:t>
      </w:r>
      <w:r w:rsidRPr="00A61195">
        <w:tab/>
        <w:t>Regulamentul (UE) nr. 182/2011 al Parlamentului European și al Consiliului din</w:t>
      </w:r>
      <w:r w:rsidR="007F7383">
        <w:t> </w:t>
      </w:r>
      <w:r w:rsidRPr="00A61195">
        <w:t>16 februarie 2011 de stabilire a normelor și principiilor generale privind mecanismele de control de către statele membre al exercitării competențelor de executare de către Comisie (JO L 55, 28.2.2011, p. 13, ELI: </w:t>
      </w:r>
      <w:hyperlink r:id="rId37" w:history="1">
        <w:r w:rsidRPr="00275CA3">
          <w:rPr>
            <w:rStyle w:val="Hyperlink"/>
          </w:rPr>
          <w:t>http://data.europa.eu/eli/reg/2011/182/oj</w:t>
        </w:r>
      </w:hyperlink>
      <w:r w:rsidRPr="00A61195">
        <w:t>).”</w:t>
      </w:r>
    </w:p>
    <w:p w14:paraId="6B5988E6" w14:textId="77777777" w:rsidR="00647D0C" w:rsidRPr="00A61195" w:rsidRDefault="00647D0C" w:rsidP="00647D0C">
      <w:pPr>
        <w:spacing w:before="0" w:after="160" w:line="259" w:lineRule="auto"/>
      </w:pPr>
      <w:r w:rsidRPr="00A61195">
        <w:br w:type="page"/>
      </w:r>
    </w:p>
    <w:p w14:paraId="64E5C202" w14:textId="77777777" w:rsidR="00647D0C" w:rsidRPr="00A61195" w:rsidRDefault="00647D0C" w:rsidP="00A61195">
      <w:pPr>
        <w:pStyle w:val="Point0"/>
      </w:pPr>
      <w:r w:rsidRPr="00A61195">
        <w:lastRenderedPageBreak/>
        <w:t>16.</w:t>
      </w:r>
      <w:r w:rsidRPr="00A61195">
        <w:tab/>
        <w:t>La articolul 22, alineatul (4) se înlocuiește cu următorul text:</w:t>
      </w:r>
    </w:p>
    <w:p w14:paraId="5D50BAA4" w14:textId="3F2CEA74" w:rsidR="00647D0C" w:rsidRPr="00A61195" w:rsidRDefault="00647D0C" w:rsidP="00A61195">
      <w:pPr>
        <w:pStyle w:val="Point1"/>
      </w:pPr>
      <w:r w:rsidRPr="00A61195">
        <w:t>„(4)</w:t>
      </w:r>
      <w:r w:rsidRPr="00A61195">
        <w:tab/>
        <w:t>Obiectivele de mediu de la articolul 4, standardele de calitate a mediului prevăzute în partea A din anexa I la Directiva 2008/105/CE și standardele de calitate a mediului pentru poluanții specifici bazinelor hidrografice stabilite în temeiul articolului 16 alineatul (4) din prezenta directivă sunt considerate standarde de calitate a mediului în înțelesul Directivei 2010/75/UE.”</w:t>
      </w:r>
    </w:p>
    <w:p w14:paraId="7D14FF57" w14:textId="77777777" w:rsidR="00647D0C" w:rsidRPr="00A61195" w:rsidRDefault="00647D0C" w:rsidP="00A61195">
      <w:pPr>
        <w:pStyle w:val="Point0"/>
      </w:pPr>
      <w:r w:rsidRPr="00A61195">
        <w:t>17.</w:t>
      </w:r>
      <w:r w:rsidRPr="00A61195">
        <w:tab/>
        <w:t>Anexa V se modifică în conformitate cu anexa I la prezenta directivă.</w:t>
      </w:r>
    </w:p>
    <w:p w14:paraId="29949DAD" w14:textId="47B11D7D" w:rsidR="00647D0C" w:rsidRPr="00A61195" w:rsidRDefault="00647D0C" w:rsidP="00A61195">
      <w:pPr>
        <w:pStyle w:val="Point0"/>
      </w:pPr>
      <w:r w:rsidRPr="00A61195">
        <w:t>18.</w:t>
      </w:r>
      <w:r w:rsidRPr="00A61195">
        <w:tab/>
        <w:t>În anexa VII partea B se adaugă următorul punct:</w:t>
      </w:r>
    </w:p>
    <w:p w14:paraId="4571AD12" w14:textId="77777777" w:rsidR="00647D0C" w:rsidRPr="00A61195" w:rsidRDefault="00647D0C" w:rsidP="00A61195">
      <w:pPr>
        <w:pStyle w:val="Point1"/>
      </w:pPr>
      <w:r w:rsidRPr="00A61195">
        <w:t>„5.</w:t>
      </w:r>
      <w:r w:rsidRPr="00A61195">
        <w:tab/>
        <w:t>o scurtă prezentare a măsurilor adoptate pentru a se ține seama de sugestiile de îmbunătățire făcute de Comisie, în conformitate cu articolul 18 alineatul (2) litera (c), în ceea ce privește planul anterior.”</w:t>
      </w:r>
    </w:p>
    <w:p w14:paraId="3509605C" w14:textId="77777777" w:rsidR="00647D0C" w:rsidRPr="00A61195" w:rsidRDefault="00647D0C" w:rsidP="00A61195">
      <w:pPr>
        <w:pStyle w:val="Point0"/>
      </w:pPr>
      <w:r w:rsidRPr="00A61195">
        <w:t>19.</w:t>
      </w:r>
      <w:r w:rsidRPr="00A61195">
        <w:tab/>
        <w:t>Anexa VIII se modifică în conformitate cu anexa II la prezenta directivă.</w:t>
      </w:r>
    </w:p>
    <w:p w14:paraId="43C27493" w14:textId="77777777" w:rsidR="00647D0C" w:rsidRPr="00A61195" w:rsidRDefault="00647D0C" w:rsidP="00A61195">
      <w:pPr>
        <w:pStyle w:val="Point0"/>
      </w:pPr>
      <w:r w:rsidRPr="00A61195">
        <w:t>20.</w:t>
      </w:r>
      <w:r w:rsidRPr="00A61195">
        <w:tab/>
        <w:t>Anexele IX și X se elimină.</w:t>
      </w:r>
    </w:p>
    <w:p w14:paraId="15FF0C5D" w14:textId="77777777" w:rsidR="00647D0C" w:rsidRPr="00A61195" w:rsidRDefault="00647D0C" w:rsidP="00647D0C">
      <w:pPr>
        <w:spacing w:before="0" w:after="160" w:line="259" w:lineRule="auto"/>
        <w:rPr>
          <w:i/>
          <w:iCs/>
        </w:rPr>
      </w:pPr>
      <w:r w:rsidRPr="00A61195">
        <w:rPr>
          <w:i/>
          <w:iCs/>
        </w:rPr>
        <w:br w:type="page"/>
      </w:r>
    </w:p>
    <w:p w14:paraId="748A00E8" w14:textId="70C527C3" w:rsidR="00647D0C" w:rsidRPr="00A61195" w:rsidRDefault="00647D0C" w:rsidP="00A61195">
      <w:pPr>
        <w:pStyle w:val="Titrearticle"/>
        <w:rPr>
          <w:iCs/>
        </w:rPr>
      </w:pPr>
      <w:r w:rsidRPr="00A61195">
        <w:lastRenderedPageBreak/>
        <w:t xml:space="preserve">Articolul 2 </w:t>
      </w:r>
      <w:r w:rsidRPr="00A61195">
        <w:br/>
        <w:t>Modificarea Directivei 2006/118/CE</w:t>
      </w:r>
    </w:p>
    <w:p w14:paraId="6D51BC2A" w14:textId="77777777" w:rsidR="00647D0C" w:rsidRPr="00A61195" w:rsidRDefault="00647D0C" w:rsidP="00647D0C">
      <w:r w:rsidRPr="00A61195">
        <w:t>Directiva 2006/118/CE se modifică după cum urmează:</w:t>
      </w:r>
    </w:p>
    <w:p w14:paraId="73AC8912" w14:textId="77777777" w:rsidR="00647D0C" w:rsidRPr="00A61195" w:rsidRDefault="00647D0C" w:rsidP="00A61195">
      <w:pPr>
        <w:pStyle w:val="Point0"/>
      </w:pPr>
      <w:r w:rsidRPr="00A61195">
        <w:t>1.</w:t>
      </w:r>
      <w:r w:rsidRPr="00A61195">
        <w:tab/>
        <w:t>Titlul se înlocuiește cu următorul text:</w:t>
      </w:r>
    </w:p>
    <w:p w14:paraId="3D137472" w14:textId="77777777" w:rsidR="00647D0C" w:rsidRPr="00A61195" w:rsidRDefault="00647D0C" w:rsidP="00A61195">
      <w:pPr>
        <w:pStyle w:val="Text1"/>
      </w:pPr>
      <w:r w:rsidRPr="00A61195">
        <w:t>„Directiva 2006/118/CE a Parlamentului European și a Consiliului din 12 decembrie 2006 privind prevenirea și controlul poluării apelor subterane”.</w:t>
      </w:r>
    </w:p>
    <w:p w14:paraId="2E670B76" w14:textId="77777777" w:rsidR="00647D0C" w:rsidRPr="00A61195" w:rsidRDefault="00647D0C" w:rsidP="00A61195">
      <w:pPr>
        <w:pStyle w:val="Point0"/>
      </w:pPr>
      <w:r w:rsidRPr="00A61195">
        <w:t>2.</w:t>
      </w:r>
      <w:r w:rsidRPr="00A61195">
        <w:tab/>
        <w:t>La articolul 1, alineatul (1) se înlocuiește cu următorul text:</w:t>
      </w:r>
    </w:p>
    <w:p w14:paraId="422F83BC" w14:textId="77777777" w:rsidR="00647D0C" w:rsidRPr="00A61195" w:rsidRDefault="00647D0C" w:rsidP="00A61195">
      <w:pPr>
        <w:pStyle w:val="Point1"/>
      </w:pPr>
      <w:r w:rsidRPr="00A61195">
        <w:t>„(1)</w:t>
      </w:r>
      <w:r w:rsidRPr="00A61195">
        <w:tab/>
        <w:t>Prezenta directivă stabilește măsuri specifice, astfel cum sunt prevăzute la articolul 17 din Directiva 2000/60/CE, pentru prevenirea și controlul poluării apelor subterane în scopul îndeplinirii obiectivelor de mediu prevăzute la articolul 4 alineatul (1) litera (b) din directiva respectivă. Printre măsurile respective se numără următoarele:</w:t>
      </w:r>
    </w:p>
    <w:p w14:paraId="33DDA348" w14:textId="77777777" w:rsidR="00647D0C" w:rsidRPr="00A61195" w:rsidRDefault="00647D0C" w:rsidP="00A61195">
      <w:pPr>
        <w:pStyle w:val="Point2"/>
      </w:pPr>
      <w:r w:rsidRPr="00A61195">
        <w:t>(a)</w:t>
      </w:r>
      <w:r w:rsidRPr="00A61195">
        <w:tab/>
        <w:t>criterii pentru evaluarea stării chimice bune a apelor subterane; și</w:t>
      </w:r>
    </w:p>
    <w:p w14:paraId="58CDCEC8" w14:textId="77777777" w:rsidR="00647D0C" w:rsidRPr="00A61195" w:rsidRDefault="00647D0C" w:rsidP="00A61195">
      <w:pPr>
        <w:pStyle w:val="Point2"/>
      </w:pPr>
      <w:r w:rsidRPr="00A61195">
        <w:t>(b)</w:t>
      </w:r>
      <w:r w:rsidRPr="00A61195">
        <w:tab/>
        <w:t>criterii pentru identificarea și inversarea tendințelor ascendente semnificative și durabile și pentru definirea nivelurilor de bază pentru inversările tendințelor.”</w:t>
      </w:r>
    </w:p>
    <w:p w14:paraId="6A82AF63" w14:textId="77777777" w:rsidR="00647D0C" w:rsidRPr="00A61195" w:rsidRDefault="00647D0C" w:rsidP="00647D0C">
      <w:pPr>
        <w:spacing w:before="0" w:after="160" w:line="259" w:lineRule="auto"/>
      </w:pPr>
      <w:r w:rsidRPr="00A61195">
        <w:br w:type="page"/>
      </w:r>
    </w:p>
    <w:p w14:paraId="328F55E9" w14:textId="56935E7F" w:rsidR="00647D0C" w:rsidRPr="00A61195" w:rsidRDefault="00647D0C" w:rsidP="00A61195">
      <w:pPr>
        <w:pStyle w:val="Point0"/>
      </w:pPr>
      <w:r w:rsidRPr="00A61195">
        <w:lastRenderedPageBreak/>
        <w:t>3.</w:t>
      </w:r>
      <w:r w:rsidRPr="00A61195">
        <w:tab/>
        <w:t>Articolul 2 se modifică după cum urmează:</w:t>
      </w:r>
    </w:p>
    <w:p w14:paraId="3FDFA988" w14:textId="47949A53" w:rsidR="00647D0C" w:rsidRPr="00A61195" w:rsidRDefault="00647D0C" w:rsidP="00A61195">
      <w:pPr>
        <w:pStyle w:val="Point1"/>
      </w:pPr>
      <w:r w:rsidRPr="00A61195">
        <w:t>(a)</w:t>
      </w:r>
      <w:r w:rsidRPr="00A61195">
        <w:tab/>
        <w:t>punctul 2 se înlocuiește cu următorul text:</w:t>
      </w:r>
    </w:p>
    <w:p w14:paraId="027790BD" w14:textId="207F02B4" w:rsidR="00647D0C" w:rsidRPr="00A61195" w:rsidRDefault="00647D0C" w:rsidP="00A61195">
      <w:pPr>
        <w:pStyle w:val="Point2"/>
      </w:pPr>
      <w:r w:rsidRPr="00A61195">
        <w:t>„2.</w:t>
      </w:r>
      <w:r w:rsidRPr="00A61195">
        <w:tab/>
        <w:t>«valoare prag» înseamnă un standard de calitate a apei subterane stabilit la nivelul Uniunii și inclus pe lista din anexa II partea D sau stabilit de statele membre în conformitate cu articolul 3 alineatul (1) litera (b);”;</w:t>
      </w:r>
    </w:p>
    <w:p w14:paraId="3FF85D54" w14:textId="77777777" w:rsidR="00647D0C" w:rsidRPr="00A61195" w:rsidRDefault="00647D0C" w:rsidP="00A61195">
      <w:pPr>
        <w:pStyle w:val="Point1"/>
      </w:pPr>
      <w:r w:rsidRPr="00A61195">
        <w:t>(b)</w:t>
      </w:r>
      <w:r w:rsidRPr="00A61195">
        <w:tab/>
        <w:t>se adaugă următorul punct:</w:t>
      </w:r>
    </w:p>
    <w:p w14:paraId="362141FA" w14:textId="539E74CC" w:rsidR="00647D0C" w:rsidRPr="00A61195" w:rsidRDefault="00647D0C" w:rsidP="00A61195">
      <w:pPr>
        <w:pStyle w:val="Point2"/>
      </w:pPr>
      <w:r w:rsidRPr="00A61195">
        <w:t>„7.</w:t>
      </w:r>
      <w:r w:rsidRPr="00A61195">
        <w:tab/>
        <w:t>«indicator al poluării» înseamnă un parametru care poate fi monitorizat în vederea obținerii unei valori reprezentative pentru nivelul sau concentrația unui poluant sau a unui grup de poluanți și, prin urmare, pentru riscul prezentat de aceștia.”</w:t>
      </w:r>
    </w:p>
    <w:p w14:paraId="34ECD1DD" w14:textId="77777777" w:rsidR="00647D0C" w:rsidRPr="00A61195" w:rsidRDefault="00647D0C" w:rsidP="00A61195">
      <w:pPr>
        <w:pStyle w:val="Point0"/>
      </w:pPr>
      <w:r w:rsidRPr="00A61195">
        <w:t>4.</w:t>
      </w:r>
      <w:r w:rsidRPr="00A61195">
        <w:tab/>
        <w:t>Articolul 3 se modifică după cum urmează:</w:t>
      </w:r>
    </w:p>
    <w:p w14:paraId="7C3BCE0B" w14:textId="77777777" w:rsidR="00647D0C" w:rsidRPr="00A61195" w:rsidRDefault="00647D0C" w:rsidP="00A61195">
      <w:pPr>
        <w:pStyle w:val="Point1"/>
      </w:pPr>
      <w:r w:rsidRPr="00A61195">
        <w:t>(a)</w:t>
      </w:r>
      <w:r w:rsidRPr="00A61195">
        <w:tab/>
        <w:t>la alineatul (1) primul paragraf se adaugă următoarea literă:</w:t>
      </w:r>
    </w:p>
    <w:p w14:paraId="1D5C7622" w14:textId="7F7AFDA7" w:rsidR="00647D0C" w:rsidRPr="00A61195" w:rsidRDefault="00647D0C" w:rsidP="00A61195">
      <w:pPr>
        <w:pStyle w:val="Point2"/>
      </w:pPr>
      <w:r w:rsidRPr="00A61195">
        <w:t>„(c)</w:t>
      </w:r>
      <w:r w:rsidRPr="00A61195">
        <w:tab/>
        <w:t>valori prag stabilite la nivelul Uniunii incluse pe lista din anexa II partea D.”;</w:t>
      </w:r>
    </w:p>
    <w:p w14:paraId="7F2CACD2" w14:textId="77777777" w:rsidR="00647D0C" w:rsidRPr="00A61195" w:rsidRDefault="00647D0C" w:rsidP="00647D0C">
      <w:pPr>
        <w:spacing w:before="0" w:after="160" w:line="259" w:lineRule="auto"/>
        <w:rPr>
          <w:bCs/>
          <w:iCs/>
        </w:rPr>
      </w:pPr>
      <w:r w:rsidRPr="00A61195">
        <w:br w:type="page"/>
      </w:r>
    </w:p>
    <w:p w14:paraId="6FEEF683" w14:textId="77777777" w:rsidR="00647D0C" w:rsidRPr="00A61195" w:rsidRDefault="00647D0C" w:rsidP="00A61195">
      <w:pPr>
        <w:pStyle w:val="Point1"/>
        <w:rPr>
          <w:bCs/>
          <w:iCs/>
        </w:rPr>
      </w:pPr>
      <w:r w:rsidRPr="00A61195">
        <w:lastRenderedPageBreak/>
        <w:t>(b)</w:t>
      </w:r>
      <w:r w:rsidRPr="00A61195">
        <w:tab/>
        <w:t>se introduc următoarele alineate:</w:t>
      </w:r>
    </w:p>
    <w:p w14:paraId="3D73F41B" w14:textId="5B27B125" w:rsidR="00647D0C" w:rsidRPr="00A61195" w:rsidRDefault="00647D0C" w:rsidP="00A61195">
      <w:pPr>
        <w:pStyle w:val="Point2"/>
        <w:rPr>
          <w:bCs/>
          <w:iCs/>
        </w:rPr>
      </w:pPr>
      <w:r w:rsidRPr="00A61195">
        <w:t>„(1a)</w:t>
      </w:r>
      <w:r w:rsidRPr="00A61195">
        <w:tab/>
        <w:t>Standardele de calitate pentru substanțele numerotate de la 3 la 8 în anexa I la prezenta directivă sunt luate în considerare începând cu data de 22 decembrie 2027, cu scopul de a se obține o stare chimică bună a apelor subterane în raport cu aceste substanțe până la 22 decembrie 2039 și de a se preveni deteriorarea stării chimice a corpurilor de apă subterană în raport cu substanțele respective. În acest scop, statele membre stabilesc, până la 22 decembrie 2027, un program suplimentar de monitorizare și, până la 22 decembrie 2030, un program preliminar de măsuri care să acopere aceste substanțe. Un program final de măsuri, în conformitate cu articolul 11 din Directiva 2000/60/CE, este inclus în planul de gestionare a bazinului hidrografic pentru 2033 elaborat în conformitate cu articolul 13 alineatul (7) din directiva respectivă.</w:t>
      </w:r>
    </w:p>
    <w:p w14:paraId="56509B30" w14:textId="77777777" w:rsidR="00647D0C" w:rsidRPr="00A61195" w:rsidRDefault="00647D0C" w:rsidP="00A61195">
      <w:pPr>
        <w:pStyle w:val="Text3"/>
        <w:rPr>
          <w:bCs/>
          <w:iCs/>
        </w:rPr>
      </w:pPr>
      <w:r w:rsidRPr="00A61195">
        <w:t xml:space="preserve">Articolul 4 alineatele (4)-(9) din Directiva 2000/60/CE se aplică </w:t>
      </w:r>
      <w:r w:rsidRPr="00A61195">
        <w:rPr>
          <w:i/>
          <w:iCs/>
        </w:rPr>
        <w:t>mutatis mutandis</w:t>
      </w:r>
      <w:r w:rsidRPr="00A61195">
        <w:t xml:space="preserve"> substanțelor menționate la primul paragraf de la prezentul alineat. În ceea ce privește prelungirile termenelor prevăzute la articolul 4 alineatul (4) din directiva respectivă, acestea se limitează la cel mult o actualizare suplimentară a planului de gestionare a bazinului hidrografic, cu excepția cazului în care condițiile naturale împiedică realizarea la timp a obiectivelor stabilite.</w:t>
      </w:r>
    </w:p>
    <w:p w14:paraId="02BCDAC7" w14:textId="77777777" w:rsidR="00647D0C" w:rsidRPr="00A61195" w:rsidRDefault="00647D0C">
      <w:pPr>
        <w:spacing w:before="0" w:after="160" w:line="259" w:lineRule="auto"/>
        <w:rPr>
          <w:bCs/>
          <w:iCs/>
        </w:rPr>
      </w:pPr>
      <w:r w:rsidRPr="00A61195">
        <w:rPr>
          <w:bCs/>
          <w:iCs/>
        </w:rPr>
        <w:br w:type="page"/>
      </w:r>
    </w:p>
    <w:p w14:paraId="6D5E5CD2" w14:textId="2AF1364C" w:rsidR="00647D0C" w:rsidRPr="00A61195" w:rsidRDefault="00647D0C" w:rsidP="00A61195">
      <w:pPr>
        <w:pStyle w:val="Point2"/>
        <w:rPr>
          <w:bCs/>
          <w:iCs/>
        </w:rPr>
      </w:pPr>
      <w:r w:rsidRPr="00A61195">
        <w:lastRenderedPageBreak/>
        <w:t>(1b)</w:t>
      </w:r>
      <w:r w:rsidRPr="00A61195">
        <w:tab/>
        <w:t>Valorile prag stabilite în conformitate cu articolul 3 alineatul (1) litera (b) și valorile prag enumerate în partea D din anexa II sunt luate în considerare de la începutul perioadei la care se referă următorul plan de gestionare a bazinului hidrografic elaborat după data la care a fost stabilită valoarea prag, în scopul atingerii unei stări chimice bune a apelor subterane în raport cu substanțele corespunzătoare până la sfârșitul perioadei planului de gestionare a bazinului hidrografic respectiv și în scopul prevenirii deteriorării stării chimice a corpurilor de apă subterană în raport cu substanțele respective.</w:t>
      </w:r>
    </w:p>
    <w:p w14:paraId="40E2E9E7" w14:textId="77777777" w:rsidR="00647D0C" w:rsidRPr="00A61195" w:rsidRDefault="00647D0C" w:rsidP="00A61195">
      <w:pPr>
        <w:pStyle w:val="Text3"/>
        <w:rPr>
          <w:bCs/>
          <w:iCs/>
        </w:rPr>
      </w:pPr>
      <w:r w:rsidRPr="00A61195">
        <w:t xml:space="preserve">Articolul 4 alineatele (4)-(9) din Directiva 2000/60/CE se aplică </w:t>
      </w:r>
      <w:r w:rsidRPr="00A61195">
        <w:rPr>
          <w:i/>
          <w:iCs/>
        </w:rPr>
        <w:t>mutatis mutandis</w:t>
      </w:r>
      <w:r w:rsidRPr="00A61195">
        <w:t xml:space="preserve"> substanțelor menționate la primul paragraf de la prezentul alineat. În ceea ce privește prelungirile termenelor prevăzute la articolul 4 alineatul (4) din directiva respectivă, acestea se limitează la cel mult o actualizare suplimentară a planului de gestionare a bazinului hidrografic, cu excepția cazului în care condițiile naturale împiedică realizarea la timp a obiectivelor stabilite.”;</w:t>
      </w:r>
    </w:p>
    <w:p w14:paraId="5C341DE1" w14:textId="77777777" w:rsidR="00647D0C" w:rsidRPr="00A61195" w:rsidRDefault="00647D0C" w:rsidP="00A61195">
      <w:pPr>
        <w:pStyle w:val="Point1"/>
      </w:pPr>
      <w:r w:rsidRPr="00A61195">
        <w:t>(c)</w:t>
      </w:r>
      <w:r w:rsidRPr="00A61195">
        <w:tab/>
        <w:t>alineatul (2) se înlocuiește cu următorul text:</w:t>
      </w:r>
    </w:p>
    <w:p w14:paraId="566B2E35" w14:textId="3CD122B7" w:rsidR="00647D0C" w:rsidRPr="00A61195" w:rsidRDefault="00647D0C" w:rsidP="00A61195">
      <w:pPr>
        <w:pStyle w:val="Point2"/>
      </w:pPr>
      <w:r w:rsidRPr="00A61195">
        <w:t>„(2)</w:t>
      </w:r>
      <w:r w:rsidRPr="00A61195">
        <w:tab/>
        <w:t>Valorile prag menționate la alineatul (1) litera (b) pot fi stabilite la nivel național, la nivelul districtului hidrografic sau al părții districtului hidrografic internațional aflate pe teritoriul unui stat membru ori la nivelul unui corp sau grup de corpuri de apă subterană.</w:t>
      </w:r>
    </w:p>
    <w:p w14:paraId="68D88F8D" w14:textId="29D4702E" w:rsidR="00647D0C" w:rsidRPr="00A61195" w:rsidRDefault="00647D0C" w:rsidP="00A61195">
      <w:pPr>
        <w:pStyle w:val="Text3"/>
      </w:pPr>
      <w:r w:rsidRPr="00A61195">
        <w:t>Valorile prag menționate la alineatul (1) literele (b) și (c) se aplică la nivelul care este relevant pentru prezența poluantului.”;</w:t>
      </w:r>
    </w:p>
    <w:p w14:paraId="57080E6E" w14:textId="77777777" w:rsidR="00647D0C" w:rsidRPr="00A61195" w:rsidRDefault="00647D0C" w:rsidP="00647D0C">
      <w:r w:rsidRPr="00A61195">
        <w:br w:type="page"/>
      </w:r>
    </w:p>
    <w:p w14:paraId="6B1E759D" w14:textId="77777777" w:rsidR="00647D0C" w:rsidRPr="00A61195" w:rsidRDefault="00647D0C" w:rsidP="00A61195">
      <w:pPr>
        <w:pStyle w:val="Point1"/>
      </w:pPr>
      <w:r w:rsidRPr="00A61195">
        <w:lastRenderedPageBreak/>
        <w:t>(d)</w:t>
      </w:r>
      <w:r w:rsidRPr="00A61195">
        <w:tab/>
        <w:t>alineatul (5) se înlocuiește cu următorul text:</w:t>
      </w:r>
    </w:p>
    <w:p w14:paraId="0A92F835" w14:textId="1CF854AA" w:rsidR="00647D0C" w:rsidRPr="00A61195" w:rsidRDefault="00647D0C" w:rsidP="00A61195">
      <w:pPr>
        <w:pStyle w:val="Point2"/>
      </w:pPr>
      <w:r w:rsidRPr="00A61195">
        <w:t>„(5)</w:t>
      </w:r>
      <w:r w:rsidRPr="00A61195">
        <w:tab/>
        <w:t>Statele membre publică toate valorile prag menționate la alineatul (1) litera (b) de la prezentul articol în planurile lor de gestionare a bazinelor hidrografice care urmează să fie întocmite în temeiul articolului 13 din Directiva 2000/60/CE, alături de un rezumat al informațiilor prevăzute în partea C din anexa II</w:t>
      </w:r>
      <w:r w:rsidR="00386139">
        <w:t xml:space="preserve"> </w:t>
      </w:r>
      <w:r w:rsidRPr="00A61195">
        <w:t>la prezenta directivă.</w:t>
      </w:r>
    </w:p>
    <w:p w14:paraId="4348B995" w14:textId="4E206A51" w:rsidR="00647D0C" w:rsidRPr="00A61195" w:rsidRDefault="00647D0C" w:rsidP="00A61195">
      <w:pPr>
        <w:pStyle w:val="Text3"/>
      </w:pPr>
      <w:r w:rsidRPr="00A61195">
        <w:t>Până la 22 decembrie 2027, statele membre informează Comisia cu privire la listele lor de poluanți care prezintă motive de îngrijorare la nivel național și valorile prag naționale menționate la alineatul (1) litera (b). Comisia se asigură că respectivele informații sunt puse la dispoziția publicului. Actualizările ulterioare ale listei valorilor prag naționale se publică în conformitate cu primul paragraf de la prezentul alineat.”;</w:t>
      </w:r>
    </w:p>
    <w:p w14:paraId="3C3E6B4A" w14:textId="77777777" w:rsidR="00647D0C" w:rsidRPr="00A61195" w:rsidRDefault="00647D0C" w:rsidP="00A61195">
      <w:pPr>
        <w:pStyle w:val="Point1"/>
      </w:pPr>
      <w:r w:rsidRPr="00A61195">
        <w:t>(e)</w:t>
      </w:r>
      <w:r w:rsidRPr="00A61195">
        <w:tab/>
        <w:t>la alineatul (6), primul paragraf se înlocuiește cu următorul text:</w:t>
      </w:r>
    </w:p>
    <w:p w14:paraId="41A6DABD" w14:textId="72DC0D91" w:rsidR="00647D0C" w:rsidRPr="00A61195" w:rsidRDefault="00647D0C" w:rsidP="00A61195">
      <w:pPr>
        <w:pStyle w:val="Point2"/>
      </w:pPr>
      <w:r w:rsidRPr="00A61195">
        <w:t>„(6)</w:t>
      </w:r>
      <w:r w:rsidRPr="00A61195">
        <w:tab/>
        <w:t>Statele membre modifică lista valorilor prag aplicate pe teritoriile lor atunci când din informațiile noi despre poluanți, grupuri de poluanți sau indicatorii poluării reiese, luând în considerare și principiul precauției, că este necesar să se stabilească o valoare prag pentru o nouă substanță, că este necesar să se modifice o valoare prag existentă sau că este necesar să se reintroducă o valoare prag eliminată anterior de pe listă. Dacă valorile prag relevante sunt stabilite sau modificate la nivelul Uniunii, statele membre adaptează la valorile respective lista valorilor prag aplicate pe teritoriile lor.”</w:t>
      </w:r>
    </w:p>
    <w:p w14:paraId="03740828" w14:textId="77777777" w:rsidR="00647D0C" w:rsidRPr="00A61195" w:rsidRDefault="00647D0C">
      <w:pPr>
        <w:spacing w:before="0" w:after="160" w:line="259" w:lineRule="auto"/>
      </w:pPr>
      <w:r w:rsidRPr="00A61195">
        <w:br w:type="page"/>
      </w:r>
    </w:p>
    <w:p w14:paraId="39224ADE" w14:textId="2221BD9E" w:rsidR="00647D0C" w:rsidRPr="00A61195" w:rsidRDefault="00647D0C" w:rsidP="00A61195">
      <w:pPr>
        <w:pStyle w:val="Point0"/>
      </w:pPr>
      <w:r w:rsidRPr="00A61195">
        <w:lastRenderedPageBreak/>
        <w:t>5.</w:t>
      </w:r>
      <w:r w:rsidRPr="00A61195">
        <w:rPr>
          <w:color w:val="000000" w:themeColor="text1"/>
          <w:sz w:val="32"/>
        </w:rPr>
        <w:tab/>
      </w:r>
      <w:r w:rsidRPr="00A61195">
        <w:t>Articolul 4 se modifică după cum urmează:</w:t>
      </w:r>
    </w:p>
    <w:p w14:paraId="739F080D" w14:textId="77777777" w:rsidR="00647D0C" w:rsidRPr="00A61195" w:rsidRDefault="00647D0C" w:rsidP="00A61195">
      <w:pPr>
        <w:pStyle w:val="Point1"/>
      </w:pPr>
      <w:r w:rsidRPr="00A61195">
        <w:t>(a)</w:t>
      </w:r>
      <w:r w:rsidRPr="00A61195">
        <w:tab/>
        <w:t>la alineatul (2), litera (b) se înlocuiește cu următorul text:</w:t>
      </w:r>
    </w:p>
    <w:p w14:paraId="3704E005" w14:textId="7F015C7F" w:rsidR="00647D0C" w:rsidRPr="00A61195" w:rsidRDefault="00647D0C" w:rsidP="00A61195">
      <w:pPr>
        <w:pStyle w:val="Point2"/>
      </w:pPr>
      <w:r w:rsidRPr="00A61195">
        <w:t>„(b)</w:t>
      </w:r>
      <w:r w:rsidRPr="00A61195">
        <w:tab/>
        <w:t>valorile corespunzătoare standardelor de calitate a apelor subterane enumerate în anexa I și valorile prag menționate la articolul 3 alineatul (1) literele (b) și (c) nu sunt depășite în niciun punct de control din corpul sau grupul de corpuri de apă subterană; sau”;</w:t>
      </w:r>
    </w:p>
    <w:p w14:paraId="5112FF0D" w14:textId="77777777" w:rsidR="00647D0C" w:rsidRPr="00A61195" w:rsidRDefault="00647D0C" w:rsidP="00A61195">
      <w:pPr>
        <w:spacing w:before="0" w:after="160" w:line="259" w:lineRule="auto"/>
      </w:pPr>
      <w:r w:rsidRPr="00A61195">
        <w:br w:type="page"/>
      </w:r>
    </w:p>
    <w:p w14:paraId="60CF6A64" w14:textId="77777777" w:rsidR="00647D0C" w:rsidRPr="00A61195" w:rsidRDefault="00647D0C" w:rsidP="00A61195">
      <w:pPr>
        <w:pStyle w:val="Point1"/>
      </w:pPr>
      <w:r w:rsidRPr="00A61195">
        <w:lastRenderedPageBreak/>
        <w:t>(b)</w:t>
      </w:r>
      <w:r w:rsidRPr="00A61195">
        <w:tab/>
        <w:t>se introduce următorul alineat:</w:t>
      </w:r>
    </w:p>
    <w:p w14:paraId="103161E9" w14:textId="558E3018" w:rsidR="00647D0C" w:rsidRPr="00A61195" w:rsidRDefault="00647D0C" w:rsidP="00A61195">
      <w:pPr>
        <w:pStyle w:val="Point2"/>
      </w:pPr>
      <w:r w:rsidRPr="00A61195">
        <w:t>„(2a)</w:t>
      </w:r>
      <w:r w:rsidRPr="00A61195">
        <w:tab/>
        <w:t>Comisia este împuternicită să adopte un act de punere în aplicare pentru a stabili o listă a metaboliților de pesticide care ar putea să se găsească în apele subterane și în privința cărora a fost efectuată în Uniune o evaluare a relevanței, care să indice dacă aceștia sunt relevanți sau nu sunt relevanți, până la … [</w:t>
      </w:r>
      <w:r w:rsidRPr="00A61195">
        <w:rPr>
          <w:i/>
          <w:iCs/>
        </w:rPr>
        <w:t>24 de luni de la data intrării în vigoare a prezentei directive de modificare</w:t>
      </w:r>
      <w:r w:rsidRPr="00A61195">
        <w:t>]. Lista nu include metaboliții care au fost evaluați ca neprezentând motive de îngrijorare. Lista se bazează pe datele obținute în cursul procesului de aprobare a substanțelor active desfășurat în temeiul Regulamentului (CE)</w:t>
      </w:r>
      <w:r w:rsidR="00D3772B">
        <w:t> </w:t>
      </w:r>
      <w:r w:rsidRPr="00A61195">
        <w:t>nr. 1107/2009 al Parlamentului European și al Consiliului</w:t>
      </w:r>
      <w:r w:rsidRPr="00A61195">
        <w:rPr>
          <w:b/>
          <w:bCs/>
          <w:vertAlign w:val="superscript"/>
        </w:rPr>
        <w:t>*</w:t>
      </w:r>
      <w:r w:rsidRPr="00A61195">
        <w:t xml:space="preserve"> și al Regulamentului (UE) nr. 528/2012 al Parlamentului European și al Consiliului</w:t>
      </w:r>
      <w:r w:rsidRPr="00A61195">
        <w:rPr>
          <w:b/>
          <w:bCs/>
          <w:vertAlign w:val="superscript"/>
        </w:rPr>
        <w:t>**</w:t>
      </w:r>
      <w:r w:rsidRPr="00A61195">
        <w:t xml:space="preserve"> și pe rezultatele științifice asociate provenite de la Autoritatea Europeană pentru Siguranța Alimentară (AESA) și de la Agenția Europeană pentru Produse Chimice (ECHA) și, dacă sunt disponibile, pe noile date științifice referitoare la metaboliții existenți sau la metaboliții neidentificați anterior care au fost descoperiți recent. Comisia adoptă cel puțin o dată la șase ani un act de punere în aplicare pentru actualizarea listei. Actul de punere în aplicare menționat la prezentul alineat se adoptă în conformitate cu procedura de examinare menționată la articolul 9 alineatul (2) din prezenta directivă.</w:t>
      </w:r>
    </w:p>
    <w:p w14:paraId="5185EA7B" w14:textId="77777777" w:rsidR="00647D0C" w:rsidRPr="00A61195" w:rsidRDefault="00647D0C" w:rsidP="00647D0C">
      <w:pPr>
        <w:spacing w:before="0" w:after="160" w:line="259" w:lineRule="auto"/>
      </w:pPr>
      <w:r w:rsidRPr="00A61195">
        <w:br w:type="page"/>
      </w:r>
    </w:p>
    <w:p w14:paraId="19814B6D" w14:textId="59960339" w:rsidR="00647D0C" w:rsidRPr="00A61195" w:rsidRDefault="00D3772B" w:rsidP="00A61195">
      <w:pPr>
        <w:pStyle w:val="Text2"/>
      </w:pPr>
      <w:r>
        <w:lastRenderedPageBreak/>
        <w:t>_______________</w:t>
      </w:r>
    </w:p>
    <w:p w14:paraId="103746CE" w14:textId="47E368BB" w:rsidR="00647D0C" w:rsidRPr="00A61195" w:rsidRDefault="00647D0C" w:rsidP="00A61195">
      <w:pPr>
        <w:pStyle w:val="Point2"/>
        <w:spacing w:before="0" w:after="0" w:line="240" w:lineRule="auto"/>
        <w:ind w:left="1985"/>
        <w:rPr>
          <w:szCs w:val="24"/>
        </w:rPr>
      </w:pPr>
      <w:r w:rsidRPr="00A61195">
        <w:rPr>
          <w:b/>
          <w:bCs/>
          <w:vertAlign w:val="superscript"/>
        </w:rPr>
        <w:t>*</w:t>
      </w:r>
      <w:r w:rsidRPr="00A61195">
        <w:tab/>
        <w:t>Regulamentul (CE) nr. 1107/2009 al Parlamentului European și al Consiliului din 21 octombrie 2009 privind introducerea pe piață a produselor fitosanitare și de abrogare a Directivelor 79/117/CEE și 91/414/CEE ale Consiliului (JO L 309, 24.11.2009, p. 1, ELI: </w:t>
      </w:r>
      <w:hyperlink r:id="rId38" w:history="1">
        <w:r w:rsidRPr="00275CA3">
          <w:rPr>
            <w:rStyle w:val="Hyperlink"/>
          </w:rPr>
          <w:t>http://data.europa.eu/eli/reg/2009/1107/oj</w:t>
        </w:r>
      </w:hyperlink>
      <w:r w:rsidRPr="00A61195">
        <w:t>).</w:t>
      </w:r>
    </w:p>
    <w:p w14:paraId="33A3F4C6" w14:textId="7C3E66C5" w:rsidR="00647D0C" w:rsidRPr="00A61195" w:rsidRDefault="00647D0C" w:rsidP="00A61195">
      <w:pPr>
        <w:pStyle w:val="Point2"/>
        <w:spacing w:before="0" w:line="240" w:lineRule="auto"/>
        <w:ind w:left="1985"/>
      </w:pPr>
      <w:r w:rsidRPr="00A61195">
        <w:rPr>
          <w:b/>
          <w:bCs/>
          <w:vertAlign w:val="superscript"/>
        </w:rPr>
        <w:t>**</w:t>
      </w:r>
      <w:r w:rsidRPr="00A61195">
        <w:tab/>
        <w:t xml:space="preserve">Regulamentul (UE) nr. 528/2012 al Parlamentului European și al Consiliului din 22 mai 2012 privind punerea la dispoziție pe piață și utilizarea produselor </w:t>
      </w:r>
      <w:proofErr w:type="spellStart"/>
      <w:r w:rsidRPr="00A61195">
        <w:t>biocide</w:t>
      </w:r>
      <w:proofErr w:type="spellEnd"/>
      <w:r w:rsidRPr="00A61195">
        <w:t xml:space="preserve"> (JO L 167, 27.6.2012, p. 1, ELI: </w:t>
      </w:r>
      <w:hyperlink r:id="rId39" w:history="1">
        <w:r w:rsidRPr="00275CA3">
          <w:rPr>
            <w:rStyle w:val="Hyperlink"/>
          </w:rPr>
          <w:t>http://data.europa.eu/eli/reg/2012/528/oj</w:t>
        </w:r>
      </w:hyperlink>
      <w:r w:rsidRPr="00A61195">
        <w:t>).”</w:t>
      </w:r>
    </w:p>
    <w:p w14:paraId="33F222A7" w14:textId="77777777" w:rsidR="00647D0C" w:rsidRPr="00A61195" w:rsidRDefault="00647D0C" w:rsidP="00A61195">
      <w:pPr>
        <w:pStyle w:val="Point0"/>
      </w:pPr>
      <w:r w:rsidRPr="00A61195">
        <w:t>6.</w:t>
      </w:r>
      <w:r w:rsidRPr="00A61195">
        <w:tab/>
        <w:t>Se introduce următorul articol:</w:t>
      </w:r>
    </w:p>
    <w:p w14:paraId="6B282886" w14:textId="77777777" w:rsidR="00647D0C" w:rsidRPr="00A61195" w:rsidRDefault="00647D0C" w:rsidP="00A61195">
      <w:pPr>
        <w:pStyle w:val="Text1"/>
      </w:pPr>
      <w:r w:rsidRPr="00A61195">
        <w:t>„</w:t>
      </w:r>
      <w:r w:rsidRPr="00D3772B">
        <w:rPr>
          <w:i/>
          <w:iCs/>
        </w:rPr>
        <w:t xml:space="preserve">Articolul 6a </w:t>
      </w:r>
      <w:r w:rsidRPr="00D3772B">
        <w:rPr>
          <w:i/>
          <w:iCs/>
        </w:rPr>
        <w:br/>
        <w:t>Lista de supraveghere</w:t>
      </w:r>
    </w:p>
    <w:p w14:paraId="7EA77DEF" w14:textId="6B76D191" w:rsidR="00647D0C" w:rsidRPr="00A61195" w:rsidRDefault="00647D0C" w:rsidP="00A61195">
      <w:pPr>
        <w:pStyle w:val="Point1"/>
      </w:pPr>
      <w:r w:rsidRPr="00A61195">
        <w:t>(1)</w:t>
      </w:r>
      <w:r w:rsidRPr="00A61195">
        <w:tab/>
        <w:t>Comisia este împuternicită să adopte acte de punere în aplicare pentru a stabili, având în vedere rapoartele științifice elaborate de ECHA în conformitate cu alineatul (2) de la prezentul articol, o listă de supraveghere a substanțelor pentru care statele membre urmează să colecteze date de monitorizare la nivelul Uniunii în scopul sprijinirii revizuirilor viitoare ale anexelor I și II și pentru a stabili formatele care trebuie să fie utilizate de statele membre pentru raportarea către Comisie a rezultatelor monitorizării respective și a informațiilor conexe. Respectivele acte de punere în aplicare se adoptă în conformitate cu procedura de examinare menționată la articolul 9 alineatul (2).</w:t>
      </w:r>
    </w:p>
    <w:p w14:paraId="7A973155" w14:textId="77777777" w:rsidR="00647D0C" w:rsidRPr="00A61195" w:rsidRDefault="00647D0C" w:rsidP="00647D0C">
      <w:pPr>
        <w:spacing w:before="0" w:after="160" w:line="259" w:lineRule="auto"/>
      </w:pPr>
      <w:r w:rsidRPr="00A61195">
        <w:br w:type="page"/>
      </w:r>
    </w:p>
    <w:p w14:paraId="154C7F4B" w14:textId="224D7F1C" w:rsidR="00647D0C" w:rsidRPr="00A61195" w:rsidRDefault="00647D0C" w:rsidP="00A61195">
      <w:pPr>
        <w:pStyle w:val="Text2"/>
      </w:pPr>
      <w:r w:rsidRPr="00A61195">
        <w:lastRenderedPageBreak/>
        <w:t>Lista de supraveghere conține maximum cinci substanțe, grupuri de substanțe</w:t>
      </w:r>
      <w:bookmarkStart w:id="8" w:name="DQCErrorScope722AE684D6BAAA583388CE96A90"/>
      <w:r w:rsidRPr="00A61195">
        <w:t xml:space="preserve"> </w:t>
      </w:r>
      <w:bookmarkEnd w:id="8"/>
      <w:r w:rsidRPr="00A61195">
        <w:t>sau indicatori ai poluării în același timp și posibilele metode de analiză pentru fiecare substanță. Respectivele metode nu trebuie să determine costuri excesive pentru autoritățile competente. Substanțele care urmează să fie introduse în lista de supraveghere se selectează dintre substanțele care, conform informațiilor disponibile, ar putea prezenta un risc semnificativ la nivelul Uniunii pentru mediul acvatic sau prin intermediul acestuia și pentru care datele de monitorizare sunt insuficiente. Această listă de supraveghere include substanțele care prezintă motive de îngrijorare emergente. În înțelesul prezentului paragraf, „indicator al poluării” înseamnă un parametru care poate fi monitorizat în vederea obținerii unei valori reprezentative pentru nivelul sau concentrația unui poluant sau a unui grup de poluanți și, prin urmare, pentru riscul prezentat de aceștia.</w:t>
      </w:r>
    </w:p>
    <w:p w14:paraId="77F0C7F9" w14:textId="42EE4ED3" w:rsidR="00647D0C" w:rsidRPr="00A61195" w:rsidRDefault="00647D0C" w:rsidP="00A61195">
      <w:pPr>
        <w:pStyle w:val="Text2"/>
      </w:pPr>
      <w:r w:rsidRPr="00A61195">
        <w:t xml:space="preserve">Pe baza rapoartelor științifice elaborate de ECHA în conformitate cu alineatul (2), Comisia include pe lista de supraveghere </w:t>
      </w:r>
      <w:proofErr w:type="spellStart"/>
      <w:r w:rsidRPr="00A61195">
        <w:t>microplasticele</w:t>
      </w:r>
      <w:proofErr w:type="spellEnd"/>
      <w:r w:rsidRPr="00A61195">
        <w:t xml:space="preserve"> și indicatori adecvați ai existenței, evoluției sau transmiterii rezistenței la agenți </w:t>
      </w:r>
      <w:proofErr w:type="spellStart"/>
      <w:r w:rsidRPr="00A61195">
        <w:t>antimicrobieni</w:t>
      </w:r>
      <w:proofErr w:type="spellEnd"/>
      <w:r w:rsidRPr="00A61195">
        <w:t xml:space="preserve"> (denumiți în continuare „indicatorii rezistenței la agenți </w:t>
      </w:r>
      <w:proofErr w:type="spellStart"/>
      <w:r w:rsidRPr="00A61195">
        <w:t>antimicrobieni</w:t>
      </w:r>
      <w:proofErr w:type="spellEnd"/>
      <w:r w:rsidRPr="00A61195">
        <w:t>”), cu condiția să fie disponibile metode de prelevare și analiză fiabile și care nu presupun costuri excesive. Până la … [</w:t>
      </w:r>
      <w:r w:rsidRPr="00A61195">
        <w:rPr>
          <w:i/>
          <w:iCs/>
        </w:rPr>
        <w:t>prima zi a lunii care urmează după 18 luni de la data intrării în vigoare a prezentei directive de modificare</w:t>
      </w:r>
      <w:r w:rsidRPr="00A61195">
        <w:t>], Comisia identifică astfel de metode de prelevare și analiză.</w:t>
      </w:r>
    </w:p>
    <w:p w14:paraId="1079A290" w14:textId="77777777" w:rsidR="00647D0C" w:rsidRPr="00A61195" w:rsidRDefault="00647D0C">
      <w:pPr>
        <w:spacing w:before="0" w:after="160" w:line="259" w:lineRule="auto"/>
      </w:pPr>
      <w:r w:rsidRPr="00A61195">
        <w:br w:type="page"/>
      </w:r>
    </w:p>
    <w:p w14:paraId="6B34A2B3" w14:textId="1569A207" w:rsidR="00647D0C" w:rsidRPr="00A61195" w:rsidRDefault="00647D0C" w:rsidP="00A61195">
      <w:pPr>
        <w:pStyle w:val="Point1"/>
      </w:pPr>
      <w:r w:rsidRPr="00A61195">
        <w:lastRenderedPageBreak/>
        <w:t>(2)</w:t>
      </w:r>
      <w:r w:rsidRPr="00A61195">
        <w:tab/>
        <w:t>ECHA întocmește rapoarte științifice pentru a ajuta Comisia la selectarea substanțelor și a indicatorilor care urmează să fie incluși în lista de supraveghere menționată la alineatul (1) de la prezentul articol, ținând seama de următoarele informații:</w:t>
      </w:r>
    </w:p>
    <w:p w14:paraId="5D52A7FC" w14:textId="4B52D04A" w:rsidR="00647D0C" w:rsidRPr="00A61195" w:rsidRDefault="00647D0C" w:rsidP="00A61195">
      <w:pPr>
        <w:pStyle w:val="Point2"/>
      </w:pPr>
      <w:r w:rsidRPr="00A61195">
        <w:t>(a)</w:t>
      </w:r>
      <w:r w:rsidRPr="00A61195">
        <w:tab/>
        <w:t>anexa I la Directiva 2008/105/CE a Parlamentului European și a Consiliului</w:t>
      </w:r>
      <w:r w:rsidRPr="00A61195">
        <w:rPr>
          <w:b/>
          <w:bCs/>
          <w:vertAlign w:val="superscript"/>
        </w:rPr>
        <w:t>*</w:t>
      </w:r>
      <w:r w:rsidRPr="00A61195">
        <w:t xml:space="preserve"> și rezultatele celei mai recente revizuiri a anexei respective, precum și rezultatele celei mai recente revizuiri a anexei I la prezenta directivă;</w:t>
      </w:r>
    </w:p>
    <w:p w14:paraId="646A0AB8" w14:textId="77777777" w:rsidR="00647D0C" w:rsidRPr="00A61195" w:rsidRDefault="00647D0C" w:rsidP="00A61195">
      <w:pPr>
        <w:pStyle w:val="Point2"/>
      </w:pPr>
      <w:r w:rsidRPr="00A61195">
        <w:t>(b)</w:t>
      </w:r>
      <w:r w:rsidRPr="00A61195">
        <w:tab/>
        <w:t>listele de supraveghere stabilite în conformitate cu Directivele 2008/105/CE și (UE) 2020/2184;</w:t>
      </w:r>
    </w:p>
    <w:p w14:paraId="532A3173" w14:textId="77777777" w:rsidR="00647D0C" w:rsidRPr="00A61195" w:rsidRDefault="00647D0C" w:rsidP="00A61195">
      <w:pPr>
        <w:pStyle w:val="Point2"/>
      </w:pPr>
      <w:r w:rsidRPr="00A61195">
        <w:t>(c)</w:t>
      </w:r>
      <w:r w:rsidRPr="00A61195">
        <w:tab/>
        <w:t>cerințele referitoare la combaterea poluării solului, inclusiv datele de monitorizare conexe;</w:t>
      </w:r>
    </w:p>
    <w:p w14:paraId="14B7E53E" w14:textId="77777777" w:rsidR="00647D0C" w:rsidRPr="00A61195" w:rsidRDefault="00647D0C" w:rsidP="00A61195">
      <w:pPr>
        <w:pStyle w:val="Point2"/>
      </w:pPr>
      <w:r w:rsidRPr="00A61195">
        <w:t>(d)</w:t>
      </w:r>
      <w:r w:rsidRPr="00A61195">
        <w:tab/>
        <w:t>caracterizarea districtelor hidrografice efectuată de către statele membre în conformitate cu articolul 5 din Directiva 2000/60/CE și rezultatele programelor de monitorizare elaborate în conformitate cu articolul 8 din directiva respectivă;</w:t>
      </w:r>
    </w:p>
    <w:p w14:paraId="2A1A5356" w14:textId="77777777" w:rsidR="00647D0C" w:rsidRPr="00A61195" w:rsidRDefault="00647D0C">
      <w:pPr>
        <w:spacing w:before="0" w:after="160" w:line="259" w:lineRule="auto"/>
      </w:pPr>
      <w:r w:rsidRPr="00A61195">
        <w:br w:type="page"/>
      </w:r>
    </w:p>
    <w:p w14:paraId="6DE2348B" w14:textId="4FB353C0" w:rsidR="00647D0C" w:rsidRPr="00A61195" w:rsidRDefault="00647D0C" w:rsidP="00A61195">
      <w:pPr>
        <w:pStyle w:val="Point2"/>
      </w:pPr>
      <w:r w:rsidRPr="00A61195">
        <w:lastRenderedPageBreak/>
        <w:t>(e)</w:t>
      </w:r>
      <w:r w:rsidRPr="00A61195">
        <w:tab/>
        <w:t>informații privind volumele de producție, modurile tipice de utilizare, proprietățile intrinsece (inclusiv mobilitatea în soluri și, când este relevant, dimensiunea particulelor), concentrațiile în mediu și efectele negative asupra sănătății umane și asupra mediului acvatic ale unei substanțe sau ale unui grup de substanțe anume, inclusiv informațiile colectate în conformitate cu Directiva 2001/83/CE a Parlamentului European și a Consiliului</w:t>
      </w:r>
      <w:r w:rsidRPr="00A61195">
        <w:rPr>
          <w:b/>
          <w:vertAlign w:val="superscript"/>
        </w:rPr>
        <w:t>**</w:t>
      </w:r>
      <w:r w:rsidRPr="00A61195">
        <w:t>, Regulamentele (CE) nr.</w:t>
      </w:r>
      <w:r w:rsidR="00D3772B">
        <w:t> </w:t>
      </w:r>
      <w:r w:rsidRPr="00A61195">
        <w:t>1907/2006</w:t>
      </w:r>
      <w:r w:rsidRPr="00A61195">
        <w:rPr>
          <w:b/>
          <w:vertAlign w:val="superscript"/>
        </w:rPr>
        <w:t>***</w:t>
      </w:r>
      <w:r w:rsidRPr="00A61195">
        <w:t xml:space="preserve"> și (CE) nr.</w:t>
      </w:r>
      <w:r w:rsidR="00D3772B">
        <w:t> </w:t>
      </w:r>
      <w:r w:rsidRPr="00A61195">
        <w:t>1107/2009, Directiva 2009/128/CE a Parlamentului European și a Consiliului</w:t>
      </w:r>
      <w:r w:rsidRPr="00A61195">
        <w:rPr>
          <w:b/>
          <w:vertAlign w:val="superscript"/>
        </w:rPr>
        <w:t>****</w:t>
      </w:r>
      <w:r w:rsidRPr="00A61195">
        <w:t xml:space="preserve"> și Regulamentele (UE) nr. 528/2012, (UE) 2019/6</w:t>
      </w:r>
      <w:r w:rsidRPr="00A61195">
        <w:rPr>
          <w:b/>
          <w:vertAlign w:val="superscript"/>
        </w:rPr>
        <w:t>*****</w:t>
      </w:r>
      <w:r w:rsidRPr="00A61195">
        <w:t xml:space="preserve"> și (UE) 2022/2379</w:t>
      </w:r>
      <w:r w:rsidRPr="00A61195">
        <w:rPr>
          <w:b/>
          <w:vertAlign w:val="superscript"/>
        </w:rPr>
        <w:t>******</w:t>
      </w:r>
      <w:r w:rsidRPr="00A61195">
        <w:t xml:space="preserve"> ale Parlamentului European și ale Consiliului;</w:t>
      </w:r>
    </w:p>
    <w:p w14:paraId="0A790FC9" w14:textId="430D8657" w:rsidR="00647D0C" w:rsidRPr="00A61195" w:rsidRDefault="00647D0C" w:rsidP="00A61195">
      <w:pPr>
        <w:pStyle w:val="Point2"/>
      </w:pPr>
      <w:r w:rsidRPr="00A61195">
        <w:t>(f)</w:t>
      </w:r>
      <w:r w:rsidRPr="00A61195">
        <w:tab/>
        <w:t xml:space="preserve">proiecte de cercetare și publicații științifice, inclusiv informații referitoare la tendințe și previziuni bazate pe modelare sau alte evaluări de prognoză, precum și informații și date colectate prin intermediul tehnologiilor de teledetecție, al observării Pământului, cum ar fi serviciile </w:t>
      </w:r>
      <w:proofErr w:type="spellStart"/>
      <w:r w:rsidRPr="00A61195">
        <w:t>Copernicus</w:t>
      </w:r>
      <w:proofErr w:type="spellEnd"/>
      <w:r w:rsidRPr="00A61195">
        <w:t xml:space="preserve">, al senzorilor și dispozitivelor </w:t>
      </w:r>
      <w:r w:rsidRPr="00A61195">
        <w:rPr>
          <w:i/>
          <w:iCs/>
        </w:rPr>
        <w:t xml:space="preserve">in </w:t>
      </w:r>
      <w:proofErr w:type="spellStart"/>
      <w:r w:rsidRPr="00A61195">
        <w:rPr>
          <w:i/>
          <w:iCs/>
        </w:rPr>
        <w:t>situ</w:t>
      </w:r>
      <w:proofErr w:type="spellEnd"/>
      <w:r w:rsidRPr="00A61195">
        <w:t xml:space="preserve"> sau al datelor științifice cetățenești, valorificând oportunitățile oferite de inteligența artificială și de analiza și prelucrarea avansată a datelor;</w:t>
      </w:r>
    </w:p>
    <w:p w14:paraId="615F559A" w14:textId="77777777" w:rsidR="00647D0C" w:rsidRPr="00A61195" w:rsidRDefault="00647D0C" w:rsidP="00A61195">
      <w:pPr>
        <w:pStyle w:val="Point2"/>
      </w:pPr>
      <w:r w:rsidRPr="00A61195">
        <w:t>(g)</w:t>
      </w:r>
      <w:r w:rsidRPr="00A61195">
        <w:tab/>
        <w:t>recomandări formulate de părțile interesate;</w:t>
      </w:r>
    </w:p>
    <w:p w14:paraId="2163EF01" w14:textId="77777777" w:rsidR="00647D0C" w:rsidRPr="00A61195" w:rsidRDefault="00647D0C" w:rsidP="00A61195">
      <w:pPr>
        <w:pStyle w:val="Point2"/>
        <w:rPr>
          <w:bCs/>
          <w:iCs/>
        </w:rPr>
      </w:pPr>
      <w:r w:rsidRPr="00A61195">
        <w:t>(h)</w:t>
      </w:r>
      <w:r w:rsidRPr="00A61195">
        <w:tab/>
        <w:t>recomandările grupurilor de lucru instituite în cadrul Strategiei comune de punere în aplicare a Directivei 2000/60/CE;</w:t>
      </w:r>
    </w:p>
    <w:p w14:paraId="2F52F7D9" w14:textId="77777777" w:rsidR="00647D0C" w:rsidRPr="00A61195" w:rsidRDefault="00647D0C">
      <w:pPr>
        <w:spacing w:before="0" w:after="160" w:line="259" w:lineRule="auto"/>
      </w:pPr>
      <w:r w:rsidRPr="00A61195">
        <w:br w:type="page"/>
      </w:r>
    </w:p>
    <w:p w14:paraId="11D4CF16" w14:textId="4EFBDCD0" w:rsidR="00647D0C" w:rsidRPr="00A61195" w:rsidRDefault="00647D0C" w:rsidP="00A61195">
      <w:pPr>
        <w:pStyle w:val="Point2"/>
        <w:rPr>
          <w:bCs/>
          <w:iCs/>
        </w:rPr>
      </w:pPr>
      <w:r w:rsidRPr="00A61195">
        <w:lastRenderedPageBreak/>
        <w:t>(i)</w:t>
      </w:r>
      <w:r w:rsidRPr="00A61195">
        <w:tab/>
        <w:t>informațiile privind emisiile, evacuările și pierderile disponibile în cadrul Portalului emisiilor industriale prevăzut de Regulamentul (UE) 2024/1244 al Parlamentului European și al Consiliului</w:t>
      </w:r>
      <w:r w:rsidRPr="00A61195">
        <w:rPr>
          <w:b/>
          <w:bCs/>
          <w:vertAlign w:val="superscript"/>
        </w:rPr>
        <w:t>*******</w:t>
      </w:r>
      <w:r w:rsidRPr="00A61195">
        <w:t>, precum și orice informații suplimentare disponibile privind substanțele care fac obiectul autorizațiilor prevăzute de Directiva 2010/75/UE a Parlamentului European și a Consiliului</w:t>
      </w:r>
      <w:r w:rsidRPr="00A61195">
        <w:rPr>
          <w:b/>
          <w:bCs/>
          <w:vertAlign w:val="superscript"/>
        </w:rPr>
        <w:t>********</w:t>
      </w:r>
      <w:r w:rsidRPr="00A61195">
        <w:t>.</w:t>
      </w:r>
    </w:p>
    <w:p w14:paraId="5C8704B7" w14:textId="77777777" w:rsidR="00647D0C" w:rsidRPr="00A61195" w:rsidRDefault="00647D0C" w:rsidP="00A61195">
      <w:pPr>
        <w:pStyle w:val="Point1"/>
      </w:pPr>
      <w:r w:rsidRPr="00A61195">
        <w:t>(3)</w:t>
      </w:r>
      <w:r w:rsidRPr="00A61195">
        <w:tab/>
        <w:t>Rapoartele științifice întocmite de ECHA în conformitate cu alineatul (2) prezintă o listă de substanțe, grupuri de substanțe sau indicatori care ar putea fi incluși pe listă, o metodă orientativă de analiză și o limită de cuantificare acceptabilă maximă pentru fiecare dintre acestea, cu trimiteri justificative la bibliografia sau orientările științifice.</w:t>
      </w:r>
    </w:p>
    <w:p w14:paraId="42CCC077" w14:textId="6DD7C66B" w:rsidR="00647D0C" w:rsidRPr="00A61195" w:rsidRDefault="00647D0C" w:rsidP="00A61195">
      <w:pPr>
        <w:pStyle w:val="Point1"/>
      </w:pPr>
      <w:r w:rsidRPr="00A61195">
        <w:t>(4)</w:t>
      </w:r>
      <w:r w:rsidRPr="00A61195">
        <w:tab/>
        <w:t>Până la … [</w:t>
      </w:r>
      <w:r w:rsidRPr="00A61195">
        <w:rPr>
          <w:i/>
          <w:iCs/>
        </w:rPr>
        <w:t>prima zi a celei de a douăzeci și una luni de la data intrării în vigoare a prezentei directive de modificare</w:t>
      </w:r>
      <w:r w:rsidRPr="00A61195">
        <w:t>] și, ulterior, o dată la trei ani, ECHA elaborează un raport care sintetizează constatările din rapoartele științifice întocmite în conformitate cu alineatul (2) și pune raportul respectiv la dispoziția publicului.</w:t>
      </w:r>
    </w:p>
    <w:p w14:paraId="5DDD4C4A" w14:textId="77777777" w:rsidR="00647D0C" w:rsidRPr="00A61195" w:rsidRDefault="00647D0C" w:rsidP="00A61195">
      <w:pPr>
        <w:pStyle w:val="Point1"/>
      </w:pPr>
      <w:r w:rsidRPr="00A61195">
        <w:t>(5)</w:t>
      </w:r>
      <w:r w:rsidRPr="00A61195">
        <w:tab/>
        <w:t>Până la … [</w:t>
      </w:r>
      <w:r w:rsidRPr="00A61195">
        <w:rPr>
          <w:i/>
          <w:iCs/>
        </w:rPr>
        <w:t>prima zi a lunii care urmează după 24 de luni de la data intrării în vigoare a prezentei directive de modificare</w:t>
      </w:r>
      <w:r w:rsidRPr="00A61195">
        <w:t>], Comisia întocmește prima listă de supraveghere menționată la alineatul (1) și o actualizează ulterior, o dată la trei ani.</w:t>
      </w:r>
    </w:p>
    <w:p w14:paraId="64ADB457" w14:textId="77777777" w:rsidR="00647D0C" w:rsidRPr="00A61195" w:rsidRDefault="00647D0C">
      <w:pPr>
        <w:spacing w:before="0" w:after="160" w:line="259" w:lineRule="auto"/>
      </w:pPr>
      <w:r w:rsidRPr="00A61195">
        <w:br w:type="page"/>
      </w:r>
    </w:p>
    <w:p w14:paraId="0DC49FD5" w14:textId="1CFB02F8" w:rsidR="00647D0C" w:rsidRPr="00A61195" w:rsidRDefault="00647D0C" w:rsidP="00A61195">
      <w:pPr>
        <w:pStyle w:val="Text2"/>
      </w:pPr>
      <w:r w:rsidRPr="00A61195">
        <w:lastRenderedPageBreak/>
        <w:t>Când actualizează lista de supraveghere, Comisia elimină din aceasta orice substanță, grup de substanțe sau indicator, în cazul în care consideră că este posibil ca riscul pentru mediul acvatic să fie evaluat fără date de monitorizare suplimentare.</w:t>
      </w:r>
      <w:bookmarkStart w:id="9" w:name="DQCErrorScopeE4103814C52B4E3D72EDDE89D1F"/>
      <w:r w:rsidRPr="00A61195">
        <w:t xml:space="preserve"> </w:t>
      </w:r>
      <w:bookmarkEnd w:id="9"/>
      <w:r w:rsidRPr="00A61195">
        <w:t>Cu toate acestea, este posibil să se mențină pe lista de supraveghere o substanță individuală, un grup de substanțe sau un indicator timp de încă trei ani, în cazul în care sunt necesare date de monitorizare suplimentare pentru evaluarea riscului pentru mediul acvatic.</w:t>
      </w:r>
    </w:p>
    <w:p w14:paraId="4B3465E7" w14:textId="77777777" w:rsidR="00647D0C" w:rsidRPr="00A61195" w:rsidRDefault="00647D0C" w:rsidP="00A61195">
      <w:pPr>
        <w:pStyle w:val="Text2"/>
      </w:pPr>
      <w:r w:rsidRPr="00A61195">
        <w:t>De asemenea, Comisia poate adăuga una sau mai multe substanțe suplimentare, unul sau mai multe grupuri de substanțe suplimentare ori unul sau mai mulți indicatori suplimentari în cazul în care consideră, având în vedere rapoartele științifice ale ECHA, că ar putea exista un risc pe scară largă pentru mediul acvatic, cu condiția ca lista de supraveghere actualizată să conțină maximum cinci substanțe, grupuri de substanțe sau indicatori, în conformitate cu alineatul (1).</w:t>
      </w:r>
    </w:p>
    <w:p w14:paraId="1A7366EC" w14:textId="09E3ED69" w:rsidR="00647D0C" w:rsidRPr="00A61195" w:rsidRDefault="00647D0C" w:rsidP="00A61195">
      <w:pPr>
        <w:pStyle w:val="Text2"/>
      </w:pPr>
      <w:proofErr w:type="spellStart"/>
      <w:r w:rsidRPr="00A61195">
        <w:t>Microplasticele</w:t>
      </w:r>
      <w:proofErr w:type="spellEnd"/>
      <w:r w:rsidRPr="00A61195">
        <w:t xml:space="preserve"> și indicatorii rezistenței la agenți </w:t>
      </w:r>
      <w:proofErr w:type="spellStart"/>
      <w:r w:rsidRPr="00A61195">
        <w:t>antimicrobieni</w:t>
      </w:r>
      <w:proofErr w:type="spellEnd"/>
      <w:r w:rsidRPr="00A61195">
        <w:t xml:space="preserve"> nu se mențin pe lista de supraveghere pentru o a doua perioadă consecutivă de trei ani, cu excepția cazului în care este disponibilă o metodologie armonizată și fiabilă de evaluare a riscurilor care, atunci când este aplicată, arată că datele de monitorizare colectate în cursul primei perioade de monitorizare sunt insuficiente pentru a evalua riscul pe care acestea îl prezintă pentru mediul acvatic sau prin intermediul acestuia.</w:t>
      </w:r>
    </w:p>
    <w:p w14:paraId="584027D3" w14:textId="77777777" w:rsidR="00647D0C" w:rsidRPr="00A61195" w:rsidRDefault="00647D0C" w:rsidP="00A61195">
      <w:pPr>
        <w:pStyle w:val="Point1"/>
      </w:pPr>
      <w:r w:rsidRPr="00A61195">
        <w:t>(6)</w:t>
      </w:r>
      <w:r w:rsidRPr="00A61195">
        <w:tab/>
        <w:t>Statele membre monitorizează fiecare substanță, grup de substanțe și indicator din lista de supraveghere menționată la alineatul (1) în cadrul anumitor stații de monitorizare reprezentative, pentru o perioadă de 24 de luni. Perioada de monitorizare începe în termen de șase luni de la stabilirea listei de supraveghere, dar nu este necesar ca prelevarea și analiza să debuteze la începutul perioadei respective.</w:t>
      </w:r>
    </w:p>
    <w:p w14:paraId="64942E85" w14:textId="77777777" w:rsidR="00647D0C" w:rsidRPr="00A61195" w:rsidRDefault="00647D0C">
      <w:pPr>
        <w:spacing w:before="0" w:after="160" w:line="259" w:lineRule="auto"/>
      </w:pPr>
      <w:r w:rsidRPr="00A61195">
        <w:br w:type="page"/>
      </w:r>
    </w:p>
    <w:p w14:paraId="3044BD6B" w14:textId="76EC5C0C" w:rsidR="00647D0C" w:rsidRPr="00A61195" w:rsidRDefault="00647D0C" w:rsidP="00A61195">
      <w:pPr>
        <w:pStyle w:val="Text2"/>
      </w:pPr>
      <w:r w:rsidRPr="00A61195">
        <w:lastRenderedPageBreak/>
        <w:t>Fiecare stat membru selectează cel puțin două stații de monitorizare, plus numărul de stații egal cu rezultatul obținut prin împărțirea suprafeței totale a corpurilor de apă subterană, exprimată în km</w:t>
      </w:r>
      <w:r w:rsidRPr="00A61195">
        <w:rPr>
          <w:vertAlign w:val="superscript"/>
        </w:rPr>
        <w:t>2</w:t>
      </w:r>
      <w:r w:rsidRPr="00A61195">
        <w:t>, la 45 000, rotunjit la cel mai apropiat număr întreg.</w:t>
      </w:r>
    </w:p>
    <w:p w14:paraId="649A0EF9" w14:textId="77777777" w:rsidR="00647D0C" w:rsidRPr="00A61195" w:rsidRDefault="00647D0C" w:rsidP="00A61195">
      <w:pPr>
        <w:pStyle w:val="Text2"/>
      </w:pPr>
      <w:r w:rsidRPr="00A61195">
        <w:t>La alegerea stațiilor de monitorizare reprezentative, a frecvenței și a calendarului de monitorizare pentru fiecare substanță, grup de substanțe sau indicator, statele membre țin seama de variabilitatea sezonieră a precipitațiilor, de nivelurile apei, de modurile tipice de utilizare și de posibilitatea prezenței substanței, a grupului de substanțe sau a indicatorului. Frecvența monitorizării trebuie să fie de cel puțin o dată pe an.</w:t>
      </w:r>
    </w:p>
    <w:p w14:paraId="053D4339" w14:textId="77777777" w:rsidR="00647D0C" w:rsidRPr="00A61195" w:rsidRDefault="00647D0C" w:rsidP="00A61195">
      <w:pPr>
        <w:pStyle w:val="Text2"/>
      </w:pPr>
      <w:r w:rsidRPr="00A61195">
        <w:t>Dacă un stat membru este în măsură să genereze, din programele sau studiile de monitorizare existente, date de monitorizare suficiente, comparabile, reprezentative și recente pentru o anumită substanță, grup de substanțe sau indicator, respectivul stat membru poate decide să nu efectueze o monitorizare suplimentară în cadrul mecanismului listelor de supraveghere pentru substanța, grupul de substanțe sau indicatorul în cauză, cu condiția ca substanța, grupul de substanțe sau indicatorul să fi fost monitorizat printr-o metodologie conformă cu metodele de analiză menționate în actul de punere în aplicare prin care este stabilită lista de supraveghere.</w:t>
      </w:r>
    </w:p>
    <w:p w14:paraId="1A48903D" w14:textId="77777777" w:rsidR="00647D0C" w:rsidRPr="00A61195" w:rsidRDefault="00647D0C" w:rsidP="00647D0C">
      <w:pPr>
        <w:spacing w:before="0" w:after="160" w:line="259" w:lineRule="auto"/>
      </w:pPr>
      <w:r w:rsidRPr="00A61195">
        <w:br w:type="page"/>
      </w:r>
    </w:p>
    <w:p w14:paraId="6CD24647" w14:textId="77777777" w:rsidR="00647D0C" w:rsidRPr="00A61195" w:rsidRDefault="00647D0C" w:rsidP="00A61195">
      <w:pPr>
        <w:pStyle w:val="Point1"/>
      </w:pPr>
      <w:r w:rsidRPr="00A61195">
        <w:lastRenderedPageBreak/>
        <w:t>(7)</w:t>
      </w:r>
      <w:r w:rsidRPr="00A61195">
        <w:tab/>
        <w:t>Statele membre pun la dispoziție în fiecare an rezultatele monitorizării menționate la alineatul (6) de la prezentul articol în conformitate cu articolul 8 alineatul (4) din Directiva 2000/60/CE și cu actul de punere în aplicare prin care este stabilită lista de supraveghere, astfel cum a fost adoptat în temeiul alineatului (1) de la prezentul articol. Statele membre pun de asemenea la dispoziție informații cu privire la reprezentativitatea stațiilor de monitorizare și la strategia de monitorizare.</w:t>
      </w:r>
    </w:p>
    <w:p w14:paraId="59DF14FE" w14:textId="77777777" w:rsidR="00647D0C" w:rsidRPr="00A61195" w:rsidRDefault="00647D0C" w:rsidP="00A61195">
      <w:pPr>
        <w:pStyle w:val="Point1"/>
      </w:pPr>
      <w:r w:rsidRPr="00A61195">
        <w:t>(8)</w:t>
      </w:r>
      <w:r w:rsidRPr="00A61195">
        <w:tab/>
        <w:t>La sfârșitul perioadei de 24 de luni menționate la alineatul (6), ECHA analizează rezultatele monitorizării și evaluează ce substanțe, grupuri de substanțe sau indicatori trebuie să fie monitorizați timp de încă 24 de luni și, prin urmare, trebuie să fie păstrați pe lista de supraveghere și ce substanțe, grupuri de substanțe sau indicatori pot fi eliminați de pe lista de supraveghere.</w:t>
      </w:r>
    </w:p>
    <w:p w14:paraId="5E353035" w14:textId="77777777" w:rsidR="00647D0C" w:rsidRPr="00A61195" w:rsidRDefault="00647D0C" w:rsidP="00A61195">
      <w:pPr>
        <w:pStyle w:val="Text2"/>
      </w:pPr>
      <w:r w:rsidRPr="00A61195">
        <w:t>În cazul în care Comisia, pe baza evaluării efectuate de ECHA, astfel cum se menționează la primul paragraf de la prezentul alineat, ajunge la concluzia că nu este necesară monitorizarea suplimentară pentru analizarea mai detaliată a riscului pentru mediul acvatic, evaluarea efectuată de ECHA este luată în considerare în cadrul revizuirii anexei I sau II menționate la articolul 8.</w:t>
      </w:r>
    </w:p>
    <w:p w14:paraId="2C474522" w14:textId="77777777" w:rsidR="00647D0C" w:rsidRPr="00A61195" w:rsidRDefault="00647D0C">
      <w:pPr>
        <w:spacing w:before="0" w:after="160" w:line="259" w:lineRule="auto"/>
      </w:pPr>
      <w:r w:rsidRPr="00A61195">
        <w:br w:type="page"/>
      </w:r>
    </w:p>
    <w:p w14:paraId="18F7BF96" w14:textId="51FC2E97" w:rsidR="00647D0C" w:rsidRPr="00A61195" w:rsidRDefault="00D3772B" w:rsidP="00A61195">
      <w:pPr>
        <w:pStyle w:val="Text1"/>
      </w:pPr>
      <w:r>
        <w:lastRenderedPageBreak/>
        <w:t>_________________</w:t>
      </w:r>
    </w:p>
    <w:p w14:paraId="33042DB5" w14:textId="0BE1012D" w:rsidR="00647D0C" w:rsidRPr="00A61195" w:rsidRDefault="00647D0C" w:rsidP="00A61195">
      <w:pPr>
        <w:pStyle w:val="Point1"/>
        <w:spacing w:before="0" w:after="0" w:line="240" w:lineRule="auto"/>
        <w:ind w:left="1418"/>
      </w:pPr>
      <w:r w:rsidRPr="00A61195">
        <w:rPr>
          <w:vertAlign w:val="superscript"/>
        </w:rPr>
        <w:t>*</w:t>
      </w:r>
      <w:r w:rsidRPr="00A61195">
        <w:rPr>
          <w:b/>
        </w:rPr>
        <w:tab/>
      </w:r>
      <w:r w:rsidRPr="00A61195">
        <w:t>Directiva 2008/105/CE a Parlamentului European și a Consiliului din 16 decembrie</w:t>
      </w:r>
      <w:r w:rsidR="00D3772B">
        <w:t> </w:t>
      </w:r>
      <w:r w:rsidRPr="00A61195">
        <w:t>2008 privind standardele de calitate a mediului în domeniul apei, de modificare și de abrogare a Directivelor 82/176/CEE, 83/513/CEE, 84/156/CEE, 84/491/CEE, 86/280/CEE ale Consiliului și de modificare a Directivei 2000/60/CE (JO L 348, 24.12.2008, p. 84, ELI: </w:t>
      </w:r>
      <w:hyperlink r:id="rId40" w:history="1">
        <w:r w:rsidRPr="00275CA3">
          <w:rPr>
            <w:rStyle w:val="Hyperlink"/>
          </w:rPr>
          <w:t>http://data.europa.eu/eli/dir/2008/105/oj</w:t>
        </w:r>
      </w:hyperlink>
      <w:r w:rsidRPr="00A61195">
        <w:t>).</w:t>
      </w:r>
    </w:p>
    <w:p w14:paraId="425A434F" w14:textId="076E838A" w:rsidR="00647D0C" w:rsidRPr="00A61195" w:rsidRDefault="00647D0C" w:rsidP="00A61195">
      <w:pPr>
        <w:pStyle w:val="Point1"/>
        <w:spacing w:before="0" w:after="0" w:line="240" w:lineRule="auto"/>
        <w:ind w:left="1418"/>
      </w:pPr>
      <w:r w:rsidRPr="00A61195">
        <w:rPr>
          <w:b/>
          <w:vertAlign w:val="superscript"/>
        </w:rPr>
        <w:t>**</w:t>
      </w:r>
      <w:r w:rsidRPr="00A61195">
        <w:tab/>
        <w:t>Directiva 2001/83/CE a Parlamentului European și a Consiliului din 6 noiembrie 2001 de instituire a unui cod comunitar cu privire la medicamentele de uz uman (JO</w:t>
      </w:r>
      <w:r w:rsidR="00D3772B">
        <w:t> </w:t>
      </w:r>
      <w:r w:rsidRPr="00A61195">
        <w:t>L 311, 28.11.2001, p. 67, ELI: </w:t>
      </w:r>
      <w:hyperlink r:id="rId41" w:history="1">
        <w:r w:rsidRPr="00275CA3">
          <w:rPr>
            <w:rStyle w:val="Hyperlink"/>
          </w:rPr>
          <w:t>http://data.europa.eu/eli/dir/2001/83/oj</w:t>
        </w:r>
      </w:hyperlink>
      <w:r w:rsidRPr="00A61195">
        <w:t>).</w:t>
      </w:r>
    </w:p>
    <w:p w14:paraId="1BD4FD47" w14:textId="14AD6445" w:rsidR="00647D0C" w:rsidRPr="00A61195" w:rsidRDefault="00647D0C" w:rsidP="00A61195">
      <w:pPr>
        <w:pStyle w:val="Point1"/>
        <w:spacing w:before="0" w:after="0" w:line="240" w:lineRule="auto"/>
        <w:ind w:left="1418"/>
      </w:pPr>
      <w:r w:rsidRPr="00A61195">
        <w:rPr>
          <w:b/>
          <w:vertAlign w:val="superscript"/>
        </w:rPr>
        <w:t>***</w:t>
      </w:r>
      <w:r w:rsidRPr="00A61195">
        <w:tab/>
        <w:t>Regulamentul (CE) nr. 1907/2006 al Parlamentului European și al Consiliului din</w:t>
      </w:r>
      <w:r w:rsidR="00D3772B">
        <w:t> </w:t>
      </w:r>
      <w:r w:rsidRPr="00A61195">
        <w:t>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p. 1, ELI: </w:t>
      </w:r>
      <w:hyperlink r:id="rId42" w:history="1">
        <w:r w:rsidRPr="00275CA3">
          <w:rPr>
            <w:rStyle w:val="Hyperlink"/>
          </w:rPr>
          <w:t>http://data.europa.eu/eli/reg/2006/1907/oj</w:t>
        </w:r>
      </w:hyperlink>
      <w:r w:rsidRPr="00A61195">
        <w:t>).</w:t>
      </w:r>
    </w:p>
    <w:p w14:paraId="55053C85" w14:textId="389AB02E" w:rsidR="00647D0C" w:rsidRPr="00A61195" w:rsidRDefault="00647D0C" w:rsidP="00A61195">
      <w:pPr>
        <w:pStyle w:val="Point1"/>
        <w:spacing w:before="0" w:after="0" w:line="240" w:lineRule="auto"/>
        <w:ind w:left="1418"/>
      </w:pPr>
      <w:r w:rsidRPr="00A61195">
        <w:rPr>
          <w:b/>
          <w:vertAlign w:val="superscript"/>
        </w:rPr>
        <w:t>****</w:t>
      </w:r>
      <w:r w:rsidRPr="00A61195">
        <w:tab/>
        <w:t>Directiva 2009/128/CE a Parlamentului European și a Consiliului din 21 octombrie</w:t>
      </w:r>
      <w:r w:rsidR="00D3772B">
        <w:t> </w:t>
      </w:r>
      <w:r w:rsidRPr="00A61195">
        <w:t>2009 de stabilire a unui cadru de acțiune comunitară în vederea utilizării durabile a pesticidelor (JO L 309, 24.11.2009, p. 71, ELI: </w:t>
      </w:r>
      <w:hyperlink r:id="rId43" w:history="1">
        <w:r w:rsidRPr="00275CA3">
          <w:rPr>
            <w:rStyle w:val="Hyperlink"/>
          </w:rPr>
          <w:t>http://data.europa.eu/eli/dir/2009/128/oj</w:t>
        </w:r>
      </w:hyperlink>
      <w:r w:rsidRPr="00A61195">
        <w:t>).</w:t>
      </w:r>
    </w:p>
    <w:p w14:paraId="44EFAF34" w14:textId="7D93FEF8" w:rsidR="00647D0C" w:rsidRPr="00A61195" w:rsidRDefault="00647D0C" w:rsidP="00A61195">
      <w:pPr>
        <w:pStyle w:val="Point1"/>
        <w:spacing w:before="0" w:after="0" w:line="240" w:lineRule="auto"/>
        <w:ind w:left="1418"/>
      </w:pPr>
      <w:r w:rsidRPr="00A61195">
        <w:rPr>
          <w:b/>
          <w:vertAlign w:val="superscript"/>
        </w:rPr>
        <w:t>*****</w:t>
      </w:r>
      <w:r w:rsidRPr="00A61195">
        <w:tab/>
        <w:t>Regulamentul (UE) 2019/6 al Parlamentului European și al Consiliului din 11 decembrie 2018 privind produsele medicinale veterinare și de abrogare a Directivei 2001/82/CE (JO L 4, 7.1.2019, p. 43, ELI: </w:t>
      </w:r>
      <w:hyperlink r:id="rId44" w:history="1">
        <w:r w:rsidRPr="00275CA3">
          <w:rPr>
            <w:rStyle w:val="Hyperlink"/>
          </w:rPr>
          <w:t>http://data.europa.eu/eli/reg/2019/6/oj</w:t>
        </w:r>
      </w:hyperlink>
      <w:r w:rsidRPr="00A61195">
        <w:t>).</w:t>
      </w:r>
    </w:p>
    <w:p w14:paraId="7717E438" w14:textId="77777777" w:rsidR="00647D0C" w:rsidRPr="00A61195" w:rsidRDefault="00647D0C">
      <w:pPr>
        <w:spacing w:before="0" w:after="160" w:line="259" w:lineRule="auto"/>
        <w:rPr>
          <w:b/>
          <w:iCs/>
          <w:vertAlign w:val="superscript"/>
        </w:rPr>
      </w:pPr>
      <w:r w:rsidRPr="00A61195">
        <w:rPr>
          <w:b/>
          <w:iCs/>
          <w:vertAlign w:val="superscript"/>
        </w:rPr>
        <w:br w:type="page"/>
      </w:r>
    </w:p>
    <w:p w14:paraId="3A214584" w14:textId="7F8B5162" w:rsidR="00647D0C" w:rsidRPr="00A61195" w:rsidRDefault="00647D0C" w:rsidP="00A61195">
      <w:pPr>
        <w:pStyle w:val="Point1"/>
        <w:spacing w:before="0" w:after="0" w:line="240" w:lineRule="auto"/>
        <w:ind w:left="1418"/>
        <w:rPr>
          <w:bCs/>
          <w:iCs/>
        </w:rPr>
      </w:pPr>
      <w:r w:rsidRPr="00A61195">
        <w:rPr>
          <w:b/>
          <w:vertAlign w:val="superscript"/>
        </w:rPr>
        <w:lastRenderedPageBreak/>
        <w:t>******</w:t>
      </w:r>
      <w:r w:rsidRPr="00A61195">
        <w:tab/>
        <w:t>Regulamentul (UE) 2022/2379 al Parlamentului European și al Consiliului din 23 noiembrie 2022 privind statisticile referitoare la factorii de producție și la producția agricolă, de modificare a Regulamentului (CE) nr. 617/2008 al Comisiei și de abrogare a Regulamentelor (CE) nr. 1165/2008, (CE) nr. 543/2009 și (CE) nr. 1185/2009 ale Parlamentului European și ale Consiliului și a Directivei 96/16/CE a Consiliului (JO L 315, 7.12.2022, p. 1, ELI: </w:t>
      </w:r>
      <w:hyperlink r:id="rId45" w:history="1">
        <w:r w:rsidRPr="00275CA3">
          <w:rPr>
            <w:rStyle w:val="Hyperlink"/>
          </w:rPr>
          <w:t>http://data.europa.eu/eli/reg/2022/2379/oj</w:t>
        </w:r>
      </w:hyperlink>
      <w:r w:rsidRPr="00A61195">
        <w:t>).</w:t>
      </w:r>
    </w:p>
    <w:p w14:paraId="2974BAD0" w14:textId="1C5EBFCF" w:rsidR="00647D0C" w:rsidRPr="00A61195" w:rsidRDefault="00647D0C" w:rsidP="00A61195">
      <w:pPr>
        <w:pStyle w:val="Point1"/>
        <w:spacing w:before="0" w:after="0" w:line="240" w:lineRule="auto"/>
        <w:ind w:left="1418"/>
        <w:rPr>
          <w:szCs w:val="24"/>
        </w:rPr>
      </w:pPr>
      <w:r w:rsidRPr="00A61195">
        <w:rPr>
          <w:b/>
          <w:vertAlign w:val="superscript"/>
        </w:rPr>
        <w:t>*******</w:t>
      </w:r>
      <w:r w:rsidRPr="00A61195">
        <w:rPr>
          <w:b/>
          <w:vertAlign w:val="superscript"/>
        </w:rPr>
        <w:tab/>
      </w:r>
      <w:r w:rsidRPr="00A61195">
        <w:t>Regulamentul (UE) 2024/1244 al Parlamentului European și al Consiliului din 24</w:t>
      </w:r>
      <w:r w:rsidR="00D3772B">
        <w:t> </w:t>
      </w:r>
      <w:r w:rsidRPr="00A61195">
        <w:t>aprilie 2024 privind raportarea datelor despre mediu provenite de la instalații industriale, de înființare a Portalului emisiilor industriale și de abrogare a Regulamentului (CE) nr. 166/2006 (JO L, 2024/1244, 2.5.2024, ELI: </w:t>
      </w:r>
      <w:hyperlink r:id="rId46" w:history="1">
        <w:r w:rsidRPr="00275CA3">
          <w:rPr>
            <w:rStyle w:val="Hyperlink"/>
          </w:rPr>
          <w:t>http://data.europa.eu/eli/reg/2024/1244/oj</w:t>
        </w:r>
      </w:hyperlink>
      <w:r w:rsidRPr="00A61195">
        <w:t>).</w:t>
      </w:r>
    </w:p>
    <w:p w14:paraId="7E580F8F" w14:textId="2005F830" w:rsidR="00647D0C" w:rsidRPr="00A61195" w:rsidRDefault="00647D0C" w:rsidP="00A61195">
      <w:pPr>
        <w:pStyle w:val="Point1"/>
        <w:spacing w:before="0" w:line="240" w:lineRule="auto"/>
        <w:ind w:left="1418"/>
        <w:rPr>
          <w:bCs/>
          <w:iCs/>
        </w:rPr>
      </w:pPr>
      <w:r w:rsidRPr="00A61195">
        <w:rPr>
          <w:b/>
          <w:vertAlign w:val="superscript"/>
        </w:rPr>
        <w:t>********</w:t>
      </w:r>
      <w:r w:rsidRPr="00A61195">
        <w:tab/>
        <w:t>Directiva 2010/75/UE a Parlamentului European și a Consiliului din 24 noiembrie 2010 privind emisiile industriale și emisiile generate de creșterea animalelor (prevenirea și controlul integrat al poluării) (JO L 334, 17.12.2010, p. 17, ELI: </w:t>
      </w:r>
      <w:hyperlink r:id="rId47" w:history="1">
        <w:r w:rsidRPr="00275CA3">
          <w:rPr>
            <w:rStyle w:val="Hyperlink"/>
          </w:rPr>
          <w:t>http://data.europa.eu/eli/dir/2010/75/oj</w:t>
        </w:r>
      </w:hyperlink>
      <w:r w:rsidRPr="00A61195">
        <w:t>).”</w:t>
      </w:r>
    </w:p>
    <w:p w14:paraId="78A3F7FC" w14:textId="77777777" w:rsidR="00647D0C" w:rsidRPr="00A61195" w:rsidRDefault="00647D0C" w:rsidP="00A61195">
      <w:pPr>
        <w:pStyle w:val="Point0"/>
      </w:pPr>
      <w:r w:rsidRPr="00A61195">
        <w:t>7.</w:t>
      </w:r>
      <w:r w:rsidRPr="00A61195">
        <w:tab/>
        <w:t>Articolul 8 se înlocuiește cu următorul text:</w:t>
      </w:r>
    </w:p>
    <w:p w14:paraId="456D65CC" w14:textId="77777777" w:rsidR="00647D0C" w:rsidRPr="00A61195" w:rsidRDefault="00647D0C" w:rsidP="00A61195">
      <w:pPr>
        <w:pStyle w:val="Text1"/>
      </w:pPr>
      <w:r w:rsidRPr="00A61195">
        <w:t>„</w:t>
      </w:r>
      <w:r w:rsidRPr="00D3772B">
        <w:rPr>
          <w:i/>
          <w:iCs/>
        </w:rPr>
        <w:t xml:space="preserve">Articolul 8 </w:t>
      </w:r>
      <w:r w:rsidRPr="00D3772B">
        <w:rPr>
          <w:i/>
          <w:iCs/>
        </w:rPr>
        <w:br/>
        <w:t>Revizuirea anexelor I-IV și dispoziții specifice pentru anumite substanțe</w:t>
      </w:r>
    </w:p>
    <w:p w14:paraId="10E728A4" w14:textId="77777777" w:rsidR="00647D0C" w:rsidRPr="00A61195" w:rsidRDefault="00647D0C" w:rsidP="00A61195">
      <w:pPr>
        <w:pStyle w:val="Point1"/>
      </w:pPr>
      <w:r w:rsidRPr="00A61195">
        <w:t>(1)</w:t>
      </w:r>
      <w:r w:rsidRPr="00A61195">
        <w:tab/>
        <w:t>Comisia revizuiește lista poluanților și a indicatorilor poluării, precum și standardele de calitate corespunzătoare pentru poluanții respectivi stabilite în anexa I până la … [</w:t>
      </w:r>
      <w:r w:rsidRPr="00A61195">
        <w:rPr>
          <w:i/>
          <w:iCs/>
        </w:rPr>
        <w:t>șase ani de la data intrării în vigoare a prezentei directive de modificare</w:t>
      </w:r>
      <w:r w:rsidRPr="00A61195">
        <w:t>] și, ulterior, o dată la șase ani și, atunci când este cazul, însoțește revizuirea de o propunere legislativă de actualizare a listei poluanților și a standardelor de calitate corespunzătoare.</w:t>
      </w:r>
    </w:p>
    <w:p w14:paraId="606D7DAD" w14:textId="77777777" w:rsidR="00647D0C" w:rsidRPr="00A61195" w:rsidRDefault="00647D0C">
      <w:pPr>
        <w:spacing w:before="0" w:after="160" w:line="259" w:lineRule="auto"/>
      </w:pPr>
      <w:r w:rsidRPr="00A61195">
        <w:br w:type="page"/>
      </w:r>
    </w:p>
    <w:p w14:paraId="0F0ED3C7" w14:textId="6A9B3C84" w:rsidR="00647D0C" w:rsidRPr="00A61195" w:rsidRDefault="00647D0C" w:rsidP="00A61195">
      <w:pPr>
        <w:pStyle w:val="Point1"/>
      </w:pPr>
      <w:r w:rsidRPr="00A61195">
        <w:lastRenderedPageBreak/>
        <w:t>(2)</w:t>
      </w:r>
      <w:r w:rsidRPr="00A61195">
        <w:tab/>
        <w:t>Comisia revizuiește lista poluanților și a indicatorilor poluării pentru care statele membre trebuie să aibă în vedere stabilirea valorilor prag naționale prevăzute în anexa II partea B până la … [</w:t>
      </w:r>
      <w:r w:rsidRPr="00A61195">
        <w:rPr>
          <w:i/>
          <w:iCs/>
        </w:rPr>
        <w:t>șase ani de la data intrării în vigoare a prezentei directive de modificare</w:t>
      </w:r>
      <w:r w:rsidRPr="00A61195">
        <w:t>] și, ulterior, o dată la șase ani și, atunci când este cazul, însoțește revizuirea de o propunere legislativă de actualizare a listei poluanților din anexa II partea B.</w:t>
      </w:r>
    </w:p>
    <w:p w14:paraId="7C1883F9" w14:textId="00CBBD4E" w:rsidR="00647D0C" w:rsidRPr="00A61195" w:rsidRDefault="00647D0C" w:rsidP="00A61195">
      <w:pPr>
        <w:pStyle w:val="Point1"/>
      </w:pPr>
      <w:r w:rsidRPr="00A61195">
        <w:t>(3)</w:t>
      </w:r>
      <w:r w:rsidRPr="00A61195">
        <w:tab/>
        <w:t>Comisia revizuiește registrul cu valori prag armonizate din anexa II partea D până la … [</w:t>
      </w:r>
      <w:r w:rsidRPr="00A61195">
        <w:rPr>
          <w:i/>
          <w:iCs/>
        </w:rPr>
        <w:t>șase ani de la data intrării în vigoare a prezentei directive de modificare</w:t>
      </w:r>
      <w:r w:rsidRPr="00A61195">
        <w:t>] și, ulterior, o dată la șase ani și, atunci când este cazul, însoțește revizuirea de o propunere legislativă de actualizare a registrului și a valorilor prag armonizate corespunzătoare din anexa II partea D.</w:t>
      </w:r>
    </w:p>
    <w:p w14:paraId="538BF3A6" w14:textId="77777777" w:rsidR="00647D0C" w:rsidRPr="00A61195" w:rsidRDefault="00647D0C" w:rsidP="00A61195">
      <w:pPr>
        <w:pStyle w:val="Point1"/>
      </w:pPr>
      <w:r w:rsidRPr="00A61195">
        <w:t>(4)</w:t>
      </w:r>
      <w:r w:rsidRPr="00A61195">
        <w:tab/>
        <w:t>Atunci când efectuează revizuirile menționate la alineatele (1), (2) și (3), Comisia ține seama de rapoartele științifice elaborate de ECHA în temeiul alineatului (6).</w:t>
      </w:r>
    </w:p>
    <w:p w14:paraId="3B0EFB73" w14:textId="794945AE" w:rsidR="00647D0C" w:rsidRPr="00A61195" w:rsidRDefault="00647D0C" w:rsidP="00A61195">
      <w:pPr>
        <w:pStyle w:val="Point1"/>
      </w:pPr>
      <w:r w:rsidRPr="00A61195">
        <w:t>(5)</w:t>
      </w:r>
      <w:r w:rsidRPr="00A61195">
        <w:tab/>
        <w:t>Comisia este împuternicită să adopte acte delegate în conformitate cu articolul 8a pentru a modifica anexa II părțile A și C și anexele III și IV în ceea ce privește orientările pentru stabilirea de către statele membre a unor valori prag, informațiile care trebuie furnizate de statele membre cu privire la poluanții și indicatorii poluării pentru care au fost stabilite valori prag, evaluarea stării chimice a apelor subterane și identificarea și inversarea tendințelor ascendente semnificative și durabile în vederea adaptării acestora la progresele științifice și tehnice.</w:t>
      </w:r>
    </w:p>
    <w:p w14:paraId="48D143F1" w14:textId="77777777" w:rsidR="00647D0C" w:rsidRPr="00A61195" w:rsidRDefault="00647D0C" w:rsidP="00647D0C">
      <w:r w:rsidRPr="00A61195">
        <w:br w:type="page"/>
      </w:r>
    </w:p>
    <w:p w14:paraId="1F28543D" w14:textId="0B031DDC" w:rsidR="00647D0C" w:rsidRPr="00A61195" w:rsidRDefault="00647D0C" w:rsidP="00A61195">
      <w:pPr>
        <w:pStyle w:val="Point1"/>
      </w:pPr>
      <w:r w:rsidRPr="00A61195">
        <w:lastRenderedPageBreak/>
        <w:t>(6)</w:t>
      </w:r>
      <w:r w:rsidRPr="00A61195">
        <w:tab/>
        <w:t>Pentru a sprijini Comisia în ceea ce privește revizuirea anexelor I și II, ECHA elaborează rapoarte științifice. În respectivele rapoarte se ține seama de următoarele:</w:t>
      </w:r>
    </w:p>
    <w:p w14:paraId="693459E9" w14:textId="77777777" w:rsidR="00647D0C" w:rsidRPr="00A61195" w:rsidRDefault="00647D0C" w:rsidP="00A61195">
      <w:pPr>
        <w:pStyle w:val="Point2"/>
      </w:pPr>
      <w:r w:rsidRPr="00A61195">
        <w:t>(a)</w:t>
      </w:r>
      <w:r w:rsidRPr="00A61195">
        <w:tab/>
        <w:t>avizul Comitetului pentru evaluarea riscurilor (CER) și al Comitetului pentru analiză socioeconomică (CASE) din cadrul ECHA;</w:t>
      </w:r>
    </w:p>
    <w:p w14:paraId="186A30DD" w14:textId="77777777" w:rsidR="00647D0C" w:rsidRPr="00A61195" w:rsidRDefault="00647D0C" w:rsidP="00A61195">
      <w:pPr>
        <w:pStyle w:val="Point2"/>
      </w:pPr>
      <w:r w:rsidRPr="00A61195">
        <w:t>(b)</w:t>
      </w:r>
      <w:r w:rsidRPr="00A61195">
        <w:tab/>
        <w:t>rezultatele programelor de monitorizare elaborate în conformitate cu articolul 8 din Directiva 2000/60/CE;</w:t>
      </w:r>
    </w:p>
    <w:p w14:paraId="3CE1535F" w14:textId="77777777" w:rsidR="00647D0C" w:rsidRPr="00A61195" w:rsidRDefault="00647D0C" w:rsidP="00A61195">
      <w:pPr>
        <w:pStyle w:val="Point2"/>
      </w:pPr>
      <w:r w:rsidRPr="00A61195">
        <w:t>(c)</w:t>
      </w:r>
      <w:r w:rsidRPr="00A61195">
        <w:tab/>
        <w:t>revizuirea rezultatelor monitorizării în conformitate cu articolul 6a alineatul (8) din prezenta directivă;</w:t>
      </w:r>
    </w:p>
    <w:p w14:paraId="2B48291F" w14:textId="77777777" w:rsidR="00647D0C" w:rsidRPr="00A61195" w:rsidRDefault="00647D0C" w:rsidP="00A61195">
      <w:pPr>
        <w:pStyle w:val="Point2"/>
      </w:pPr>
      <w:r w:rsidRPr="00A61195">
        <w:t>(d)</w:t>
      </w:r>
      <w:r w:rsidRPr="00A61195">
        <w:tab/>
        <w:t>rezultatul revizuirilor anexelor la Directiva 2008/105/CE și la Directiva (UE) 2020/2184;</w:t>
      </w:r>
    </w:p>
    <w:p w14:paraId="60BA7C0F" w14:textId="77777777" w:rsidR="00647D0C" w:rsidRPr="00A61195" w:rsidRDefault="00647D0C" w:rsidP="00A61195">
      <w:pPr>
        <w:pStyle w:val="Point2"/>
      </w:pPr>
      <w:r w:rsidRPr="00A61195">
        <w:t>(e)</w:t>
      </w:r>
      <w:r w:rsidRPr="00A61195">
        <w:tab/>
        <w:t>informații și cerințe privind combaterea poluării solului;</w:t>
      </w:r>
    </w:p>
    <w:p w14:paraId="6D36279C" w14:textId="77777777" w:rsidR="00647D0C" w:rsidRPr="00A61195" w:rsidRDefault="00647D0C" w:rsidP="00A61195">
      <w:pPr>
        <w:pStyle w:val="Point2"/>
      </w:pPr>
      <w:r w:rsidRPr="00A61195">
        <w:t>(f)</w:t>
      </w:r>
      <w:r w:rsidRPr="00A61195">
        <w:tab/>
        <w:t xml:space="preserve">programele de cercetare și publicațiile științifice ale Uniunii, inclusiv cele mai recente informații disponibile furnizate de tehnologiile de teledetecție, de observarea Pământului, cum ar fi serviciile </w:t>
      </w:r>
      <w:proofErr w:type="spellStart"/>
      <w:r w:rsidRPr="00A61195">
        <w:t>Copernicus</w:t>
      </w:r>
      <w:proofErr w:type="spellEnd"/>
      <w:r w:rsidRPr="00A61195">
        <w:t xml:space="preserve">, de senzori și dispozitive </w:t>
      </w:r>
      <w:r w:rsidRPr="00A61195">
        <w:rPr>
          <w:i/>
          <w:iCs/>
        </w:rPr>
        <w:t xml:space="preserve">in </w:t>
      </w:r>
      <w:proofErr w:type="spellStart"/>
      <w:r w:rsidRPr="00A61195">
        <w:rPr>
          <w:i/>
          <w:iCs/>
        </w:rPr>
        <w:t>situ</w:t>
      </w:r>
      <w:proofErr w:type="spellEnd"/>
      <w:r w:rsidRPr="00A61195">
        <w:t xml:space="preserve"> și de date științifice cetățenești, valorificând oportunitățile oferite de noile tehnologii, care ar putea include inteligența artificială și analiza și prelucrarea avansată a datelor;</w:t>
      </w:r>
    </w:p>
    <w:p w14:paraId="09935116" w14:textId="77777777" w:rsidR="00647D0C" w:rsidRPr="00A61195" w:rsidRDefault="00647D0C">
      <w:pPr>
        <w:spacing w:before="0" w:after="160" w:line="259" w:lineRule="auto"/>
      </w:pPr>
      <w:r w:rsidRPr="00A61195">
        <w:br w:type="page"/>
      </w:r>
    </w:p>
    <w:p w14:paraId="519A758B" w14:textId="637B3B00" w:rsidR="00647D0C" w:rsidRPr="00A61195" w:rsidRDefault="00647D0C" w:rsidP="00A61195">
      <w:pPr>
        <w:pStyle w:val="Point2"/>
      </w:pPr>
      <w:r w:rsidRPr="00A61195">
        <w:lastRenderedPageBreak/>
        <w:t>(g)</w:t>
      </w:r>
      <w:r w:rsidRPr="00A61195">
        <w:tab/>
        <w:t>observațiile și informațiile provenite de la părțile interesate relevante, inclusiv de la autoritățile naționale de reglementare și de la alte organisme competente;</w:t>
      </w:r>
    </w:p>
    <w:p w14:paraId="2D9C48AA" w14:textId="77777777" w:rsidR="00647D0C" w:rsidRPr="00A61195" w:rsidRDefault="00647D0C" w:rsidP="00A61195">
      <w:pPr>
        <w:pStyle w:val="Point2"/>
      </w:pPr>
      <w:r w:rsidRPr="00A61195">
        <w:t>(h)</w:t>
      </w:r>
      <w:r w:rsidRPr="00A61195">
        <w:tab/>
        <w:t>recomandările grupurilor de lucru instituite în cadrul Strategiei comune de punere în aplicare a Directivei 2000/60/CE.</w:t>
      </w:r>
    </w:p>
    <w:p w14:paraId="0C8A0472" w14:textId="5934A49A" w:rsidR="00647D0C" w:rsidRPr="00A61195" w:rsidRDefault="00647D0C" w:rsidP="00A61195">
      <w:pPr>
        <w:pStyle w:val="Text2"/>
      </w:pPr>
      <w:r w:rsidRPr="00A61195">
        <w:t>Rapoartele științifice menționate la primul paragraf includ propuneri de standarde de calitate sau valori prag pentru respectivii poluanți sau indicatori ai poluării, precum și o metodă analitică adecvată.</w:t>
      </w:r>
    </w:p>
    <w:p w14:paraId="25D93CD1" w14:textId="77777777" w:rsidR="00647D0C" w:rsidRPr="00A61195" w:rsidRDefault="00647D0C" w:rsidP="00A61195">
      <w:pPr>
        <w:pStyle w:val="Point1"/>
      </w:pPr>
      <w:r w:rsidRPr="00A61195">
        <w:t>(7)</w:t>
      </w:r>
      <w:r w:rsidRPr="00A61195">
        <w:tab/>
        <w:t>O dată la șase ani, ECHA redactează și pune la dispoziția publicului un raport în care sintetizează constatările din rapoartele științifice întocmite în temeiul alineatului (6). Primul raport se transmite Comisiei până la … [</w:t>
      </w:r>
      <w:r w:rsidRPr="00A61195">
        <w:rPr>
          <w:i/>
          <w:iCs/>
        </w:rPr>
        <w:t>patru ani de la data intrării în vigoare a prezentei directive de modificare</w:t>
      </w:r>
      <w:r w:rsidRPr="00A61195">
        <w:t>].</w:t>
      </w:r>
    </w:p>
    <w:p w14:paraId="19FEE8A2" w14:textId="77777777" w:rsidR="00647D0C" w:rsidRPr="00A61195" w:rsidRDefault="00647D0C" w:rsidP="00A61195">
      <w:pPr>
        <w:spacing w:before="0" w:after="160" w:line="259" w:lineRule="auto"/>
      </w:pPr>
      <w:r w:rsidRPr="00A61195">
        <w:br w:type="page"/>
      </w:r>
    </w:p>
    <w:p w14:paraId="632F45FF" w14:textId="4C6B1082" w:rsidR="00647D0C" w:rsidRPr="00A61195" w:rsidRDefault="00647D0C" w:rsidP="00A61195">
      <w:pPr>
        <w:pStyle w:val="Point1"/>
      </w:pPr>
      <w:r w:rsidRPr="00A61195">
        <w:lastRenderedPageBreak/>
        <w:t>(8)</w:t>
      </w:r>
      <w:r w:rsidRPr="00A61195">
        <w:tab/>
        <w:t xml:space="preserve">Atunci când efectuează următoarea revizuire menționată la alineatul (1) de la prezentul articol, Comisia ia în considerare posibilitatea stabilirii unui standard de calitate pentru PFAS total în apele subterane și urmărește să completeze orientările privind monitorizarea PFAS total în apa potabilă, elaborate în conformitate cu articolul 13 alineatul (7) din Directiva (UE) 2020/2184, pentru ca acestea să poată fi aplicate în ceea ce privește monitorizarea PFAS total în apele subterane. Statele membre sunt încurajate să aplice deja respectivele orientări pentru a monitoriza PFAS total în apele subterane și să raporteze datele în conformitate cu articolul 8 alineatul (4) din Directiva 2000/60/CE. Având în vedere toxicitatea, persistența și prevalența acidului </w:t>
      </w:r>
      <w:proofErr w:type="spellStart"/>
      <w:r w:rsidRPr="00A61195">
        <w:t>trifluoroacetic</w:t>
      </w:r>
      <w:proofErr w:type="spellEnd"/>
      <w:r w:rsidRPr="00A61195">
        <w:t xml:space="preserve"> (TFA) în mediu, Comisia ia în considerare, cu ocazia următoarei revizuiri, și posibilitatea stabilirii unui standard de calitate pentru TFA separat, sau ca parte a unei sume, în anexa I la prezenta directivă.</w:t>
      </w:r>
    </w:p>
    <w:p w14:paraId="560DE978" w14:textId="71CF1D72" w:rsidR="00647D0C" w:rsidRPr="00A61195" w:rsidRDefault="00647D0C" w:rsidP="00A61195">
      <w:pPr>
        <w:pStyle w:val="Point1"/>
      </w:pPr>
      <w:r w:rsidRPr="00A61195">
        <w:t>(9)</w:t>
      </w:r>
      <w:r w:rsidRPr="00A61195">
        <w:tab/>
        <w:t xml:space="preserve">Atunci când efectuează următoarea revizuire menționată la alineatul (1), Comisia, analizează oportunitatea stabilirii unor standarde de calitate pentru suma (sumele) anumitor produse farmaceutice selectate în funcție de modul de acțiune și pentru suma </w:t>
      </w:r>
      <w:proofErr w:type="spellStart"/>
      <w:r w:rsidRPr="00A61195">
        <w:t>bisfenolilor</w:t>
      </w:r>
      <w:proofErr w:type="spellEnd"/>
      <w:r w:rsidRPr="00A61195">
        <w:t xml:space="preserve">; din acest motiv, în anexa V la Directiva 2006/118/CE figurează </w:t>
      </w:r>
      <w:r w:rsidR="00D3772B">
        <w:t>«</w:t>
      </w:r>
      <w:r w:rsidRPr="00A61195">
        <w:t>suma (sumele) anumitor produse farmaceutice selectate în funcție de modul de acțiune</w:t>
      </w:r>
      <w:r w:rsidR="00D3772B">
        <w:t>»</w:t>
      </w:r>
      <w:r w:rsidRPr="00A61195">
        <w:t xml:space="preserve"> și </w:t>
      </w:r>
      <w:r w:rsidR="00D3772B">
        <w:t>«</w:t>
      </w:r>
      <w:r w:rsidRPr="00A61195">
        <w:t xml:space="preserve">suma </w:t>
      </w:r>
      <w:proofErr w:type="spellStart"/>
      <w:r w:rsidRPr="00A61195">
        <w:t>bisfenolilor</w:t>
      </w:r>
      <w:proofErr w:type="spellEnd"/>
      <w:r w:rsidR="00D3772B">
        <w:t>»</w:t>
      </w:r>
      <w:r w:rsidRPr="00A61195">
        <w:t xml:space="preserve">. Comisia analizează, de asemenea, dacă ar putea fi adoptată o abordare bazată pe riscuri în ceea ce privește stabilirea unor standarde de calitate pentru totalul produselor farmaceutice și pentru totalul </w:t>
      </w:r>
      <w:proofErr w:type="spellStart"/>
      <w:r w:rsidRPr="00A61195">
        <w:t>bisfenolilor</w:t>
      </w:r>
      <w:proofErr w:type="spellEnd"/>
      <w:r w:rsidRPr="00A61195">
        <w:t xml:space="preserve"> din apele subterane, susținute de metode de monitorizare adecvate.</w:t>
      </w:r>
    </w:p>
    <w:p w14:paraId="04E9F8A9" w14:textId="77777777" w:rsidR="00647D0C" w:rsidRPr="00A61195" w:rsidRDefault="00647D0C">
      <w:pPr>
        <w:spacing w:before="0" w:after="160" w:line="259" w:lineRule="auto"/>
      </w:pPr>
      <w:r w:rsidRPr="00A61195">
        <w:br w:type="page"/>
      </w:r>
    </w:p>
    <w:p w14:paraId="6EC2812C" w14:textId="739A638C" w:rsidR="00647D0C" w:rsidRPr="00A61195" w:rsidRDefault="00647D0C" w:rsidP="00A61195">
      <w:pPr>
        <w:pStyle w:val="Point1"/>
      </w:pPr>
      <w:r w:rsidRPr="00A61195">
        <w:lastRenderedPageBreak/>
        <w:t>(10)</w:t>
      </w:r>
      <w:r w:rsidRPr="00A61195">
        <w:tab/>
        <w:t>Atunci când efectuează următoarea revizuire menționată la alineatul (1), Comisia analizează oportunitatea revizuirii standardelor de calitate din anexa I pentru pesticidele individuale,</w:t>
      </w:r>
      <w:bookmarkStart w:id="10" w:name="DQCErrorScope4D0D3554AAD82F6A4C5BF27E5C8"/>
      <w:r w:rsidRPr="00A61195">
        <w:t xml:space="preserve"> </w:t>
      </w:r>
      <w:bookmarkEnd w:id="10"/>
      <w:r w:rsidRPr="00A61195">
        <w:t>totalul pesticidelor și metaboliții nerelevanți din apele subterane.”</w:t>
      </w:r>
    </w:p>
    <w:p w14:paraId="297CDB30" w14:textId="77777777" w:rsidR="00647D0C" w:rsidRPr="00A61195" w:rsidRDefault="00647D0C" w:rsidP="00A61195">
      <w:pPr>
        <w:pStyle w:val="Point0"/>
      </w:pPr>
      <w:r w:rsidRPr="00A61195">
        <w:t>8.</w:t>
      </w:r>
      <w:r w:rsidRPr="00A61195">
        <w:tab/>
        <w:t>Se introduce următorul articol:</w:t>
      </w:r>
    </w:p>
    <w:p w14:paraId="35F18A05" w14:textId="77777777" w:rsidR="00647D0C" w:rsidRPr="00A61195" w:rsidRDefault="00647D0C" w:rsidP="00A61195">
      <w:pPr>
        <w:pStyle w:val="Text1"/>
        <w:rPr>
          <w:iCs/>
        </w:rPr>
      </w:pPr>
      <w:r w:rsidRPr="00A61195">
        <w:t>„</w:t>
      </w:r>
      <w:r w:rsidRPr="00D3772B">
        <w:rPr>
          <w:i/>
          <w:iCs/>
        </w:rPr>
        <w:t xml:space="preserve">Articolul 8a </w:t>
      </w:r>
      <w:r w:rsidRPr="00D3772B">
        <w:rPr>
          <w:i/>
          <w:iCs/>
        </w:rPr>
        <w:br/>
        <w:t>Exercitarea delegării de competențe</w:t>
      </w:r>
    </w:p>
    <w:p w14:paraId="0E48A388" w14:textId="77777777" w:rsidR="00647D0C" w:rsidRPr="00A61195" w:rsidRDefault="00647D0C" w:rsidP="00A61195">
      <w:pPr>
        <w:pStyle w:val="Point1"/>
      </w:pPr>
      <w:r w:rsidRPr="00A61195">
        <w:t>(1)</w:t>
      </w:r>
      <w:r w:rsidRPr="00A61195">
        <w:tab/>
        <w:t>Competența de a adopta acte delegate este conferită Comisiei în condițiile stabilite la prezentul articol.</w:t>
      </w:r>
    </w:p>
    <w:p w14:paraId="13B65759" w14:textId="6B53F35B" w:rsidR="00647D0C" w:rsidRPr="00A61195" w:rsidRDefault="00647D0C" w:rsidP="00A61195">
      <w:pPr>
        <w:pStyle w:val="Point1"/>
      </w:pPr>
      <w:r w:rsidRPr="00A61195">
        <w:t>(2)</w:t>
      </w:r>
      <w:r w:rsidRPr="00A61195">
        <w:tab/>
        <w:t>Competența de a adopta acte delegate menționată la articolul 8 alineatul (5) se conferă Comisiei pe o perioadă de șase ani de la … [</w:t>
      </w:r>
      <w:r w:rsidRPr="00A61195">
        <w:rPr>
          <w:i/>
          <w:iCs/>
        </w:rPr>
        <w:t>data intrării în vigoare a prezentei directive de modificare</w:t>
      </w:r>
      <w:r w:rsidRPr="00A61195">
        <w:t>]. Comisia elaborează un raport privind delegarea de competențe cu cel puțin nouă luni înainte de încheierea perioadei de șase ani. Delegarea de competențe se prelungește tacit cu perioade de timp identice, cu excepția cazului în care Parlamentul European sau Consiliul se opune prelungirii respective cu cel puțin trei luni înainte de încheierea fiecărei perioade.</w:t>
      </w:r>
    </w:p>
    <w:p w14:paraId="5541BAFC" w14:textId="77777777" w:rsidR="00647D0C" w:rsidRPr="00A61195" w:rsidRDefault="00647D0C" w:rsidP="00647D0C">
      <w:pPr>
        <w:spacing w:before="0" w:after="160" w:line="259" w:lineRule="auto"/>
      </w:pPr>
      <w:r w:rsidRPr="00A61195">
        <w:br w:type="page"/>
      </w:r>
    </w:p>
    <w:p w14:paraId="55AF4497" w14:textId="77777777" w:rsidR="00647D0C" w:rsidRPr="00A61195" w:rsidRDefault="00647D0C" w:rsidP="00A61195">
      <w:pPr>
        <w:pStyle w:val="Point1"/>
      </w:pPr>
      <w:r w:rsidRPr="00A61195">
        <w:lastRenderedPageBreak/>
        <w:t>(3)</w:t>
      </w:r>
      <w:r w:rsidRPr="00A61195">
        <w:tab/>
        <w:t xml:space="preserve">Delegarea de competențe menționată la articolul 8 alineatul (5) poate fi revocată oricând de Parlamentul European sau de Consiliu. O decizie de revocare pune capăt delegării de competențe specificate în decizia respectivă. Decizia produce efecte din ziua care urmează datei publicării acesteia în </w:t>
      </w:r>
      <w:r w:rsidRPr="00A61195">
        <w:rPr>
          <w:i/>
        </w:rPr>
        <w:t>Jurnalul Oficial al Uniunii Europene</w:t>
      </w:r>
      <w:r w:rsidRPr="00A61195">
        <w:t xml:space="preserve"> sau de la o dată ulterioară menționată în decizie. Decizia nu aduce atingere actelor delegate care sunt deja în vigoare.</w:t>
      </w:r>
    </w:p>
    <w:p w14:paraId="3FE7360A" w14:textId="77777777" w:rsidR="00647D0C" w:rsidRPr="00A61195" w:rsidRDefault="00647D0C" w:rsidP="00A61195">
      <w:pPr>
        <w:pStyle w:val="Point1"/>
      </w:pPr>
      <w:r w:rsidRPr="00A61195">
        <w:t>(4)</w:t>
      </w:r>
      <w:r w:rsidRPr="00A61195">
        <w:tab/>
        <w:t>Înainte de adoptarea unui act delegat, Comisia consultă experții desemnați de fiecare stat membru în conformitate cu principiile prevăzute în Acordul interinstituțional din 13 aprilie 2016 privind o mai bună legiferare.</w:t>
      </w:r>
    </w:p>
    <w:p w14:paraId="2410E7AA" w14:textId="77777777" w:rsidR="00647D0C" w:rsidRPr="00A61195" w:rsidRDefault="00647D0C" w:rsidP="00A61195">
      <w:pPr>
        <w:pStyle w:val="Point1"/>
      </w:pPr>
      <w:r w:rsidRPr="00A61195">
        <w:t>(5)</w:t>
      </w:r>
      <w:r w:rsidRPr="00A61195">
        <w:tab/>
        <w:t>De îndată ce adoptă un act delegat, Comisia îl notifică simultan Parlamentului European și Consiliului.</w:t>
      </w:r>
    </w:p>
    <w:p w14:paraId="4A18E8F3" w14:textId="77777777" w:rsidR="00647D0C" w:rsidRPr="00A61195" w:rsidRDefault="00647D0C" w:rsidP="00A61195">
      <w:pPr>
        <w:pStyle w:val="Point1"/>
      </w:pPr>
      <w:r w:rsidRPr="00A61195">
        <w:t>(6)</w:t>
      </w:r>
      <w:r w:rsidRPr="00A61195">
        <w:tab/>
        <w:t>Un act delegat adoptat în temeiul articolului 8 alineatul (5)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14:paraId="3B60B1B0" w14:textId="77777777" w:rsidR="00647D0C" w:rsidRPr="00A61195" w:rsidRDefault="00647D0C">
      <w:pPr>
        <w:spacing w:before="0" w:after="160" w:line="259" w:lineRule="auto"/>
      </w:pPr>
      <w:r w:rsidRPr="00A61195">
        <w:br w:type="page"/>
      </w:r>
    </w:p>
    <w:p w14:paraId="38AD7E2E" w14:textId="1EF5162E" w:rsidR="00647D0C" w:rsidRPr="00A61195" w:rsidRDefault="00647D0C" w:rsidP="00A61195">
      <w:pPr>
        <w:pStyle w:val="Point0"/>
      </w:pPr>
      <w:r w:rsidRPr="00A61195">
        <w:lastRenderedPageBreak/>
        <w:t>9.</w:t>
      </w:r>
      <w:r w:rsidRPr="00A61195">
        <w:tab/>
        <w:t>Articolul 9 se înlocuiește cu următorul text:</w:t>
      </w:r>
    </w:p>
    <w:p w14:paraId="72CE849F" w14:textId="77777777" w:rsidR="00647D0C" w:rsidRPr="00A61195" w:rsidRDefault="00647D0C" w:rsidP="00A61195">
      <w:pPr>
        <w:pStyle w:val="Text1"/>
      </w:pPr>
      <w:r w:rsidRPr="00A61195">
        <w:t>„</w:t>
      </w:r>
      <w:r w:rsidRPr="00D3772B">
        <w:rPr>
          <w:i/>
          <w:iCs/>
        </w:rPr>
        <w:t xml:space="preserve">Articolul 9 </w:t>
      </w:r>
      <w:r w:rsidRPr="00D3772B">
        <w:rPr>
          <w:i/>
          <w:iCs/>
        </w:rPr>
        <w:br/>
        <w:t>Procedura comitetului</w:t>
      </w:r>
    </w:p>
    <w:p w14:paraId="77C2C6C3" w14:textId="77777777" w:rsidR="00647D0C" w:rsidRPr="00A61195" w:rsidRDefault="00647D0C" w:rsidP="00A61195">
      <w:pPr>
        <w:pStyle w:val="Point1"/>
      </w:pPr>
      <w:r w:rsidRPr="00A61195">
        <w:t>(1)</w:t>
      </w:r>
      <w:r w:rsidRPr="00A61195">
        <w:tab/>
        <w:t>Comisia este asistată de un comitet. Respectivul comitet reprezintă un comitet în înțelesul Regulamentului (UE) nr. 182/2011 al Parlamentului European și al Consiliului</w:t>
      </w:r>
      <w:r w:rsidRPr="00A61195">
        <w:rPr>
          <w:b/>
          <w:vertAlign w:val="superscript"/>
        </w:rPr>
        <w:t>*</w:t>
      </w:r>
      <w:r w:rsidRPr="00A61195">
        <w:t>.</w:t>
      </w:r>
    </w:p>
    <w:p w14:paraId="0650228D" w14:textId="77777777" w:rsidR="00647D0C" w:rsidRPr="00A61195" w:rsidRDefault="00647D0C" w:rsidP="00A61195">
      <w:pPr>
        <w:pStyle w:val="Point1"/>
      </w:pPr>
      <w:r w:rsidRPr="00A61195">
        <w:t>(2)</w:t>
      </w:r>
      <w:r w:rsidRPr="00A61195">
        <w:tab/>
        <w:t>În cazul în care se face trimitere la prezentul alineat, se aplică articolul 5 din Regulamentul (UE) nr. 182/2011.</w:t>
      </w:r>
    </w:p>
    <w:p w14:paraId="4B4A2A81" w14:textId="77777777" w:rsidR="00647D0C" w:rsidRPr="00A61195" w:rsidRDefault="00647D0C" w:rsidP="00A61195">
      <w:pPr>
        <w:pStyle w:val="Text2"/>
      </w:pPr>
      <w:r w:rsidRPr="00A61195">
        <w:t>În cazul în care comitetul nu emite un aviz, Comisia nu adoptă proiectul de act de punere în aplicare și se aplică articolul 5 alineatul (4) al treilea paragraf din Regulamentul (UE) nr. 182/2011.</w:t>
      </w:r>
    </w:p>
    <w:p w14:paraId="774D61F0" w14:textId="77777777" w:rsidR="00647D0C" w:rsidRPr="00A61195" w:rsidRDefault="00647D0C" w:rsidP="00A61195">
      <w:pPr>
        <w:pStyle w:val="Text1"/>
      </w:pPr>
      <w:r w:rsidRPr="00A61195">
        <w:t>_________________</w:t>
      </w:r>
    </w:p>
    <w:p w14:paraId="6EB3348A" w14:textId="4FDE4BAF" w:rsidR="00647D0C" w:rsidRPr="00A61195" w:rsidRDefault="00647D0C" w:rsidP="00A61195">
      <w:pPr>
        <w:pStyle w:val="Point1"/>
        <w:spacing w:before="0" w:line="240" w:lineRule="auto"/>
        <w:ind w:left="1418"/>
      </w:pPr>
      <w:r w:rsidRPr="00A61195">
        <w:rPr>
          <w:b/>
          <w:vertAlign w:val="superscript"/>
        </w:rPr>
        <w:t>*</w:t>
      </w:r>
      <w:r w:rsidRPr="00A61195">
        <w:tab/>
        <w:t>Regulamentul (UE) nr. 182/2011 al Parlamentului European și al Consiliului din</w:t>
      </w:r>
      <w:r w:rsidR="00D3772B">
        <w:t> </w:t>
      </w:r>
      <w:r w:rsidRPr="00A61195">
        <w:t>16 februarie 2011 de stabilire a normelor și principiilor generale privind mecanismele de control de către statele membre al exercitării competențelor de executare de către Comisie (JO L 55, 28.2.2011, p. 13, ELI: </w:t>
      </w:r>
      <w:hyperlink r:id="rId48" w:history="1">
        <w:r w:rsidRPr="00275CA3">
          <w:rPr>
            <w:rStyle w:val="Hyperlink"/>
          </w:rPr>
          <w:t>http://data.europa.eu/eli/reg/2011/182/oj</w:t>
        </w:r>
      </w:hyperlink>
      <w:r w:rsidRPr="00A61195">
        <w:t>).”</w:t>
      </w:r>
    </w:p>
    <w:p w14:paraId="6BF371D0" w14:textId="77777777" w:rsidR="00647D0C" w:rsidRPr="00A61195" w:rsidRDefault="00647D0C" w:rsidP="00647D0C">
      <w:r w:rsidRPr="00A61195">
        <w:br w:type="page"/>
      </w:r>
    </w:p>
    <w:p w14:paraId="7562371D" w14:textId="77777777" w:rsidR="00647D0C" w:rsidRPr="00A61195" w:rsidRDefault="00647D0C" w:rsidP="00A61195">
      <w:pPr>
        <w:pStyle w:val="Point0"/>
      </w:pPr>
      <w:r w:rsidRPr="00A61195">
        <w:lastRenderedPageBreak/>
        <w:t>10.</w:t>
      </w:r>
      <w:r w:rsidRPr="00A61195">
        <w:tab/>
        <w:t>Articolul 10 se elimină.</w:t>
      </w:r>
    </w:p>
    <w:p w14:paraId="53E94BCB" w14:textId="77777777" w:rsidR="00647D0C" w:rsidRPr="00A61195" w:rsidRDefault="00647D0C" w:rsidP="00A61195">
      <w:pPr>
        <w:pStyle w:val="Point0"/>
      </w:pPr>
      <w:r w:rsidRPr="00A61195">
        <w:t>11.</w:t>
      </w:r>
      <w:r w:rsidRPr="00A61195">
        <w:tab/>
        <w:t>Anexa I se înlocuiește cu textul care figurează în anexa III la prezenta directivă.</w:t>
      </w:r>
    </w:p>
    <w:p w14:paraId="380D991E" w14:textId="77777777" w:rsidR="00647D0C" w:rsidRPr="00A61195" w:rsidRDefault="00647D0C" w:rsidP="00A61195">
      <w:pPr>
        <w:pStyle w:val="Point0"/>
      </w:pPr>
      <w:r w:rsidRPr="00A61195">
        <w:t>12.</w:t>
      </w:r>
      <w:r w:rsidRPr="00A61195">
        <w:tab/>
        <w:t>Anexa II se modifică în conformitate cu anexa IV la prezenta directivă.</w:t>
      </w:r>
    </w:p>
    <w:p w14:paraId="7CB7DCBA" w14:textId="77777777" w:rsidR="00647D0C" w:rsidRPr="00A61195" w:rsidRDefault="00647D0C" w:rsidP="00A61195">
      <w:pPr>
        <w:pStyle w:val="Point0"/>
      </w:pPr>
      <w:r w:rsidRPr="00A61195">
        <w:t>13.</w:t>
      </w:r>
      <w:r w:rsidRPr="00A61195">
        <w:tab/>
        <w:t>La punctul 2 din anexa III, litera (c) se înlocuiește cu următorul text:</w:t>
      </w:r>
    </w:p>
    <w:p w14:paraId="349BBAB1" w14:textId="0EABD4AF" w:rsidR="00647D0C" w:rsidRPr="00A61195" w:rsidRDefault="00647D0C" w:rsidP="00A61195">
      <w:pPr>
        <w:pStyle w:val="Point1"/>
      </w:pPr>
      <w:r w:rsidRPr="00A61195">
        <w:t>„(c)</w:t>
      </w:r>
      <w:r w:rsidRPr="00A61195">
        <w:tab/>
        <w:t>orice alte informații relevante, inclusiv o comparație a mediei aritmetice anuale a concentrației poluanților relevanți într-un punct de control cu standardele de calitate a apelor subterane stabilite în anexa I și cu valorile prag menționate la articolul 3 alineatul (1) literele (b) și (c).”</w:t>
      </w:r>
    </w:p>
    <w:p w14:paraId="599F4A22" w14:textId="77777777" w:rsidR="00647D0C" w:rsidRPr="00A61195" w:rsidRDefault="00647D0C" w:rsidP="00A61195">
      <w:pPr>
        <w:pStyle w:val="Point0"/>
      </w:pPr>
      <w:r w:rsidRPr="00A61195">
        <w:t>14.</w:t>
      </w:r>
      <w:r w:rsidRPr="00A61195">
        <w:tab/>
        <w:t>În partea B punctul 1 din anexa IV, textul introductiv se înlocuiește cu următorul text:</w:t>
      </w:r>
    </w:p>
    <w:p w14:paraId="4EEBE220" w14:textId="710B0354" w:rsidR="00647D0C" w:rsidRPr="00A61195" w:rsidRDefault="00647D0C" w:rsidP="00A61195">
      <w:pPr>
        <w:pStyle w:val="Point1"/>
      </w:pPr>
      <w:r w:rsidRPr="00A61195">
        <w:t>„1.</w:t>
      </w:r>
      <w:r w:rsidRPr="00A61195">
        <w:tab/>
        <w:t>nivelul de bază pentru punerea în aplicare a măsurilor menite să inverseze tendințele ascendente semnificative și durabile corespunde unei concentrații a poluantului care echivalează cu 75 % din valorile parametrilor referitori la standardele de calitate a apelor subterane stabilite în anexa I și din valorile prag menționate la articolul 3 alineatul (1) literele (b) și (c), cu excepția cazului în care:”.</w:t>
      </w:r>
    </w:p>
    <w:p w14:paraId="4A4ED56B" w14:textId="77777777" w:rsidR="00647D0C" w:rsidRPr="00A61195" w:rsidRDefault="00647D0C" w:rsidP="00A61195">
      <w:pPr>
        <w:pStyle w:val="Point0"/>
      </w:pPr>
      <w:r w:rsidRPr="00A61195">
        <w:t>15.</w:t>
      </w:r>
      <w:r w:rsidRPr="00A61195">
        <w:tab/>
        <w:t>Textul care figurează în anexa V la prezenta directivă se adaugă ca anexa V.</w:t>
      </w:r>
    </w:p>
    <w:p w14:paraId="4D5E4402" w14:textId="77777777" w:rsidR="00647D0C" w:rsidRPr="00A61195" w:rsidRDefault="00647D0C" w:rsidP="00647D0C">
      <w:pPr>
        <w:rPr>
          <w:i/>
        </w:rPr>
      </w:pPr>
      <w:r w:rsidRPr="00A61195">
        <w:br w:type="page"/>
      </w:r>
    </w:p>
    <w:p w14:paraId="3463EE46" w14:textId="062F4A13" w:rsidR="00647D0C" w:rsidRPr="00A61195" w:rsidRDefault="00647D0C" w:rsidP="00A61195">
      <w:pPr>
        <w:pStyle w:val="Titrearticle"/>
        <w:rPr>
          <w:iCs/>
        </w:rPr>
      </w:pPr>
      <w:r w:rsidRPr="00A61195">
        <w:lastRenderedPageBreak/>
        <w:t xml:space="preserve">Articolul 3 </w:t>
      </w:r>
      <w:r w:rsidRPr="00A61195">
        <w:br/>
        <w:t>Modificarea Directivei 2008/105/CE</w:t>
      </w:r>
    </w:p>
    <w:p w14:paraId="78B8BC55" w14:textId="77777777" w:rsidR="00647D0C" w:rsidRPr="00A61195" w:rsidRDefault="00647D0C" w:rsidP="00647D0C">
      <w:r w:rsidRPr="00A61195">
        <w:t>Directiva 2008/105/CE se modifică după cum urmează:</w:t>
      </w:r>
    </w:p>
    <w:p w14:paraId="621DFEF7" w14:textId="77777777" w:rsidR="00647D0C" w:rsidRPr="00A61195" w:rsidRDefault="00647D0C" w:rsidP="00A61195">
      <w:pPr>
        <w:pStyle w:val="Point0"/>
      </w:pPr>
      <w:r w:rsidRPr="00A61195">
        <w:t>1.</w:t>
      </w:r>
      <w:r w:rsidRPr="00A61195">
        <w:tab/>
        <w:t>Titlul se înlocuiește cu următorul text:</w:t>
      </w:r>
    </w:p>
    <w:p w14:paraId="33CB2DC3" w14:textId="77777777" w:rsidR="00647D0C" w:rsidRPr="00A61195" w:rsidRDefault="00647D0C" w:rsidP="00A61195">
      <w:pPr>
        <w:pStyle w:val="Text1"/>
      </w:pPr>
      <w:r w:rsidRPr="00A61195">
        <w:t>„Directiva 2008/105/CE a Parlamentului European și a Consiliului din 16 decembrie 2008 privind standardele de calitate a mediului și privind prevenirea și controlul poluării apelor de suprafață, de modificare și, ulterior, de abrogare a Directivelor 82/176/CEE, 83/513/CEE, 84/156/CEE, 84/491/CEE, 86/280/CEE ale Consiliului și de modificare a Directivei 2000/60/CE a Parlamentului European și a Consiliului”.</w:t>
      </w:r>
    </w:p>
    <w:p w14:paraId="72EC85A2" w14:textId="77777777" w:rsidR="00647D0C" w:rsidRPr="00A61195" w:rsidRDefault="00647D0C" w:rsidP="00A61195">
      <w:pPr>
        <w:pStyle w:val="Point0"/>
      </w:pPr>
      <w:r w:rsidRPr="00A61195">
        <w:t>2.</w:t>
      </w:r>
      <w:r w:rsidRPr="00A61195">
        <w:tab/>
        <w:t>La articolul 2 se adaugă următorul punct:</w:t>
      </w:r>
    </w:p>
    <w:p w14:paraId="76CF9906" w14:textId="39690F9E" w:rsidR="00647D0C" w:rsidRPr="00A61195" w:rsidRDefault="00647D0C" w:rsidP="00A61195">
      <w:pPr>
        <w:pStyle w:val="Point1"/>
      </w:pPr>
      <w:r w:rsidRPr="00A61195">
        <w:t>„3.</w:t>
      </w:r>
      <w:r w:rsidRPr="00A61195">
        <w:tab/>
        <w:t>«indicator al poluării» înseamnă un parametru care poate fi monitorizat în vederea obținerii unei valori reprezentative pentru nivelul sau concentrația unui poluant sau a unui grup de poluanți și, prin urmare, pentru riscul prezentat de aceștia.”</w:t>
      </w:r>
    </w:p>
    <w:p w14:paraId="152E8114" w14:textId="77777777" w:rsidR="00647D0C" w:rsidRPr="00A61195" w:rsidRDefault="00647D0C" w:rsidP="00647D0C">
      <w:pPr>
        <w:spacing w:before="0" w:after="160" w:line="259" w:lineRule="auto"/>
      </w:pPr>
      <w:r w:rsidRPr="00A61195">
        <w:br w:type="page"/>
      </w:r>
    </w:p>
    <w:p w14:paraId="341AA685" w14:textId="0E88F6F2" w:rsidR="00647D0C" w:rsidRPr="00A61195" w:rsidRDefault="00647D0C" w:rsidP="00A61195">
      <w:pPr>
        <w:pStyle w:val="Point0"/>
      </w:pPr>
      <w:r w:rsidRPr="00A61195">
        <w:lastRenderedPageBreak/>
        <w:t>3.</w:t>
      </w:r>
      <w:r w:rsidRPr="00A61195">
        <w:tab/>
        <w:t>Articolul 3 se modifică după cum urmează:</w:t>
      </w:r>
    </w:p>
    <w:p w14:paraId="7D731660" w14:textId="77777777" w:rsidR="00647D0C" w:rsidRPr="00A61195" w:rsidRDefault="00647D0C" w:rsidP="00A61195">
      <w:pPr>
        <w:pStyle w:val="Point1"/>
      </w:pPr>
      <w:r w:rsidRPr="00A61195">
        <w:t>(a)</w:t>
      </w:r>
      <w:r w:rsidRPr="00A61195">
        <w:tab/>
        <w:t>alineatul (1a) se modifică după cum urmează:</w:t>
      </w:r>
    </w:p>
    <w:p w14:paraId="432E6DD1" w14:textId="77777777" w:rsidR="00647D0C" w:rsidRPr="00A61195" w:rsidRDefault="00647D0C" w:rsidP="00A61195">
      <w:pPr>
        <w:pStyle w:val="Point2"/>
      </w:pPr>
      <w:r w:rsidRPr="00A61195">
        <w:t>(i)</w:t>
      </w:r>
      <w:r w:rsidRPr="00A61195">
        <w:tab/>
        <w:t>la primul paragraf se adaugă următoarele puncte:</w:t>
      </w:r>
    </w:p>
    <w:p w14:paraId="6737B806" w14:textId="77777777" w:rsidR="00647D0C" w:rsidRPr="00A61195" w:rsidRDefault="00647D0C" w:rsidP="00A61195">
      <w:pPr>
        <w:pStyle w:val="Point3"/>
      </w:pPr>
      <w:r w:rsidRPr="00A61195">
        <w:t>„(iii)</w:t>
      </w:r>
      <w:r w:rsidRPr="00A61195">
        <w:tab/>
        <w:t>substanțele cu numerele 5, 9, 13, 15, 17, 21, 23, 24, 28, 30, 34, 37, 41 și 43 din anexa I partea A, pentru care sunt prevăzute SCM-uri revizuite, cu începere de la 22 decembrie 2027, în scopul atingerii unei stări chimice bune a apelor de suprafață în ceea ce privește substanțele respective până la 22 decembrie 2033 și în scopul prevenirii deteriorării stării chimice a corpurilor de apă de suprafață în raport cu respectivele substanțe prin intermediul programelor de măsuri incluse în planurile de gestionare a bazinelor hidrografice pentru 2027 elaborate în conformitate cu articolul 13 alineatul (7) din Directiva 2000/60/CE;</w:t>
      </w:r>
    </w:p>
    <w:p w14:paraId="5F9BBADC" w14:textId="77777777" w:rsidR="00647D0C" w:rsidRPr="00A61195" w:rsidRDefault="00647D0C" w:rsidP="00A61195">
      <w:pPr>
        <w:spacing w:before="0" w:after="160" w:line="259" w:lineRule="auto"/>
      </w:pPr>
      <w:r w:rsidRPr="00A61195">
        <w:br w:type="page"/>
      </w:r>
    </w:p>
    <w:p w14:paraId="745C6D59" w14:textId="680409E6" w:rsidR="00647D0C" w:rsidRPr="00A61195" w:rsidRDefault="00647D0C" w:rsidP="00A61195">
      <w:pPr>
        <w:pStyle w:val="Point3"/>
      </w:pPr>
      <w:r w:rsidRPr="00A61195">
        <w:lastRenderedPageBreak/>
        <w:t>(iv)</w:t>
      </w:r>
      <w:r w:rsidRPr="00A61195">
        <w:tab/>
        <w:t>substanțele nou-identificate numerotate de la 46 la 70 în partea</w:t>
      </w:r>
      <w:r w:rsidR="00D3772B">
        <w:t> </w:t>
      </w:r>
      <w:r w:rsidRPr="00A61195">
        <w:t>A din anexa</w:t>
      </w:r>
      <w:r w:rsidR="00D3772B">
        <w:t> </w:t>
      </w:r>
      <w:r w:rsidRPr="00A61195">
        <w:t>I, cu începere de la 22 decembrie 2027, în scopul atingerii unei stări chimice bune a apelor de suprafață în ceea ce privește substanțele respective până la 22 decembrie 2039 și în scopul prevenii deteriorării stării chimice a corpurilor de apă de suprafață în ceea ce privește substanțele respective; în acest scop, statele membre stabilesc, până la</w:t>
      </w:r>
      <w:r w:rsidR="00D3772B">
        <w:t> </w:t>
      </w:r>
      <w:r w:rsidRPr="00A61195">
        <w:t>22 decembrie 2027, un program suplimentar de monitorizare și, până la</w:t>
      </w:r>
      <w:r w:rsidR="00D3772B">
        <w:t> </w:t>
      </w:r>
      <w:r w:rsidRPr="00A61195">
        <w:t>22 decembrie 2030, un program preliminar de măsuri care să acopere aceste substanțe; un program final de măsuri, în conformitate cu articolul 11 din Directiva 2000/60/CE, este inclus în</w:t>
      </w:r>
      <w:r w:rsidR="00386139">
        <w:t xml:space="preserve"> </w:t>
      </w:r>
      <w:r w:rsidRPr="00A61195">
        <w:t>planul de gestionare a bazinelor hidrografice pentru 2033 elaborat în conformitate cu articolul 13 alineatul (7) din respectiva directivă.”;</w:t>
      </w:r>
    </w:p>
    <w:p w14:paraId="18DBF0F6" w14:textId="77777777" w:rsidR="00647D0C" w:rsidRPr="00A61195" w:rsidRDefault="00647D0C" w:rsidP="00647D0C">
      <w:pPr>
        <w:spacing w:before="0" w:after="160" w:line="259" w:lineRule="auto"/>
      </w:pPr>
      <w:r w:rsidRPr="00A61195">
        <w:br w:type="page"/>
      </w:r>
    </w:p>
    <w:p w14:paraId="48B7CA22" w14:textId="77777777" w:rsidR="00647D0C" w:rsidRPr="00A61195" w:rsidRDefault="00647D0C" w:rsidP="00A61195">
      <w:pPr>
        <w:pStyle w:val="Point2"/>
      </w:pPr>
      <w:r w:rsidRPr="00A61195">
        <w:lastRenderedPageBreak/>
        <w:t>(ii)</w:t>
      </w:r>
      <w:r w:rsidRPr="00A61195">
        <w:tab/>
        <w:t>al doilea paragraf se înlocuiește cu următorul text:</w:t>
      </w:r>
    </w:p>
    <w:p w14:paraId="4DD2601B" w14:textId="77777777" w:rsidR="00647D0C" w:rsidRPr="00A61195" w:rsidRDefault="00647D0C" w:rsidP="00A61195">
      <w:pPr>
        <w:pStyle w:val="Text3"/>
      </w:pPr>
      <w:r w:rsidRPr="00A61195">
        <w:t xml:space="preserve">„Articolul 4 alineatele (4)-(9) din Directiva 2000/60/CE se aplică </w:t>
      </w:r>
      <w:r w:rsidRPr="00A61195">
        <w:rPr>
          <w:i/>
          <w:iCs/>
        </w:rPr>
        <w:t>mutatis mutandis</w:t>
      </w:r>
      <w:r w:rsidRPr="00A61195">
        <w:t xml:space="preserve"> în ceea ce privește substanțele enumerate la punctele (i) și (ii) de la primul paragraf de la prezentul alineat.</w:t>
      </w:r>
    </w:p>
    <w:p w14:paraId="1ABDB8EA" w14:textId="518E7E5F" w:rsidR="00647D0C" w:rsidRPr="00A61195" w:rsidRDefault="00647D0C" w:rsidP="00A61195">
      <w:pPr>
        <w:pStyle w:val="Text3"/>
      </w:pPr>
      <w:r w:rsidRPr="00A61195">
        <w:t xml:space="preserve">Articolul 4 alineatele (4)-(9) din Directiva 2000/60/CE se aplică, de asemenea, </w:t>
      </w:r>
      <w:r w:rsidRPr="00A61195">
        <w:rPr>
          <w:i/>
          <w:iCs/>
        </w:rPr>
        <w:t>mutatis mutandis</w:t>
      </w:r>
      <w:r w:rsidRPr="00A61195">
        <w:t xml:space="preserve"> în ceea ce privește substanțele enumerate la punctele (iii) și (iv) de la primul paragraf de la prezentul alineat. În ceea ce privește prelungirile termenelor prevăzute la articolul 4 alineatul (4) din directiva respectivă, acestea se limitează la cel mult o actualizare suplimentară a planului de gestionare a bazinului hidrografic, cu excepția cazului în care condițiile naturale împiedică realizarea obiectivelor în perioada la care se referă respectivul plan de gestionare a bazinului hidrografic.”;</w:t>
      </w:r>
    </w:p>
    <w:p w14:paraId="7B6B98F5" w14:textId="77777777" w:rsidR="00647D0C" w:rsidRPr="00A61195" w:rsidRDefault="00647D0C" w:rsidP="00647D0C">
      <w:pPr>
        <w:spacing w:before="0" w:after="160" w:line="259" w:lineRule="auto"/>
      </w:pPr>
      <w:r w:rsidRPr="00A61195">
        <w:br w:type="page"/>
      </w:r>
    </w:p>
    <w:p w14:paraId="69D7F8CB" w14:textId="77777777" w:rsidR="00647D0C" w:rsidRPr="00A61195" w:rsidRDefault="00647D0C" w:rsidP="00A61195">
      <w:pPr>
        <w:pStyle w:val="Point1"/>
      </w:pPr>
      <w:r w:rsidRPr="00A61195">
        <w:lastRenderedPageBreak/>
        <w:t>(b)</w:t>
      </w:r>
      <w:r w:rsidRPr="00A61195">
        <w:tab/>
        <w:t>se adaugă următorul alineat:</w:t>
      </w:r>
    </w:p>
    <w:p w14:paraId="1D708573" w14:textId="63D0F0EC" w:rsidR="00647D0C" w:rsidRPr="00A61195" w:rsidRDefault="00647D0C" w:rsidP="00A61195">
      <w:pPr>
        <w:pStyle w:val="Point2"/>
      </w:pPr>
      <w:r w:rsidRPr="00A61195">
        <w:t>„(1b)</w:t>
      </w:r>
      <w:r w:rsidRPr="00A61195">
        <w:tab/>
        <w:t>SCM-urile stabilite la nivelul Uniunii pentru poluanții specifici unui bazin hidrografic în conformitate cu articolul 16 alineatul (4) din Directiva 2000/60/CE și enumerate în partea C din anexa II</w:t>
      </w:r>
      <w:r w:rsidR="00386139">
        <w:t xml:space="preserve"> </w:t>
      </w:r>
      <w:r w:rsidRPr="00A61195">
        <w:t>la prezenta directivă sau poluanții specifici unui bazin hidrografic suplimentari și SCM</w:t>
      </w:r>
      <w:r w:rsidRPr="00A61195">
        <w:noBreakHyphen/>
        <w:t>urile corespunzătoare identificate de statele membre în conformitate cu articolul 8d alineatul (1) din prezenta directivă produc efecte de la începutul perioadei la care se referă următorul plan de gestionare a bazinului hidrografic de după data la care au fost stabilite SCM</w:t>
      </w:r>
      <w:r w:rsidRPr="00A61195">
        <w:noBreakHyphen/>
        <w:t>urile, în scopul atingerii unei stări chimice bune a apelor de suprafață în raport cu poluanții respectivi până la sfârșitul perioadei la care se referă respectivul plan de gestionare a bazinului hidrografic și în scopul prevenirii deteriorării stării chimice a corpurilor de apă de suprafață în raport cu poluanții respectivi.</w:t>
      </w:r>
    </w:p>
    <w:p w14:paraId="5363D37B" w14:textId="766B9B2A" w:rsidR="00647D0C" w:rsidRPr="00A61195" w:rsidRDefault="00647D0C" w:rsidP="00A61195">
      <w:pPr>
        <w:pStyle w:val="Text3"/>
      </w:pPr>
      <w:r w:rsidRPr="00A61195">
        <w:t xml:space="preserve">Articolul 4 alineatele (4)-(9) din Directiva 2000/60/CE se aplică </w:t>
      </w:r>
      <w:r w:rsidRPr="00A61195">
        <w:rPr>
          <w:i/>
          <w:iCs/>
        </w:rPr>
        <w:t>mutatis mutandis</w:t>
      </w:r>
      <w:r w:rsidRPr="00A61195">
        <w:t xml:space="preserve"> poluanților menționați la primul paragraf al prezentului alineat. În ceea ce privește prelungirile termenelor prevăzute la articolul 4 alineatul (4) din directiva respectivă, acestea se limitează la cel mult o actualizare suplimentară a planului de gestionare a bazinului</w:t>
      </w:r>
      <w:r w:rsidR="00386139">
        <w:t xml:space="preserve"> </w:t>
      </w:r>
      <w:r w:rsidRPr="00A61195">
        <w:t>hidrografic, cu excepția cazului în care condițiile naturale împiedică realizarea obiectivelor în perioada la care se referă respectivul plan de gestionare a bazinului</w:t>
      </w:r>
      <w:r w:rsidR="00386139">
        <w:t xml:space="preserve"> </w:t>
      </w:r>
      <w:r w:rsidRPr="00A61195">
        <w:t>hidrografic.”;</w:t>
      </w:r>
    </w:p>
    <w:p w14:paraId="584DB66F" w14:textId="77777777" w:rsidR="00647D0C" w:rsidRPr="00A61195" w:rsidRDefault="00647D0C">
      <w:pPr>
        <w:spacing w:before="0" w:after="160" w:line="259" w:lineRule="auto"/>
      </w:pPr>
      <w:r w:rsidRPr="00A61195">
        <w:br w:type="page"/>
      </w:r>
    </w:p>
    <w:p w14:paraId="37B4EB67" w14:textId="078D71A7" w:rsidR="00647D0C" w:rsidRPr="00A61195" w:rsidRDefault="00647D0C" w:rsidP="00A61195">
      <w:pPr>
        <w:pStyle w:val="Point1"/>
      </w:pPr>
      <w:r w:rsidRPr="00A61195">
        <w:lastRenderedPageBreak/>
        <w:t>(c)</w:t>
      </w:r>
      <w:r w:rsidRPr="00A61195">
        <w:tab/>
        <w:t>alineatul (2) se înlocuiește cu următorul text:</w:t>
      </w:r>
    </w:p>
    <w:p w14:paraId="32B7ABEE" w14:textId="5DCDD859" w:rsidR="00647D0C" w:rsidRPr="00A61195" w:rsidRDefault="00647D0C" w:rsidP="00A61195">
      <w:pPr>
        <w:pStyle w:val="Point2"/>
      </w:pPr>
      <w:r w:rsidRPr="00A61195">
        <w:t>„(2)</w:t>
      </w:r>
      <w:r w:rsidRPr="00A61195">
        <w:tab/>
        <w:t xml:space="preserve">În ceea ce privește substanțele pentru care este stabilit un SCM pentru </w:t>
      </w:r>
      <w:proofErr w:type="spellStart"/>
      <w:r w:rsidRPr="00A61195">
        <w:t>biotă</w:t>
      </w:r>
      <w:proofErr w:type="spellEnd"/>
      <w:r w:rsidRPr="00A61195">
        <w:t xml:space="preserve"> sau un SCM pentru sedimente în anexa I partea A, statele membre aplică respectivul SCM pentru </w:t>
      </w:r>
      <w:proofErr w:type="spellStart"/>
      <w:r w:rsidRPr="00A61195">
        <w:t>biotă</w:t>
      </w:r>
      <w:proofErr w:type="spellEnd"/>
      <w:r w:rsidRPr="00A61195">
        <w:t xml:space="preserve"> sau SCM pentru sedimente.</w:t>
      </w:r>
    </w:p>
    <w:p w14:paraId="4B4B9750" w14:textId="79D3EBC6" w:rsidR="00647D0C" w:rsidRPr="00A61195" w:rsidRDefault="00647D0C" w:rsidP="00A61195">
      <w:pPr>
        <w:pStyle w:val="Text3"/>
      </w:pPr>
      <w:r w:rsidRPr="00A61195">
        <w:t>În ceea ce privește alte substanțe decât cele menționate la primul paragraf, statele membre aplică SCM-urile pentru apă stabilite în anexa I partea A.”;</w:t>
      </w:r>
    </w:p>
    <w:p w14:paraId="37386ED3" w14:textId="77777777" w:rsidR="00647D0C" w:rsidRPr="00A61195" w:rsidRDefault="00647D0C" w:rsidP="00A61195">
      <w:pPr>
        <w:pStyle w:val="Point1"/>
      </w:pPr>
      <w:r w:rsidRPr="00A61195">
        <w:t>(d)</w:t>
      </w:r>
      <w:r w:rsidRPr="00A61195">
        <w:tab/>
        <w:t>la alineatul (6), primul paragraf se înlocuiește cu următorul text:</w:t>
      </w:r>
    </w:p>
    <w:p w14:paraId="0B0073AA" w14:textId="76E970C1" w:rsidR="00647D0C" w:rsidRPr="00A61195" w:rsidRDefault="00647D0C" w:rsidP="00A61195">
      <w:pPr>
        <w:pStyle w:val="Point2"/>
      </w:pPr>
      <w:r w:rsidRPr="00A61195">
        <w:t>„(6)</w:t>
      </w:r>
      <w:r w:rsidRPr="00A61195">
        <w:tab/>
        <w:t>„Statele membre iau măsuri pentru analizarea tendințelor pe termen lung ale concentrațiilor substanțelor prioritare identificate în anexa I partea A ca substanțe care tind să se acumuleze în sedimente</w:t>
      </w:r>
      <w:bookmarkStart w:id="11" w:name="DQCErrorScope5720C284548A3804FA7C0AACC73"/>
      <w:r w:rsidRPr="00A61195">
        <w:t xml:space="preserve"> sau </w:t>
      </w:r>
      <w:bookmarkEnd w:id="11"/>
      <w:r w:rsidRPr="00A61195">
        <w:t xml:space="preserve">în </w:t>
      </w:r>
      <w:proofErr w:type="spellStart"/>
      <w:r w:rsidRPr="00A61195">
        <w:t>biotă</w:t>
      </w:r>
      <w:proofErr w:type="spellEnd"/>
      <w:r w:rsidRPr="00A61195">
        <w:t xml:space="preserve">, pe baza monitorizării sedimentelor și </w:t>
      </w:r>
      <w:proofErr w:type="spellStart"/>
      <w:r w:rsidRPr="00A61195">
        <w:t>biotei</w:t>
      </w:r>
      <w:proofErr w:type="spellEnd"/>
      <w:r w:rsidRPr="00A61195">
        <w:t xml:space="preserve"> din cadrul monitorizării stării apelor de suprafață efectuate în conformitate cu articolul 8 din Directiva 2000/60/CE. Statele membre iau măsuri al căror scop este să asigure, sub rezerva articolului 4 din Directiva 2000/60/CE, faptul că astfel de concentrații nu cresc în mod considerabil în sedimente sau în </w:t>
      </w:r>
      <w:proofErr w:type="spellStart"/>
      <w:r w:rsidRPr="00A61195">
        <w:t>biotă</w:t>
      </w:r>
      <w:proofErr w:type="spellEnd"/>
      <w:r w:rsidRPr="00A61195">
        <w:t>.”;</w:t>
      </w:r>
    </w:p>
    <w:p w14:paraId="2B620086" w14:textId="77777777" w:rsidR="00647D0C" w:rsidRPr="00A61195" w:rsidRDefault="00647D0C" w:rsidP="00A61195">
      <w:pPr>
        <w:pStyle w:val="Point1"/>
      </w:pPr>
      <w:r w:rsidRPr="00A61195">
        <w:t>(e)</w:t>
      </w:r>
      <w:r w:rsidRPr="00A61195">
        <w:tab/>
        <w:t>alineatul (7) se elimină;</w:t>
      </w:r>
    </w:p>
    <w:p w14:paraId="69BADE42" w14:textId="77777777" w:rsidR="00647D0C" w:rsidRPr="00A61195" w:rsidRDefault="00647D0C" w:rsidP="00A61195">
      <w:pPr>
        <w:pStyle w:val="Point1"/>
      </w:pPr>
      <w:r w:rsidRPr="00A61195">
        <w:t>(f)</w:t>
      </w:r>
      <w:r w:rsidRPr="00A61195">
        <w:tab/>
        <w:t>alineatul (8) se înlocuiește cu următorul text:</w:t>
      </w:r>
    </w:p>
    <w:p w14:paraId="40ED720D" w14:textId="77777777" w:rsidR="00647D0C" w:rsidRPr="00A61195" w:rsidRDefault="00647D0C" w:rsidP="00A61195">
      <w:pPr>
        <w:pStyle w:val="Point2"/>
      </w:pPr>
      <w:r w:rsidRPr="00A61195">
        <w:t>„(8)</w:t>
      </w:r>
      <w:r w:rsidRPr="00A61195">
        <w:tab/>
        <w:t>Comisia este împuternicită să adopte acte delegate, în conformitate cu articolul 9a, pentru a modifica punctul 3 din partea B din anexa I în vederea adaptării la progresele științifice sau tehnice.”</w:t>
      </w:r>
    </w:p>
    <w:p w14:paraId="703D4206" w14:textId="77777777" w:rsidR="00647D0C" w:rsidRPr="00A61195" w:rsidRDefault="00647D0C" w:rsidP="00647D0C">
      <w:r w:rsidRPr="00A61195">
        <w:br w:type="page"/>
      </w:r>
    </w:p>
    <w:p w14:paraId="791AD032" w14:textId="74979FFC" w:rsidR="00647D0C" w:rsidRPr="00A61195" w:rsidRDefault="00647D0C" w:rsidP="00A61195">
      <w:pPr>
        <w:pStyle w:val="Point0"/>
      </w:pPr>
      <w:r w:rsidRPr="00A61195">
        <w:lastRenderedPageBreak/>
        <w:t>4.</w:t>
      </w:r>
      <w:r w:rsidRPr="00A61195">
        <w:tab/>
        <w:t>Articolul 5 se înlocuiește cu următorul text:</w:t>
      </w:r>
    </w:p>
    <w:p w14:paraId="0B4E9B63" w14:textId="1D7F2F40" w:rsidR="00647D0C" w:rsidRPr="00A61195" w:rsidRDefault="00647D0C" w:rsidP="00A61195">
      <w:pPr>
        <w:pStyle w:val="Text1"/>
        <w:rPr>
          <w:iCs/>
        </w:rPr>
      </w:pPr>
      <w:r w:rsidRPr="00A61195">
        <w:t>„</w:t>
      </w:r>
      <w:r w:rsidRPr="00D3772B">
        <w:rPr>
          <w:i/>
          <w:iCs/>
        </w:rPr>
        <w:t>Articolul 5</w:t>
      </w:r>
      <w:r w:rsidR="009B37F7" w:rsidRPr="00D3772B">
        <w:rPr>
          <w:i/>
          <w:iCs/>
        </w:rPr>
        <w:t xml:space="preserve"> </w:t>
      </w:r>
      <w:r w:rsidR="009B37F7" w:rsidRPr="00D3772B">
        <w:rPr>
          <w:i/>
          <w:iCs/>
        </w:rPr>
        <w:br/>
      </w:r>
      <w:r w:rsidRPr="00D3772B">
        <w:rPr>
          <w:i/>
          <w:iCs/>
        </w:rPr>
        <w:t>Inventarul emisiilor, al evacuărilor și al pierderilor</w:t>
      </w:r>
    </w:p>
    <w:p w14:paraId="61ABCB7A" w14:textId="5E8D79DB" w:rsidR="00647D0C" w:rsidRPr="00A61195" w:rsidRDefault="00647D0C" w:rsidP="00A61195">
      <w:pPr>
        <w:pStyle w:val="Point1"/>
      </w:pPr>
      <w:r w:rsidRPr="00A61195">
        <w:t>(1)</w:t>
      </w:r>
      <w:r w:rsidRPr="00A61195">
        <w:tab/>
        <w:t>Pe baza informațiilor obținute în conformitate cu articolele 5 și 8 din Directiva 2000/60/CE și a altor date disponibile, fiecare stat membru stabilește un inventar al emisiilor, al evacuărilor și al pierderilor pentru toate substanțele prioritare care figurează pe lista din partea A din anexa I</w:t>
      </w:r>
      <w:r w:rsidR="00386139">
        <w:t xml:space="preserve"> </w:t>
      </w:r>
      <w:r w:rsidRPr="00A61195">
        <w:t>la prezenta directivă și pentru toate substanțele identificate de statul membru ca fiind poluanți specifici bazinelor hidrografice, pentru fiecare district hidrografic sau parte a unui district hidrografic de pe teritoriul acestora.</w:t>
      </w:r>
    </w:p>
    <w:p w14:paraId="16A9EF19" w14:textId="77777777" w:rsidR="00647D0C" w:rsidRPr="00A61195" w:rsidRDefault="00647D0C" w:rsidP="00A61195">
      <w:pPr>
        <w:pStyle w:val="Text2"/>
      </w:pPr>
      <w:r w:rsidRPr="00A61195">
        <w:t>Primul paragraf nu se aplică în cazul emisiilor, al evacuărilor și al pierderilor raportate, anual, prin mijloace electronice în Portalul emisiilor industriale instituit în temeiul Regulamentului (UE) 2024/1244 al Parlamentului European și al Consiliului</w:t>
      </w:r>
      <w:r w:rsidRPr="00A61195">
        <w:rPr>
          <w:b/>
          <w:bCs/>
          <w:vertAlign w:val="superscript"/>
        </w:rPr>
        <w:t>*</w:t>
      </w:r>
      <w:r w:rsidRPr="00A61195">
        <w:t>, în conformitate cu articolul 7 din regulamentul respectiv.</w:t>
      </w:r>
    </w:p>
    <w:p w14:paraId="10465B84" w14:textId="41B6B081" w:rsidR="00647D0C" w:rsidRPr="00A61195" w:rsidRDefault="00647D0C" w:rsidP="00A61195">
      <w:pPr>
        <w:pStyle w:val="Point1"/>
      </w:pPr>
      <w:r w:rsidRPr="00A61195">
        <w:t>(4)</w:t>
      </w:r>
      <w:r w:rsidRPr="00A61195">
        <w:tab/>
        <w:t>Statele membre își actualizează inventarele în cadrul revizuirilor prevăzute la articolul 5 alineatul (2) din Directiva 2000/60/CE.</w:t>
      </w:r>
    </w:p>
    <w:p w14:paraId="76318ABA" w14:textId="409F4EE8" w:rsidR="00647D0C" w:rsidRPr="00A61195" w:rsidRDefault="00647D0C" w:rsidP="00A61195">
      <w:pPr>
        <w:pStyle w:val="Text2"/>
      </w:pPr>
      <w:r w:rsidRPr="00A61195">
        <w:t>Perioada de referință pentru stabilirea valorilor în cadrul inventarelor actualizate este anul anterior anului în care trebuie încheiate revizuirile prevăzute la articolul</w:t>
      </w:r>
      <w:r w:rsidR="00D3772B">
        <w:t> </w:t>
      </w:r>
      <w:r w:rsidRPr="00A61195">
        <w:t>5 alineatul</w:t>
      </w:r>
      <w:r w:rsidR="00D3772B">
        <w:t> </w:t>
      </w:r>
      <w:r w:rsidRPr="00A61195">
        <w:t>(2) din Directiva 2000/60/CE.</w:t>
      </w:r>
    </w:p>
    <w:p w14:paraId="65A3EF1D" w14:textId="77777777" w:rsidR="00647D0C" w:rsidRPr="00A61195" w:rsidRDefault="00647D0C" w:rsidP="00647D0C">
      <w:r w:rsidRPr="00A61195">
        <w:br w:type="page"/>
      </w:r>
    </w:p>
    <w:p w14:paraId="5D191AF4" w14:textId="77777777" w:rsidR="00647D0C" w:rsidRPr="00A61195" w:rsidRDefault="00647D0C" w:rsidP="00A61195">
      <w:pPr>
        <w:pStyle w:val="Text2"/>
      </w:pPr>
      <w:r w:rsidRPr="00A61195">
        <w:lastRenderedPageBreak/>
        <w:t>Ca parte a acestor actualizări, statele membre se asigură că emisiile din surse punctiforme în apă care nu se încadrează în domeniul de aplicare al Regulamentului (UE) 2024/1244 sau care se situează sub pragurile de raportare anuală stabilite în regulamentul respectiv, precum și emisiile de poluanți din surse difuze, astfel cum sunt definite la articolul 3 punctul 12 din regulamentul respectiv, în apă sunt, de asemenea, raportate Comisiei prin mijloace electronice, pentru a fi puse la dispoziție pe Portalul emisiilor industriale instituit în temeiul regulamentului respectiv, cel puțin o dată la șase ani, și agregate la nivelul fiecărui district hidrografic sau al unei părți a acestuia de pe teritoriul unui stat membru.</w:t>
      </w:r>
    </w:p>
    <w:p w14:paraId="272BE04E" w14:textId="338BFE16" w:rsidR="00647D0C" w:rsidRPr="00A61195" w:rsidRDefault="00647D0C" w:rsidP="00A61195">
      <w:pPr>
        <w:pStyle w:val="Text2"/>
      </w:pPr>
      <w:r w:rsidRPr="00A61195">
        <w:t>Comisia adoptă un act de punere în aplicare pentru stabilirea formatului raportării menționate la al treilea paragraf de la prezentul alineat. Respectivul act de punere în aplicare se adoptă în conformitate cu procedura de examinare menționată la articolul 9 alineatul (2) din prezenta directivă. Atunci când elaborează acest act de punere în aplicare, Comisia este asistată, în cazul în care este necesar, de AEM.</w:t>
      </w:r>
    </w:p>
    <w:p w14:paraId="5948C5C2" w14:textId="38434764" w:rsidR="00647D0C" w:rsidRPr="00A61195" w:rsidRDefault="00647D0C" w:rsidP="00A61195">
      <w:pPr>
        <w:pStyle w:val="Point1"/>
      </w:pPr>
      <w:r w:rsidRPr="00A61195">
        <w:t>(6)</w:t>
      </w:r>
      <w:r w:rsidRPr="00A61195">
        <w:tab/>
        <w:t>Statele membre se asigură că planurile de gestionare a bazinelor hidrografice stabilite în conformitate cu articolul 13 din Directiva 2000/60/CE includ o trimitere clară sau un link către toate informațiile privind emisiile în apă care sunt puse la dispoziție pe Portalul emisiilor industriale în conformitate cu alineatele (1) și (4) de la prezentul articol.</w:t>
      </w:r>
    </w:p>
    <w:p w14:paraId="57D790DF" w14:textId="717F35E3" w:rsidR="00647D0C" w:rsidRPr="00A61195" w:rsidRDefault="00D3772B" w:rsidP="00A61195">
      <w:pPr>
        <w:pStyle w:val="Text1"/>
      </w:pPr>
      <w:r>
        <w:t>________________</w:t>
      </w:r>
    </w:p>
    <w:p w14:paraId="03DD9C59" w14:textId="5233F632" w:rsidR="00647D0C" w:rsidRPr="00A61195" w:rsidRDefault="00647D0C" w:rsidP="00A61195">
      <w:pPr>
        <w:pStyle w:val="Point1"/>
        <w:spacing w:before="0" w:line="240" w:lineRule="auto"/>
        <w:ind w:left="1418"/>
      </w:pPr>
      <w:r w:rsidRPr="00D3772B">
        <w:rPr>
          <w:b/>
          <w:bCs/>
          <w:vertAlign w:val="superscript"/>
        </w:rPr>
        <w:t>*</w:t>
      </w:r>
      <w:r w:rsidRPr="00A61195">
        <w:tab/>
        <w:t>Regulamentul (UE) 2024/1244 al Parlamentului European și al Consiliului din 24</w:t>
      </w:r>
      <w:r w:rsidR="00D3772B">
        <w:t> </w:t>
      </w:r>
      <w:r w:rsidRPr="00A61195">
        <w:t>aprilie 2024 privind raportarea datelor despre mediu provenite de la instalații industriale, de înființare a Portalului emisiilor industriale și de abrogare a Regulamentului (CE) nr. 166/2006 (JO L, 2024/1244, 2.5.2024, ELI:</w:t>
      </w:r>
      <w:r w:rsidR="00D3772B">
        <w:t> </w:t>
      </w:r>
      <w:hyperlink r:id="rId49" w:history="1">
        <w:r w:rsidRPr="00275CA3">
          <w:rPr>
            <w:rStyle w:val="Hyperlink"/>
          </w:rPr>
          <w:t>http://data.europa.eu/eli/reg/2024/1244/oj</w:t>
        </w:r>
      </w:hyperlink>
      <w:r w:rsidRPr="00A61195">
        <w:t>).”</w:t>
      </w:r>
    </w:p>
    <w:p w14:paraId="59DABB1A" w14:textId="77777777" w:rsidR="00647D0C" w:rsidRPr="00A61195" w:rsidRDefault="00647D0C" w:rsidP="00647D0C">
      <w:pPr>
        <w:spacing w:before="0" w:after="160" w:line="259" w:lineRule="auto"/>
      </w:pPr>
      <w:r w:rsidRPr="00A61195">
        <w:br w:type="page"/>
      </w:r>
    </w:p>
    <w:p w14:paraId="3748C823" w14:textId="5C0A7956" w:rsidR="00647D0C" w:rsidRPr="00A61195" w:rsidRDefault="00647D0C" w:rsidP="00A61195">
      <w:pPr>
        <w:pStyle w:val="Point0"/>
      </w:pPr>
      <w:r w:rsidRPr="00A61195">
        <w:lastRenderedPageBreak/>
        <w:t>5.</w:t>
      </w:r>
      <w:r w:rsidRPr="00A61195">
        <w:tab/>
        <w:t>La articolul 7a, alineatul (1) se înlocuiește cu următorul text:</w:t>
      </w:r>
    </w:p>
    <w:p w14:paraId="78ECFD77" w14:textId="3338C711" w:rsidR="00647D0C" w:rsidRPr="00A61195" w:rsidRDefault="00647D0C" w:rsidP="00A61195">
      <w:pPr>
        <w:pStyle w:val="Point1"/>
      </w:pPr>
      <w:r w:rsidRPr="00A61195">
        <w:t>„(1)</w:t>
      </w:r>
      <w:r w:rsidRPr="00A61195">
        <w:tab/>
        <w:t>Pentru substanțele prioritare care se încadrează în domeniul de aplicare al Directivei 2001/83/CE a Parlamentului European și a Consiliului</w:t>
      </w:r>
      <w:r w:rsidRPr="00A61195">
        <w:rPr>
          <w:b/>
          <w:vertAlign w:val="superscript"/>
        </w:rPr>
        <w:t>*</w:t>
      </w:r>
      <w:r w:rsidRPr="00A61195">
        <w:t>, al Regulamentelor (CE) nr. 1907/2006</w:t>
      </w:r>
      <w:r w:rsidRPr="00A61195">
        <w:rPr>
          <w:b/>
          <w:vertAlign w:val="superscript"/>
        </w:rPr>
        <w:t>**</w:t>
      </w:r>
      <w:r w:rsidRPr="00A61195">
        <w:t xml:space="preserve"> sau (CE) nr. 1107/2009</w:t>
      </w:r>
      <w:r w:rsidRPr="00A61195">
        <w:rPr>
          <w:b/>
          <w:vertAlign w:val="superscript"/>
        </w:rPr>
        <w:t>***</w:t>
      </w:r>
      <w:r w:rsidRPr="00A61195">
        <w:t>ale Parlamentului European și ale Consiliului, al Directivelor 2009/128/CE</w:t>
      </w:r>
      <w:r w:rsidRPr="00A61195">
        <w:rPr>
          <w:b/>
          <w:vertAlign w:val="superscript"/>
        </w:rPr>
        <w:t>****</w:t>
      </w:r>
      <w:r w:rsidRPr="00A61195">
        <w:t xml:space="preserve"> sau 2010/75/UE</w:t>
      </w:r>
      <w:r w:rsidRPr="00A61195">
        <w:rPr>
          <w:b/>
          <w:vertAlign w:val="superscript"/>
        </w:rPr>
        <w:t>*****</w:t>
      </w:r>
      <w:r w:rsidRPr="00A61195">
        <w:t xml:space="preserve"> ale Parlamentului European și ale Consiliului sau al Regulamentelor (UE) nr. 528/2012</w:t>
      </w:r>
      <w:r w:rsidRPr="00A61195">
        <w:rPr>
          <w:b/>
          <w:vertAlign w:val="superscript"/>
        </w:rPr>
        <w:t>******</w:t>
      </w:r>
      <w:r w:rsidRPr="00A61195">
        <w:t xml:space="preserve"> sau (UE) 2019/6 ale Parlamentului European și ale Consiliului</w:t>
      </w:r>
      <w:r w:rsidRPr="00A61195">
        <w:rPr>
          <w:b/>
          <w:vertAlign w:val="superscript"/>
        </w:rPr>
        <w:t>*******</w:t>
      </w:r>
      <w:r w:rsidRPr="00A61195">
        <w:t>,</w:t>
      </w:r>
      <w:bookmarkStart w:id="12" w:name="DQCErrorScope44FD5E14B66ACFD299BEA750333"/>
      <w:r w:rsidRPr="00A61195">
        <w:t xml:space="preserve"> </w:t>
      </w:r>
      <w:bookmarkEnd w:id="12"/>
      <w:r w:rsidRPr="00A61195">
        <w:t>Comisia evaluează, ținând seama de datele de monitorizare menționate la articolul 8 alineatul (4) din Directiva</w:t>
      </w:r>
      <w:r w:rsidR="00D3772B">
        <w:t> </w:t>
      </w:r>
      <w:r w:rsidRPr="00A61195">
        <w:t>2000/60/CE și în cadrul raportului menționat la articolul 18 alineatul (1) din directiva respectivă, dacă măsurile în vigoare la nivelul Uniunii și al statelor membre sunt suficiente pentru a atinge SCM-urile aferente substanțelor prioritare și pentru îndeplinirea obiectivului de stopare sau eliminare treptată a evacuărilor, emisiilor și pierderilor de substanțe periculoase prioritare în conformitate cu articolul</w:t>
      </w:r>
      <w:r w:rsidR="00D3772B">
        <w:t> </w:t>
      </w:r>
      <w:r w:rsidRPr="00A61195">
        <w:t>4 alineatul</w:t>
      </w:r>
      <w:r w:rsidR="00D3772B">
        <w:t> </w:t>
      </w:r>
      <w:r w:rsidRPr="00A61195">
        <w:t>(1) litera (a) din Directiva 2000/60/CE.</w:t>
      </w:r>
    </w:p>
    <w:p w14:paraId="36C4C122" w14:textId="77777777" w:rsidR="00647D0C" w:rsidRPr="00A61195" w:rsidRDefault="00647D0C" w:rsidP="00A61195">
      <w:pPr>
        <w:spacing w:before="0" w:after="160" w:line="259" w:lineRule="auto"/>
      </w:pPr>
      <w:r w:rsidRPr="00A61195">
        <w:br w:type="page"/>
      </w:r>
    </w:p>
    <w:p w14:paraId="3531F56B" w14:textId="77777777" w:rsidR="00647D0C" w:rsidRPr="00A61195" w:rsidRDefault="00647D0C" w:rsidP="00A61195">
      <w:pPr>
        <w:pStyle w:val="Text1"/>
      </w:pPr>
      <w:r w:rsidRPr="00A61195">
        <w:lastRenderedPageBreak/>
        <w:t>_________________</w:t>
      </w:r>
    </w:p>
    <w:p w14:paraId="58A0C8F6" w14:textId="43B5B699" w:rsidR="00647D0C" w:rsidRPr="00A61195" w:rsidRDefault="00647D0C" w:rsidP="00A61195">
      <w:pPr>
        <w:pStyle w:val="Point1"/>
        <w:spacing w:before="0" w:after="0" w:line="240" w:lineRule="auto"/>
        <w:ind w:left="1418"/>
      </w:pPr>
      <w:r w:rsidRPr="00A61195">
        <w:rPr>
          <w:b/>
          <w:vertAlign w:val="superscript"/>
        </w:rPr>
        <w:t>*</w:t>
      </w:r>
      <w:r w:rsidRPr="00A61195">
        <w:tab/>
        <w:t>Directiva 2001/83/CE a Parlamentului European și a Consiliului din 6 noiembrie 2001 de instituire a unui cod comunitar cu privire la medicamentele de uz uman (JO L 311, 28.11.2001, p. 67, ELI: </w:t>
      </w:r>
      <w:hyperlink r:id="rId50" w:history="1">
        <w:r w:rsidRPr="00275CA3">
          <w:rPr>
            <w:rStyle w:val="Hyperlink"/>
          </w:rPr>
          <w:t>http://data.europa.eu/eli/dir/2001/83/oj</w:t>
        </w:r>
      </w:hyperlink>
      <w:r w:rsidRPr="00A61195">
        <w:t>).</w:t>
      </w:r>
    </w:p>
    <w:p w14:paraId="2B4A5CF6" w14:textId="59FD2069" w:rsidR="00647D0C" w:rsidRPr="00A61195" w:rsidRDefault="00647D0C" w:rsidP="00A61195">
      <w:pPr>
        <w:pStyle w:val="Point1"/>
        <w:spacing w:before="0" w:after="0" w:line="240" w:lineRule="auto"/>
        <w:ind w:left="1418"/>
      </w:pPr>
      <w:r w:rsidRPr="00A61195">
        <w:rPr>
          <w:b/>
          <w:vertAlign w:val="superscript"/>
        </w:rPr>
        <w:t>**</w:t>
      </w:r>
      <w:r w:rsidRPr="00A61195">
        <w:tab/>
        <w:t>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p. 1, ELI: </w:t>
      </w:r>
      <w:hyperlink r:id="rId51" w:history="1">
        <w:r w:rsidRPr="00275CA3">
          <w:rPr>
            <w:rStyle w:val="Hyperlink"/>
          </w:rPr>
          <w:t>http://data.europa.eu/eli/reg/2006/1907/oj</w:t>
        </w:r>
      </w:hyperlink>
      <w:r w:rsidRPr="00A61195">
        <w:t>).</w:t>
      </w:r>
    </w:p>
    <w:p w14:paraId="5EDD09CE" w14:textId="1C112265" w:rsidR="00647D0C" w:rsidRPr="00A61195" w:rsidRDefault="00647D0C" w:rsidP="00A61195">
      <w:pPr>
        <w:pStyle w:val="Point1"/>
        <w:spacing w:before="0" w:after="0" w:line="240" w:lineRule="auto"/>
        <w:ind w:left="1418"/>
      </w:pPr>
      <w:r w:rsidRPr="00A61195">
        <w:rPr>
          <w:b/>
          <w:vertAlign w:val="superscript"/>
        </w:rPr>
        <w:t>***</w:t>
      </w:r>
      <w:r w:rsidRPr="00A61195">
        <w:tab/>
        <w:t>Regulamentul (CE) nr. 1107/2009 al Parlamentului European și al Consiliului din 21 octombrie 2009 privind introducerea pe piață a produselor fitosanitare și de abrogare a Directivelor 79/117/CEE și 91/414/CEE ale Consiliului (JO L 309, 24.11.2009, p. 1, ELI: </w:t>
      </w:r>
      <w:hyperlink r:id="rId52" w:history="1">
        <w:r w:rsidRPr="00275CA3">
          <w:rPr>
            <w:rStyle w:val="Hyperlink"/>
          </w:rPr>
          <w:t>http://data.europa.eu/eli/reg/2009/1107/oj</w:t>
        </w:r>
      </w:hyperlink>
      <w:r w:rsidRPr="00A61195">
        <w:t>).</w:t>
      </w:r>
    </w:p>
    <w:p w14:paraId="60CE05C4" w14:textId="4B6B7CD3" w:rsidR="00647D0C" w:rsidRPr="00A61195" w:rsidRDefault="00647D0C" w:rsidP="00A61195">
      <w:pPr>
        <w:pStyle w:val="Point1"/>
        <w:spacing w:before="0" w:after="0" w:line="240" w:lineRule="auto"/>
        <w:ind w:left="1418"/>
      </w:pPr>
      <w:r w:rsidRPr="00A61195">
        <w:rPr>
          <w:b/>
          <w:vertAlign w:val="superscript"/>
        </w:rPr>
        <w:t>****</w:t>
      </w:r>
      <w:r w:rsidRPr="00A61195">
        <w:tab/>
        <w:t>Directiva 2009/128/CE a Parlamentului European și a Consiliului din 21 octombrie 2009 de stabilire a unui cadru de acțiune comunitară în vederea utilizării durabile a pesticidelor (JO L 309, 24.11.2009, p. 71, ELI: </w:t>
      </w:r>
      <w:hyperlink r:id="rId53" w:history="1">
        <w:r w:rsidRPr="00275CA3">
          <w:rPr>
            <w:rStyle w:val="Hyperlink"/>
          </w:rPr>
          <w:t>http://data.europa.eu/eli/dir/2009/128/oj</w:t>
        </w:r>
      </w:hyperlink>
      <w:r w:rsidRPr="00A61195">
        <w:t>).</w:t>
      </w:r>
    </w:p>
    <w:p w14:paraId="5AC0198D" w14:textId="056378E4" w:rsidR="00647D0C" w:rsidRPr="00A61195" w:rsidRDefault="00647D0C" w:rsidP="00A61195">
      <w:pPr>
        <w:pStyle w:val="Point1"/>
        <w:spacing w:before="0" w:after="0" w:line="240" w:lineRule="auto"/>
        <w:ind w:left="1418"/>
        <w:rPr>
          <w:szCs w:val="24"/>
        </w:rPr>
      </w:pPr>
      <w:r w:rsidRPr="00A61195">
        <w:rPr>
          <w:b/>
          <w:vertAlign w:val="superscript"/>
        </w:rPr>
        <w:t>*****</w:t>
      </w:r>
      <w:r w:rsidRPr="00A61195">
        <w:tab/>
        <w:t xml:space="preserve">Directiva 2010/75/UE a Parlamentului European și a Consiliului din 24 noiembrie 2010 privind emisiile industriale și emisiile generate de creșterea animalelor (prevenirea și controlul integrat al poluării) (JO L 334, 17.12.2010, p. 17, ELI: </w:t>
      </w:r>
      <w:hyperlink r:id="rId54" w:history="1">
        <w:r w:rsidRPr="00275CA3">
          <w:rPr>
            <w:rStyle w:val="Hyperlink"/>
          </w:rPr>
          <w:t>http://data.europa.eu/eli/dir/2010/75/oj</w:t>
        </w:r>
      </w:hyperlink>
      <w:r w:rsidRPr="00A61195">
        <w:t>).</w:t>
      </w:r>
    </w:p>
    <w:p w14:paraId="16A11EE6" w14:textId="66E84294" w:rsidR="00647D0C" w:rsidRPr="00A61195" w:rsidRDefault="00647D0C" w:rsidP="00A61195">
      <w:pPr>
        <w:pStyle w:val="Point1"/>
        <w:spacing w:before="0" w:after="0" w:line="240" w:lineRule="auto"/>
        <w:ind w:left="1418"/>
        <w:rPr>
          <w:szCs w:val="24"/>
        </w:rPr>
      </w:pPr>
      <w:r w:rsidRPr="00A61195">
        <w:rPr>
          <w:b/>
          <w:vertAlign w:val="superscript"/>
        </w:rPr>
        <w:t>******</w:t>
      </w:r>
      <w:r w:rsidRPr="00A61195">
        <w:tab/>
        <w:t xml:space="preserve">Regulamentul (UE) nr. 528/2012 al Parlamentului European și al Consiliului din 22 mai 2012 privind punerea la dispoziție pe piață și utilizarea produselor </w:t>
      </w:r>
      <w:proofErr w:type="spellStart"/>
      <w:r w:rsidRPr="00A61195">
        <w:t>biocide</w:t>
      </w:r>
      <w:proofErr w:type="spellEnd"/>
      <w:r w:rsidRPr="00A61195">
        <w:t xml:space="preserve"> (JO L 167, 27.6.2012, p. 1, ELI: </w:t>
      </w:r>
      <w:hyperlink r:id="rId55" w:history="1">
        <w:r w:rsidRPr="00275CA3">
          <w:rPr>
            <w:rStyle w:val="Hyperlink"/>
          </w:rPr>
          <w:t>http://data.europa.eu/eli/reg/2012/528/oj</w:t>
        </w:r>
      </w:hyperlink>
      <w:r w:rsidRPr="00A61195">
        <w:t>).</w:t>
      </w:r>
    </w:p>
    <w:p w14:paraId="3E2B2DE1" w14:textId="52B08A7D" w:rsidR="00647D0C" w:rsidRPr="00A61195" w:rsidRDefault="00647D0C" w:rsidP="00A61195">
      <w:pPr>
        <w:pStyle w:val="Point1"/>
        <w:spacing w:before="0" w:line="240" w:lineRule="auto"/>
        <w:ind w:left="1418"/>
      </w:pPr>
      <w:r w:rsidRPr="00A61195">
        <w:rPr>
          <w:b/>
          <w:vertAlign w:val="superscript"/>
        </w:rPr>
        <w:t>*******</w:t>
      </w:r>
      <w:r w:rsidRPr="00A61195">
        <w:tab/>
        <w:t>Regulamentul (UE) 2019/6 al Parlamentului European și al Consiliului din 11 decembrie 2018 privind produsele medicinale veterinare și de abrogare a Directivei</w:t>
      </w:r>
      <w:r w:rsidR="00D3772B">
        <w:t> </w:t>
      </w:r>
      <w:r w:rsidRPr="00A61195">
        <w:t>2001/82/CE (JO L 4, 7.1.2019, p. 43, ELI: </w:t>
      </w:r>
      <w:hyperlink r:id="rId56" w:history="1">
        <w:r w:rsidRPr="00275CA3">
          <w:rPr>
            <w:rStyle w:val="Hyperlink"/>
          </w:rPr>
          <w:t>http://data.europa.eu/eli/reg/2019/6/oj</w:t>
        </w:r>
      </w:hyperlink>
      <w:r w:rsidRPr="00A61195">
        <w:t>).”</w:t>
      </w:r>
    </w:p>
    <w:p w14:paraId="198BDFCA" w14:textId="77777777" w:rsidR="00647D0C" w:rsidRPr="00A61195" w:rsidRDefault="00647D0C" w:rsidP="00647D0C">
      <w:pPr>
        <w:spacing w:before="0" w:after="160" w:line="259" w:lineRule="auto"/>
      </w:pPr>
      <w:r w:rsidRPr="00A61195">
        <w:br w:type="page"/>
      </w:r>
    </w:p>
    <w:p w14:paraId="26151410" w14:textId="18DDBC46" w:rsidR="00647D0C" w:rsidRPr="00A61195" w:rsidRDefault="00647D0C" w:rsidP="00A61195">
      <w:pPr>
        <w:pStyle w:val="Point0"/>
      </w:pPr>
      <w:r w:rsidRPr="00A61195">
        <w:lastRenderedPageBreak/>
        <w:t>6.</w:t>
      </w:r>
      <w:r w:rsidRPr="00A61195">
        <w:tab/>
        <w:t>Articolele 8, 8a și 8b se înlocuiesc cu următorul text:</w:t>
      </w:r>
    </w:p>
    <w:p w14:paraId="11AF6ED3" w14:textId="77777777" w:rsidR="00647D0C" w:rsidRPr="00A61195" w:rsidRDefault="00647D0C" w:rsidP="00A61195">
      <w:pPr>
        <w:pStyle w:val="Text1"/>
      </w:pPr>
      <w:r w:rsidRPr="00A61195">
        <w:t>„</w:t>
      </w:r>
      <w:r w:rsidRPr="00D3772B">
        <w:rPr>
          <w:i/>
          <w:iCs/>
        </w:rPr>
        <w:t xml:space="preserve">Articolul 8 </w:t>
      </w:r>
      <w:r w:rsidRPr="00D3772B">
        <w:rPr>
          <w:i/>
          <w:iCs/>
        </w:rPr>
        <w:br/>
        <w:t>Revizuirea anexelor I și II</w:t>
      </w:r>
    </w:p>
    <w:p w14:paraId="08F73865" w14:textId="3372D87B" w:rsidR="00647D0C" w:rsidRPr="00A61195" w:rsidRDefault="00647D0C" w:rsidP="00A61195">
      <w:pPr>
        <w:pStyle w:val="Point1"/>
        <w:rPr>
          <w:bCs/>
          <w:iCs/>
        </w:rPr>
      </w:pPr>
      <w:r w:rsidRPr="00A61195">
        <w:t>(1)</w:t>
      </w:r>
      <w:r w:rsidRPr="00A61195">
        <w:tab/>
        <w:t>Comisia ia în considerare stabilirea unor standarde de calitate pentru PFAS total în apele de suprafață cu ocazia următoarei revizuiri a anexei I la prezenta directivă, care urmează să fie efectuată în conformitate cu articolul 16 din Directiva 2000/60/CE, și urmărește să completeze orientările privind monitorizarea PFAS total în apa potabilă, elaborate în conformitate cu articolul 13 alineatul (7) din Directiva (UE) 2020/2184 a Parlamentului European și a Consiliului</w:t>
      </w:r>
      <w:r w:rsidRPr="00A61195">
        <w:rPr>
          <w:b/>
          <w:vertAlign w:val="superscript"/>
        </w:rPr>
        <w:t>*</w:t>
      </w:r>
      <w:r w:rsidRPr="00A61195">
        <w:t xml:space="preserve">, pentru ca acestea să poată fi aplicate în ceea ce privește monitorizarea PFAS total în apele de suprafață. Statele membre sunt încurajate să aplice deja respectivele orientări pentru a monitoriza PFAS total în apele de suprafață și să raporteze datele în conformitate cu articolul 8 alineatul (4) din Directiva 2000/60/CE. Având în vedere toxicitatea, persistența și prevalența acidului </w:t>
      </w:r>
      <w:proofErr w:type="spellStart"/>
      <w:r w:rsidRPr="00A61195">
        <w:t>trifluoroacetic</w:t>
      </w:r>
      <w:proofErr w:type="spellEnd"/>
      <w:r w:rsidRPr="00A61195">
        <w:t xml:space="preserve"> (TFA) în mediu, Comisia ia în considerare stabilirea unui standard de calitate pentru TFA separat în anexa I la prezenta directivă, cu ocazia următoarei revizuiri.</w:t>
      </w:r>
    </w:p>
    <w:p w14:paraId="0F3B2D7F" w14:textId="77777777" w:rsidR="00647D0C" w:rsidRPr="00A61195" w:rsidRDefault="00647D0C" w:rsidP="00647D0C">
      <w:pPr>
        <w:rPr>
          <w:bCs/>
          <w:iCs/>
        </w:rPr>
      </w:pPr>
      <w:r w:rsidRPr="00A61195">
        <w:rPr>
          <w:bCs/>
          <w:iCs/>
        </w:rPr>
        <w:br w:type="page"/>
      </w:r>
    </w:p>
    <w:p w14:paraId="6C4D1A74" w14:textId="6BEE01E1" w:rsidR="00647D0C" w:rsidRPr="00A61195" w:rsidRDefault="00647D0C" w:rsidP="00A61195">
      <w:pPr>
        <w:pStyle w:val="Point1"/>
      </w:pPr>
      <w:r w:rsidRPr="00A61195">
        <w:lastRenderedPageBreak/>
        <w:t>(2)</w:t>
      </w:r>
      <w:r w:rsidRPr="00A61195">
        <w:tab/>
        <w:t xml:space="preserve">În anexa III la prezenta directivă se includ un parametru denumit </w:t>
      </w:r>
      <w:r w:rsidR="00D3772B">
        <w:t>«</w:t>
      </w:r>
      <w:r w:rsidRPr="00A61195">
        <w:t xml:space="preserve">suma </w:t>
      </w:r>
      <w:proofErr w:type="spellStart"/>
      <w:r w:rsidRPr="00A61195">
        <w:t>bisfenolilor</w:t>
      </w:r>
      <w:proofErr w:type="spellEnd"/>
      <w:r w:rsidR="00D3772B">
        <w:t>»</w:t>
      </w:r>
      <w:r w:rsidRPr="00A61195">
        <w:t xml:space="preserve"> și parametri aferenți sumei (sumelor) anumitor pesticide selectate în funcție de modul de acțiune și a anumitor produse farmaceutice selectate în funcție de modul de acțiune. Comisia reexaminează posibilitatea includerii acestor parametri în lista substanțelor prioritare, cu ocazia următoarei revizuiri a anexei</w:t>
      </w:r>
      <w:r w:rsidR="00D3772B">
        <w:t> </w:t>
      </w:r>
      <w:r w:rsidRPr="00A61195">
        <w:t>I la prezenta directivă care urmează să fie efectuată în conformitate cu articolul 16 din Directiva</w:t>
      </w:r>
      <w:r w:rsidR="00D3772B">
        <w:t> </w:t>
      </w:r>
      <w:r w:rsidRPr="00A61195">
        <w:t>2000/60/CE și stabilește SCM</w:t>
      </w:r>
      <w:r w:rsidRPr="00A61195">
        <w:noBreakHyphen/>
        <w:t xml:space="preserve">uri, după caz. Comisia analizează, de asemenea, cu ocazia următoarei revizuiri, dacă ar putea fi adoptată o abordare bazată pe riscuri în ceea ce privește stabilirea unor SCM-uri pentru totalul </w:t>
      </w:r>
      <w:proofErr w:type="spellStart"/>
      <w:r w:rsidRPr="00A61195">
        <w:t>bisfenolilor</w:t>
      </w:r>
      <w:proofErr w:type="spellEnd"/>
      <w:r w:rsidRPr="00A61195">
        <w:t>, totalul pesticidelor și totalul produselor farmaceutice din apele de suprafață, susținută de metode de monitorizare adecvate.</w:t>
      </w:r>
    </w:p>
    <w:p w14:paraId="64FCD29E" w14:textId="1CB30187" w:rsidR="00647D0C" w:rsidRPr="00A61195" w:rsidRDefault="00647D0C" w:rsidP="00A61195">
      <w:pPr>
        <w:pStyle w:val="Point1"/>
        <w:rPr>
          <w:bCs/>
          <w:iCs/>
        </w:rPr>
      </w:pPr>
      <w:r w:rsidRPr="00A61195">
        <w:t>(3)</w:t>
      </w:r>
      <w:r w:rsidRPr="00A61195">
        <w:tab/>
        <w:t>Comisia este împuternicită să adopte acte delegate, în conformitate cu articolul 9a, pentru a modifica anexa</w:t>
      </w:r>
      <w:r w:rsidR="00D3772B">
        <w:t> </w:t>
      </w:r>
      <w:r w:rsidRPr="00A61195">
        <w:t>II partea B în vederea adaptării acesteia la progresele științifice și tehnologice.</w:t>
      </w:r>
    </w:p>
    <w:p w14:paraId="5228E89D" w14:textId="77777777" w:rsidR="00647D0C" w:rsidRPr="00D3772B" w:rsidRDefault="00647D0C" w:rsidP="00A61195">
      <w:pPr>
        <w:pStyle w:val="Text1"/>
        <w:rPr>
          <w:i/>
          <w:iCs/>
        </w:rPr>
      </w:pPr>
      <w:r w:rsidRPr="00D3772B">
        <w:rPr>
          <w:i/>
          <w:iCs/>
        </w:rPr>
        <w:t xml:space="preserve">Articolul 8a </w:t>
      </w:r>
      <w:r w:rsidRPr="00D3772B">
        <w:rPr>
          <w:i/>
          <w:iCs/>
        </w:rPr>
        <w:br/>
        <w:t>Dispoziții specifice pentru anumite substanțe</w:t>
      </w:r>
    </w:p>
    <w:p w14:paraId="0670BA7C" w14:textId="77777777" w:rsidR="00647D0C" w:rsidRPr="00A61195" w:rsidRDefault="00647D0C" w:rsidP="00A61195">
      <w:pPr>
        <w:pStyle w:val="Point1"/>
      </w:pPr>
      <w:r w:rsidRPr="00A61195">
        <w:t>(1)</w:t>
      </w:r>
      <w:r w:rsidRPr="00A61195">
        <w:tab/>
        <w:t>În planurile de gestionare a bazinelor hidrografice elaborate în conformitate cu articolul 13 din Directiva 2000/60/CE, fără a aduce atingere cerințelor de la punctul 1.4.3 din anexa V la respectiva directivă cu privire la prezentarea stării chimice globale și nici obiectivelor și obligațiilor prevăzute la articolul 4 alineatul (1) litera (a), la articolul 11 alineatul (3) litera (k) și la articolul 16 alineatul (6) din directiva respectivă, statele membre pot pune la dispoziție hărți suplimentare pentru a prezenta starea chimică astfel cum se prevede la punctul 1.4.3 din anexa V la Directiva 2000/60/CE.</w:t>
      </w:r>
    </w:p>
    <w:p w14:paraId="2DAEECA8" w14:textId="77777777" w:rsidR="00647D0C" w:rsidRPr="00A61195" w:rsidRDefault="00647D0C" w:rsidP="00647D0C">
      <w:r w:rsidRPr="00A61195">
        <w:br w:type="page"/>
      </w:r>
    </w:p>
    <w:p w14:paraId="2AB9B90E" w14:textId="385D2411" w:rsidR="00647D0C" w:rsidRPr="00A61195" w:rsidRDefault="00647D0C" w:rsidP="00A61195">
      <w:pPr>
        <w:pStyle w:val="Point1"/>
      </w:pPr>
      <w:r w:rsidRPr="00A61195">
        <w:lastRenderedPageBreak/>
        <w:t>(2)</w:t>
      </w:r>
      <w:r w:rsidRPr="00A61195">
        <w:tab/>
        <w:t>Statele membre pot să efectueze, în cazul substanțelor identificate în partea</w:t>
      </w:r>
      <w:r w:rsidR="00D3772B">
        <w:t> </w:t>
      </w:r>
      <w:r w:rsidRPr="00A61195">
        <w:t>A din anexa I la prezenta directivă ca substanțe care se comportă ca PBT-uri omniprezente, o monitorizare mai puțin intensă decât cea prevăzută pentru substanțele prioritare în conformitate cu articolul 3 alineatul (4) din prezenta directivă și cu anexa V la Directiva 2000/60/CE, cu condiția ca monitorizarea să fie reprezentativă și să fie disponibilă o bază solidă statistică privind prezența acestor substanțe în mediul acvatic. Cu titlu de indicație, în conformitate cu articolul 3 alineatul (6) al doilea paragraf din prezenta directivă, monitorizarea ar trebui să fie efectuată cel puțin o dată la trei ani, cu excepția cazului în care utilizarea sau emisia substanței ori cunoștințele tehnice și opinia experților justifică un alt interval.</w:t>
      </w:r>
    </w:p>
    <w:p w14:paraId="31FD27A0" w14:textId="77777777" w:rsidR="00647D0C" w:rsidRPr="00A61195" w:rsidRDefault="00647D0C" w:rsidP="00647D0C">
      <w:pPr>
        <w:spacing w:before="0" w:after="160" w:line="259" w:lineRule="auto"/>
      </w:pPr>
      <w:r w:rsidRPr="00A61195">
        <w:br w:type="page"/>
      </w:r>
    </w:p>
    <w:p w14:paraId="57E60149" w14:textId="398F4E71" w:rsidR="00647D0C" w:rsidRPr="00A61195" w:rsidRDefault="00647D0C" w:rsidP="00A61195">
      <w:pPr>
        <w:pStyle w:val="Point1"/>
      </w:pPr>
      <w:r w:rsidRPr="00A61195">
        <w:lastRenderedPageBreak/>
        <w:t>(3)</w:t>
      </w:r>
      <w:r w:rsidRPr="00A61195">
        <w:tab/>
        <w:t>În cursul unei perioade de doi ani începând cu data de 1 ianuarie 2030, statele membre monitorizează prezența substanțelor estrogene în corpurile de apă, utilizând metode de monitorizare bazate pe efecte. Nu este necesar ca prelevarea de probe și analiza să debuteze la începutul respectivei perioade de doi ani, dar ele trebuie să fie efectuate cel puțin de patru ori pe an. Statele membre efectuează monitorizarea în anumite locuri care au fost selectate, unde se monitorizează cei trei hormoni estrogeni, 17-beta-estradiolul (E2), estrona (E1) și 17-alfa-etinilestradiolul (EE2), incluși pe lista din partea A din anexa I</w:t>
      </w:r>
      <w:r w:rsidR="00386139">
        <w:t xml:space="preserve"> </w:t>
      </w:r>
      <w:r w:rsidRPr="00A61195">
        <w:t>la prezenta directivă, utilizând metode analitice convenționale în conformitate cu articolul 8 din Directiva 2000/60/CE și cu anexa V la aceasta, pentru a obține rezultate comparative pentru o serie de concentrații. Datele se raportează împreună și în conformitate cu articolul 8 alineatul (4) din directiva respectivă. Numărul de locuri în care se efectuează monitorizarea nu poate fi mai mic decât cel specificat la articolul 8b alineatul (3) din prezenta directivă pentru monitorizarea substanțelor care figurează pe lista de supraveghere. Statele membre pot începe monitorizarea înainte de data de 1 ianuarie 2030, cu condiția ca specificațiile tehnice menționate la alineatul (4) de la prezentul articol să fi fost adoptate. Statele membre nu utilizează rezultatele bazate pe efecte obținute în perioada de monitorizare comparativă de doi ani în scopul clasificării stării chimice a corpurilor de apă monitorizate, astfel cum este descrisă la punctul 1.4.3 din anexa V la Directiva 2000/60/CE.</w:t>
      </w:r>
    </w:p>
    <w:p w14:paraId="0E75EA6C" w14:textId="77777777" w:rsidR="00647D0C" w:rsidRPr="00A61195" w:rsidRDefault="00647D0C" w:rsidP="00647D0C">
      <w:r w:rsidRPr="00A61195">
        <w:br w:type="page"/>
      </w:r>
    </w:p>
    <w:p w14:paraId="5CAEE4B5" w14:textId="77777777" w:rsidR="00647D0C" w:rsidRPr="00A61195" w:rsidRDefault="00647D0C" w:rsidP="00A61195">
      <w:pPr>
        <w:pStyle w:val="Point1"/>
      </w:pPr>
      <w:r w:rsidRPr="00A61195">
        <w:lastRenderedPageBreak/>
        <w:t>(4)</w:t>
      </w:r>
      <w:r w:rsidRPr="00A61195">
        <w:tab/>
        <w:t>Până la … [</w:t>
      </w:r>
      <w:r w:rsidRPr="00A61195">
        <w:rPr>
          <w:i/>
          <w:iCs/>
        </w:rPr>
        <w:t>prima zi a lunii care urmează după 18 luni de la data intrării în vigoare a prezentei directive de modificare</w:t>
      </w:r>
      <w:r w:rsidRPr="00A61195">
        <w:t>], Comisia adoptă un act de punere în aplicare prin care stabilește specificațiile tehnice pentru monitorizarea substanțelor estrogene prin utilizarea metodelor de monitorizare bazate pe efecte. Actul de punere în aplicare se adoptă în conformitate cu procedura de examinare menționată la articolul 9 alineatul (2).</w:t>
      </w:r>
    </w:p>
    <w:p w14:paraId="3C88EBCA" w14:textId="590A18F8" w:rsidR="00647D0C" w:rsidRPr="00A61195" w:rsidRDefault="00647D0C" w:rsidP="00A61195">
      <w:pPr>
        <w:pStyle w:val="Point1"/>
      </w:pPr>
      <w:r w:rsidRPr="00A61195">
        <w:t>(5)</w:t>
      </w:r>
      <w:r w:rsidRPr="00A61195">
        <w:tab/>
        <w:t xml:space="preserve">În termen de 18 luni de la raportarea datelor de către statele membre, Comisia publică un raport care compară rezultatele obținute prin metodele analitice convenționale și cele obținute prin metodele bazate pe efecte și analizează posibilitatea de a utiliza, în ceea ce privește estrogenii, metode de monitorizare bazate pe efecte împreună cu o valoare declanșatoare bazată pe efecte, astfel cum este definită la articolul 2 punctul 35a din Directiva 2000/60/CE, în scopul realizării unui screening pentru a sprijini evaluarea stării chimice. </w:t>
      </w:r>
    </w:p>
    <w:p w14:paraId="5247E327" w14:textId="245DDA2A" w:rsidR="00647D0C" w:rsidRPr="00A61195" w:rsidRDefault="00647D0C" w:rsidP="00A61195">
      <w:pPr>
        <w:pStyle w:val="Text2"/>
      </w:pPr>
      <w:r w:rsidRPr="00A61195">
        <w:t>În contextul viitoarelor revizuiri ale listei poluanților în conformitate cu articolul 16 alineatul (2) din Directiva 2000/60/CE, ținând seama de analiza cuprinsă în raportul menționat la primul paragraf de la prezentul alineat, Comisia ia în considerare stabilirea unei valori declanșatoare pentru estrogeni în scopul realizării unui screening și pentru evaluarea stării chimice. Odată ce metodele bazate pe efecte sunt gata de utilizare și pentru alte substanțe, Comisia ia în considerare, în contextul revizuirilor viitoare, să impună statelor membre utilizarea acestora, dacă este necesar, cel puțin într-o primă fază în paralel cu metodele analitice convenționale și ia în considerare stabilirea unor valori declanșatoare corespunzătoare.</w:t>
      </w:r>
    </w:p>
    <w:p w14:paraId="2AE24149" w14:textId="77777777" w:rsidR="00647D0C" w:rsidRPr="00A61195" w:rsidRDefault="00647D0C" w:rsidP="00647D0C">
      <w:pPr>
        <w:spacing w:before="0" w:after="160" w:line="259" w:lineRule="auto"/>
      </w:pPr>
      <w:r w:rsidRPr="00A61195">
        <w:br w:type="page"/>
      </w:r>
    </w:p>
    <w:p w14:paraId="44EF597F" w14:textId="77777777" w:rsidR="00647D0C" w:rsidRPr="00D3772B" w:rsidRDefault="00647D0C" w:rsidP="00A61195">
      <w:pPr>
        <w:pStyle w:val="Text1"/>
        <w:rPr>
          <w:i/>
          <w:iCs/>
        </w:rPr>
      </w:pPr>
      <w:r w:rsidRPr="00D3772B">
        <w:rPr>
          <w:i/>
          <w:iCs/>
        </w:rPr>
        <w:lastRenderedPageBreak/>
        <w:t xml:space="preserve">Articolul 8b </w:t>
      </w:r>
      <w:r w:rsidRPr="00D3772B">
        <w:rPr>
          <w:i/>
          <w:iCs/>
        </w:rPr>
        <w:br/>
        <w:t>Lista de supraveghere</w:t>
      </w:r>
    </w:p>
    <w:p w14:paraId="2D493E05" w14:textId="3F874FE7" w:rsidR="00647D0C" w:rsidRPr="00A61195" w:rsidRDefault="00647D0C" w:rsidP="00A61195">
      <w:pPr>
        <w:pStyle w:val="Point1"/>
      </w:pPr>
      <w:r w:rsidRPr="00A61195">
        <w:t>(1)</w:t>
      </w:r>
      <w:r w:rsidRPr="00A61195">
        <w:tab/>
        <w:t>Comisia este împuternicită să adopte acte de punere în aplicare pentru a stabili, având în vedere rapoartele științifice elaborate de Agenția Europeană pentru Produse Chimice (ECHA) în conformitate cu alineatul (1a) de la prezentul articol, o listă de supraveghere a substanțelor pentru care este necesar să se colecteze date de monitorizare la nivelul Uniunii de la statele membre în scopul sprijinirii viitoarelor revizuiri în conformitate cu articolul 16 alineatul (2) din Directiva 2000/60/CE și pentru a stabili formatele care trebuie utilizate de către statele membre pentru raportarea către Comisie a rezultatelor monitorizării respective și a informațiilor conexe. Respectivele acte de punere în aplicare se adoptă în conformitate cu procedura de examinare menționată la articolul 9 alineatul (2).</w:t>
      </w:r>
    </w:p>
    <w:p w14:paraId="56482AE2" w14:textId="3D2CB5AF" w:rsidR="00647D0C" w:rsidRPr="00A61195" w:rsidRDefault="00647D0C" w:rsidP="00A61195">
      <w:pPr>
        <w:pStyle w:val="Text2"/>
      </w:pPr>
      <w:r w:rsidRPr="00A61195">
        <w:t>Lista de supraveghere conține maximum 10 substanțe, grupuri de substanțe sau indicatori ai poluării în orice moment și precizează, pentru fiecare substanță, matricele de monitorizare și posibilele metode de analiză. Respectivele matrice de monitorizare și metode nu trebuie să determine costuri excesive pentru autoritățile competente. Substanțele care urmează să fie introduse în lista de supraveghere se selectează dintre substanțele care, conform informațiilor disponibile, ar putea prezenta un risc semnificativ la nivelul Uniunii pentru mediul acvatic sau prin intermediul acestuia și pentru care datele de monitorizare sunt insuficiente. Lista de supraveghere include substanțele care prezintă motive de îngrijorare emergente.</w:t>
      </w:r>
      <w:r w:rsidRPr="00A61195">
        <w:rPr>
          <w:vertAlign w:val="superscript"/>
        </w:rPr>
        <w:t xml:space="preserve"> </w:t>
      </w:r>
    </w:p>
    <w:p w14:paraId="29A2119F" w14:textId="77777777" w:rsidR="00647D0C" w:rsidRPr="00A61195" w:rsidRDefault="00647D0C" w:rsidP="00647D0C">
      <w:pPr>
        <w:spacing w:before="0" w:after="160" w:line="259" w:lineRule="auto"/>
        <w:rPr>
          <w:bCs/>
          <w:iCs/>
        </w:rPr>
      </w:pPr>
      <w:r w:rsidRPr="00A61195">
        <w:rPr>
          <w:bCs/>
          <w:iCs/>
        </w:rPr>
        <w:br w:type="page"/>
      </w:r>
    </w:p>
    <w:p w14:paraId="498ABB5B" w14:textId="49C116A6" w:rsidR="00647D0C" w:rsidRPr="00A61195" w:rsidRDefault="00647D0C" w:rsidP="00A61195">
      <w:pPr>
        <w:pStyle w:val="Text2"/>
        <w:rPr>
          <w:bCs/>
          <w:iCs/>
        </w:rPr>
      </w:pPr>
      <w:r w:rsidRPr="00A61195">
        <w:lastRenderedPageBreak/>
        <w:t xml:space="preserve">Pe baza rapoartelor științifice elaborate de ECHA în conformitate cu alineatul (1a), Comisia include pe lista de supraveghere </w:t>
      </w:r>
      <w:proofErr w:type="spellStart"/>
      <w:r w:rsidRPr="00A61195">
        <w:t>microplasticele</w:t>
      </w:r>
      <w:proofErr w:type="spellEnd"/>
      <w:r w:rsidRPr="00A61195">
        <w:t xml:space="preserve"> și indicatori adecvați ai existenței, evoluției sau transmiterii rezistenței la agenți </w:t>
      </w:r>
      <w:proofErr w:type="spellStart"/>
      <w:r w:rsidRPr="00A61195">
        <w:t>antimicrobieni</w:t>
      </w:r>
      <w:proofErr w:type="spellEnd"/>
      <w:r w:rsidRPr="00A61195">
        <w:t xml:space="preserve"> (denumiți în continuare „indicatorii rezistenței la agenți </w:t>
      </w:r>
      <w:proofErr w:type="spellStart"/>
      <w:r w:rsidRPr="00A61195">
        <w:t>antimicrobieni</w:t>
      </w:r>
      <w:proofErr w:type="spellEnd"/>
      <w:r w:rsidRPr="00A61195">
        <w:t>”), cu condiția să fie disponibile metode de prelevare și analiză fiabile și care nu presupun costuri excesive. Până la … [</w:t>
      </w:r>
      <w:r w:rsidRPr="00A61195">
        <w:rPr>
          <w:i/>
          <w:iCs/>
        </w:rPr>
        <w:t>prima zi a lunii care urmează după 18 luni de la data intrării în vigoare a prezentei directive de modificare</w:t>
      </w:r>
      <w:r w:rsidRPr="00A61195">
        <w:t>], Comisia identifică aceste metode de prelevare și analiză.</w:t>
      </w:r>
    </w:p>
    <w:p w14:paraId="6A426D8B" w14:textId="3B8A30EA" w:rsidR="00647D0C" w:rsidRPr="00A61195" w:rsidRDefault="00647D0C" w:rsidP="00A61195">
      <w:pPr>
        <w:pStyle w:val="Point1"/>
      </w:pPr>
      <w:r w:rsidRPr="00A61195">
        <w:t>(1a)</w:t>
      </w:r>
      <w:r w:rsidRPr="00A61195">
        <w:tab/>
        <w:t>ECHA întocmește rapoarte științifice pentru a ajuta Comisia la selectarea substanțelor și a indicatorilor care urmează să fie incluși în lista de supraveghere menționată la alineatul (1) de la prezentul articol, ținând seama de următoarele informații:</w:t>
      </w:r>
    </w:p>
    <w:p w14:paraId="11716562" w14:textId="77777777" w:rsidR="00647D0C" w:rsidRPr="00A61195" w:rsidRDefault="00647D0C" w:rsidP="00A61195">
      <w:pPr>
        <w:pStyle w:val="Point2"/>
      </w:pPr>
      <w:r w:rsidRPr="00A61195">
        <w:t>(a)</w:t>
      </w:r>
      <w:r w:rsidRPr="00A61195">
        <w:tab/>
        <w:t>anexa I la Directiva 2006/118/CE a Parlamentului European și a Consiliului</w:t>
      </w:r>
      <w:r w:rsidRPr="00A61195">
        <w:rPr>
          <w:b/>
          <w:bCs/>
          <w:vertAlign w:val="superscript"/>
        </w:rPr>
        <w:t>*</w:t>
      </w:r>
      <w:r w:rsidRPr="00A61195">
        <w:t xml:space="preserve"> și rezultatele celei mai recente revizuiri a anexei respective, precum și rezultatele celei mai recente revizuiri periodice a anexei I la prezenta directivă;</w:t>
      </w:r>
    </w:p>
    <w:p w14:paraId="4CE5EB8D" w14:textId="77777777" w:rsidR="00647D0C" w:rsidRPr="00A61195" w:rsidRDefault="00647D0C" w:rsidP="00A61195">
      <w:pPr>
        <w:pStyle w:val="Point2"/>
      </w:pPr>
      <w:r w:rsidRPr="00A61195">
        <w:t>(b)</w:t>
      </w:r>
      <w:r w:rsidRPr="00A61195">
        <w:tab/>
        <w:t>listele de supraveghere stabilite în conformitate cu Directivele 2006/118/CE și (UE) 2020/2184;</w:t>
      </w:r>
    </w:p>
    <w:p w14:paraId="2B8A7197" w14:textId="77777777" w:rsidR="00647D0C" w:rsidRPr="00A61195" w:rsidRDefault="00647D0C" w:rsidP="00A61195">
      <w:pPr>
        <w:pStyle w:val="Point2"/>
      </w:pPr>
      <w:r w:rsidRPr="00A61195">
        <w:t>(c)</w:t>
      </w:r>
      <w:r w:rsidRPr="00A61195">
        <w:tab/>
        <w:t>recomandări formulate de părțile interesate;</w:t>
      </w:r>
    </w:p>
    <w:p w14:paraId="793480DF" w14:textId="77777777" w:rsidR="00647D0C" w:rsidRPr="00A61195" w:rsidRDefault="00647D0C" w:rsidP="00A61195">
      <w:pPr>
        <w:pStyle w:val="Point2"/>
      </w:pPr>
      <w:r w:rsidRPr="00A61195">
        <w:t>(d)</w:t>
      </w:r>
      <w:r w:rsidRPr="00A61195">
        <w:tab/>
        <w:t>caracterizarea districtelor hidrografice efectuată de către statele membre în conformitate cu articolul 5 din Directiva 2000/60/CE și rezultatele programelor de monitorizare elaborate în conformitate cu articolul 8 din directiva respectivă;</w:t>
      </w:r>
    </w:p>
    <w:p w14:paraId="6AAE361F" w14:textId="77777777" w:rsidR="00647D0C" w:rsidRPr="00A61195" w:rsidRDefault="00647D0C">
      <w:pPr>
        <w:spacing w:before="0" w:after="160" w:line="259" w:lineRule="auto"/>
      </w:pPr>
      <w:r w:rsidRPr="00A61195">
        <w:br w:type="page"/>
      </w:r>
    </w:p>
    <w:p w14:paraId="6E40F51A" w14:textId="2BF82B9F" w:rsidR="00647D0C" w:rsidRPr="00A61195" w:rsidRDefault="00647D0C" w:rsidP="00A61195">
      <w:pPr>
        <w:pStyle w:val="Point2"/>
      </w:pPr>
      <w:r w:rsidRPr="00A61195">
        <w:lastRenderedPageBreak/>
        <w:t>(e)</w:t>
      </w:r>
      <w:r w:rsidRPr="00A61195">
        <w:tab/>
        <w:t>informațiile privind volumele de producție, modurile tipice de utilizare, proprietățile intrinsece, inclusiv, când este relevant, dimensiunea particulelor, concentrațiile în mediu și efectele negative asupra sănătății umane și asupra mediului acvatic ale unei substanțe, inclusiv informații colectate în conformitate cu Directiva 2001/83/CE, Regulamentul (CE) nr. 1907/2006, Regulamentul (CE) nr. 1272/2008 al Parlamentului European și al Consiliului</w:t>
      </w:r>
      <w:r w:rsidRPr="00A61195">
        <w:rPr>
          <w:b/>
          <w:vertAlign w:val="superscript"/>
        </w:rPr>
        <w:t>**</w:t>
      </w:r>
      <w:r w:rsidRPr="00A61195">
        <w:t>, Regulamentul (CE) nr. 1107/2009, Directiva 2009/128/CE, Regulamentul (UE) nr. 528/2012 și Regulamentul (UE) 2022/2379 al Parlamentului European și al Consiliului</w:t>
      </w:r>
      <w:r w:rsidRPr="00A61195">
        <w:rPr>
          <w:b/>
          <w:vertAlign w:val="superscript"/>
        </w:rPr>
        <w:t>***</w:t>
      </w:r>
      <w:r w:rsidRPr="00A61195">
        <w:t>;</w:t>
      </w:r>
    </w:p>
    <w:p w14:paraId="41CF4F92" w14:textId="77777777" w:rsidR="00647D0C" w:rsidRPr="00A61195" w:rsidRDefault="00647D0C" w:rsidP="00A61195">
      <w:pPr>
        <w:pStyle w:val="Point2"/>
      </w:pPr>
      <w:r w:rsidRPr="00A61195">
        <w:t>(f)</w:t>
      </w:r>
      <w:r w:rsidRPr="00A61195">
        <w:tab/>
        <w:t xml:space="preserve">proiecte de cercetare și publicații științifice, inclusiv informații despre tendințele și previziunile bazate pe modelare sau alte evaluări de prognoză, precum și informații și date furnizate de tehnologiile de teledetecție, de observarea Pământului, cum ar fi serviciile </w:t>
      </w:r>
      <w:proofErr w:type="spellStart"/>
      <w:r w:rsidRPr="00A61195">
        <w:t>Copernicus</w:t>
      </w:r>
      <w:proofErr w:type="spellEnd"/>
      <w:r w:rsidRPr="00A61195">
        <w:t xml:space="preserve">, de senzori și dispozitive </w:t>
      </w:r>
      <w:r w:rsidRPr="00A61195">
        <w:rPr>
          <w:i/>
          <w:iCs/>
        </w:rPr>
        <w:t xml:space="preserve">in </w:t>
      </w:r>
      <w:proofErr w:type="spellStart"/>
      <w:r w:rsidRPr="00A61195">
        <w:rPr>
          <w:i/>
          <w:iCs/>
        </w:rPr>
        <w:t>situ</w:t>
      </w:r>
      <w:proofErr w:type="spellEnd"/>
      <w:r w:rsidRPr="00A61195">
        <w:t xml:space="preserve"> sau de date științifice cetățenești, valorificând oportunitățile oferite de inteligența artificială și de analiza și prelucrarea avansată a datelor;</w:t>
      </w:r>
    </w:p>
    <w:p w14:paraId="492C7033" w14:textId="77777777" w:rsidR="00647D0C" w:rsidRPr="00A61195" w:rsidRDefault="00647D0C" w:rsidP="00A61195">
      <w:pPr>
        <w:pStyle w:val="Point2"/>
      </w:pPr>
      <w:r w:rsidRPr="00A61195">
        <w:t>(g)</w:t>
      </w:r>
      <w:r w:rsidRPr="00A61195">
        <w:tab/>
        <w:t>recomandările grupurilor de lucru instituite în cadrul Strategiei comune de punere în aplicare a Directivei 2000/60/CE;</w:t>
      </w:r>
    </w:p>
    <w:p w14:paraId="48D93E67" w14:textId="3F83566D" w:rsidR="00647D0C" w:rsidRPr="00A61195" w:rsidRDefault="00647D0C" w:rsidP="00A61195">
      <w:pPr>
        <w:pStyle w:val="Point2"/>
      </w:pPr>
      <w:r w:rsidRPr="00A61195">
        <w:t>(h)</w:t>
      </w:r>
      <w:r w:rsidRPr="00A61195">
        <w:tab/>
        <w:t>informațiile privind emisiile, evacuările și pierderile disponibile în cadrul Portalului emisiilor industriale prevăzut de Regulamentul (UE) 2024/1244, precum și orice informații suplimentare disponibile privind substanțele care fac obiectul autorizațiilor prevăzute de Directiva 2010/75/UE.</w:t>
      </w:r>
    </w:p>
    <w:p w14:paraId="513BC225" w14:textId="77777777" w:rsidR="00647D0C" w:rsidRPr="00A61195" w:rsidRDefault="00647D0C" w:rsidP="00647D0C">
      <w:r w:rsidRPr="00A61195">
        <w:br w:type="page"/>
      </w:r>
    </w:p>
    <w:p w14:paraId="7C93DF47" w14:textId="77777777" w:rsidR="00647D0C" w:rsidRPr="00A61195" w:rsidRDefault="00647D0C" w:rsidP="00A61195">
      <w:pPr>
        <w:pStyle w:val="Point1"/>
      </w:pPr>
      <w:r w:rsidRPr="00A61195">
        <w:lastRenderedPageBreak/>
        <w:t>(1b)</w:t>
      </w:r>
      <w:r w:rsidRPr="00A61195">
        <w:tab/>
        <w:t>Rapoartele științifice întocmite de ECHA în conformitate cu alineatul (1a) prezintă o listă de substanțe, grupuri de substanțe sau indicatori, matricea de monitorizare recomandată și o metodă orientativă de analiză, precum și o limită de cuantificare acceptabilă maximă pentru fiecare dintre acestea, însoțite de o trimitere justificativă la bibliografia sau orientările științifice.</w:t>
      </w:r>
    </w:p>
    <w:p w14:paraId="4FE99ED4" w14:textId="77777777" w:rsidR="00647D0C" w:rsidRPr="00A61195" w:rsidRDefault="00647D0C" w:rsidP="00A61195">
      <w:pPr>
        <w:pStyle w:val="Point1"/>
      </w:pPr>
      <w:r w:rsidRPr="00A61195">
        <w:t>(1c)</w:t>
      </w:r>
      <w:r w:rsidRPr="00A61195">
        <w:tab/>
        <w:t>Până la … [</w:t>
      </w:r>
      <w:r w:rsidRPr="00A61195">
        <w:rPr>
          <w:i/>
          <w:iCs/>
        </w:rPr>
        <w:t>prima zi a celei de a douăzeci și una luni de la data intrării în vigoare a prezentei directive de modificare</w:t>
      </w:r>
      <w:r w:rsidRPr="00A61195">
        <w:t>] și, ulterior, o dată la trei ani, ECHA elaborează un raport care sintetizează constatările din rapoartele științifice întocmite în conformitate cu alineatul (1a) și pune raportul respectiv la dispoziția publicului.</w:t>
      </w:r>
    </w:p>
    <w:p w14:paraId="33DE97C0" w14:textId="77777777" w:rsidR="00647D0C" w:rsidRPr="00A61195" w:rsidRDefault="00647D0C" w:rsidP="00A61195">
      <w:pPr>
        <w:pStyle w:val="Point1"/>
      </w:pPr>
      <w:r w:rsidRPr="00A61195">
        <w:t>(2)</w:t>
      </w:r>
      <w:r w:rsidRPr="00A61195">
        <w:tab/>
        <w:t>Comisia actualizează lista de supraveghere menționată la alineatul (1) până la … [</w:t>
      </w:r>
      <w:r w:rsidRPr="00A61195">
        <w:rPr>
          <w:i/>
          <w:iCs/>
        </w:rPr>
        <w:t>prima zi a celei de a douăzeci și patra luni de la data intrării în vigoare a prezentei directive de modificare</w:t>
      </w:r>
      <w:r w:rsidRPr="00A61195">
        <w:t>] și, ulterior, o dată la trei ani.</w:t>
      </w:r>
    </w:p>
    <w:p w14:paraId="7D706442" w14:textId="77777777" w:rsidR="00647D0C" w:rsidRPr="00A61195" w:rsidRDefault="00647D0C" w:rsidP="00A61195">
      <w:pPr>
        <w:pStyle w:val="Text2"/>
      </w:pPr>
      <w:r w:rsidRPr="00A61195">
        <w:t>Când actualizează lista de supraveghere, Comisia elimină din aceasta orice substanță sau indicator pentru care poate fi efectuată o evaluare bazată pe riscuri, astfel cum se menționează la articolul 16 alineatul (2) din Directiva 2000/60/CE, fără date de monitorizare suplimentare. Cu toate acestea, este posibil să se mențină pe lista de supraveghere o substanță individuală, un grup de substanțe sau un indicator pentru o perioadă suplimentară de maximum trei ani, în cazul în care sunt necesare date de monitorizare suplimentare pentru evaluarea riscului pentru mediul acvatic.</w:t>
      </w:r>
    </w:p>
    <w:p w14:paraId="359E4C97" w14:textId="77777777" w:rsidR="00647D0C" w:rsidRPr="00A61195" w:rsidRDefault="00647D0C">
      <w:pPr>
        <w:spacing w:before="0" w:after="160" w:line="259" w:lineRule="auto"/>
      </w:pPr>
      <w:r w:rsidRPr="00A61195">
        <w:br w:type="page"/>
      </w:r>
    </w:p>
    <w:p w14:paraId="5BC32B11" w14:textId="385F286A" w:rsidR="00647D0C" w:rsidRPr="00A61195" w:rsidRDefault="00647D0C" w:rsidP="00A61195">
      <w:pPr>
        <w:pStyle w:val="Text2"/>
      </w:pPr>
      <w:r w:rsidRPr="00A61195">
        <w:lastRenderedPageBreak/>
        <w:t>Fiecare listă de supraveghere actualizată include, de asemenea, una sau mai multe substanțe suplimentare, unul sau mai multe grupuri de substanțe suplimentare ori unul sau mai mulți indicatori suplimentari cu privire la care Comisia consideră, pe baza rapoartelor științifice ale ECHA, că ar putea exista un risc pe scară largă pentru mediul acvatic sau prin intermediul acestuia, cu condiția ca lista de supraveghere actualizată să conțină maximum zece substanțe, grupuri de substanțe sau indicatori, în conformitate cu alineatul (1).</w:t>
      </w:r>
    </w:p>
    <w:p w14:paraId="70C53C1F" w14:textId="2C977023" w:rsidR="00647D0C" w:rsidRPr="00A61195" w:rsidRDefault="00647D0C" w:rsidP="00A61195">
      <w:pPr>
        <w:pStyle w:val="Text2"/>
      </w:pPr>
      <w:proofErr w:type="spellStart"/>
      <w:r w:rsidRPr="00A61195">
        <w:t>Microplasticele</w:t>
      </w:r>
      <w:proofErr w:type="spellEnd"/>
      <w:r w:rsidRPr="00A61195">
        <w:t xml:space="preserve"> și indicatorii rezistenței la agenți </w:t>
      </w:r>
      <w:proofErr w:type="spellStart"/>
      <w:r w:rsidRPr="00A61195">
        <w:t>antimicrobieni</w:t>
      </w:r>
      <w:proofErr w:type="spellEnd"/>
      <w:r w:rsidRPr="00A61195">
        <w:t xml:space="preserve"> nu se mențin pe listă pentru o a doua perioadă consecutivă de trei ani, cu excepția cazului în care este disponibilă o metodologie armonizată și fiabilă de evaluare a riscurilor care, atunci când este aplicată, arată că datele de monitorizare colectate în cursul primei perioade de monitorizare sunt insuficiente pentru a evalua riscul pe care acestea îl prezintă pentru mediul acvatic sau prin intermediul acestuia.</w:t>
      </w:r>
    </w:p>
    <w:p w14:paraId="59A07103" w14:textId="48B5AEB4" w:rsidR="00647D0C" w:rsidRPr="00A61195" w:rsidRDefault="00647D0C" w:rsidP="00A61195">
      <w:pPr>
        <w:pStyle w:val="Point1"/>
        <w:rPr>
          <w:bCs/>
          <w:iCs/>
        </w:rPr>
      </w:pPr>
      <w:r w:rsidRPr="00A61195">
        <w:t>(3)</w:t>
      </w:r>
      <w:r w:rsidRPr="00A61195">
        <w:tab/>
        <w:t>Statele membre monitorizează fiecare substanță, grup de substanțe și indicatori din lista de supraveghere menționată la alineatul (1) în cadrul anumitor stații de monitorizare reprezentative, pentru o perioadă de 24 de luni. Perioada de monitorizare începe în termen de șase luni de la includerea substanței pe listă, dar nu este necesar ca prelevarea și analiza să debuteze la începutul perioadei respective.</w:t>
      </w:r>
    </w:p>
    <w:p w14:paraId="7B1C74C0" w14:textId="77777777" w:rsidR="00647D0C" w:rsidRPr="00A61195" w:rsidRDefault="00647D0C" w:rsidP="00A61195">
      <w:pPr>
        <w:pStyle w:val="Text2"/>
      </w:pPr>
      <w:r w:rsidRPr="00A61195">
        <w:t>Fiecare stat membru selectează cel puțin o stație de monitorizare, plus încă o stație dacă statul membru respectiv are peste un milion de locuitori, plus numărul de stații egal cu rezultatul obținut prin împărțirea suprafeței sale geografice în km</w:t>
      </w:r>
      <w:r w:rsidRPr="00A61195">
        <w:rPr>
          <w:vertAlign w:val="superscript"/>
        </w:rPr>
        <w:t>2</w:t>
      </w:r>
      <w:r w:rsidRPr="00A61195">
        <w:t xml:space="preserve"> la 60 000, rotunjit la numărul întreg cel mai apropiat, plus numărul de stații egal cu rezultatul obținut prin împărțirea populației sale la cinci milioane, rotunjit la numărul întreg cel mai apropiat.</w:t>
      </w:r>
    </w:p>
    <w:p w14:paraId="0DB7E2D6" w14:textId="77777777" w:rsidR="00647D0C" w:rsidRPr="00A61195" w:rsidRDefault="00647D0C" w:rsidP="00647D0C">
      <w:pPr>
        <w:spacing w:before="0" w:after="160" w:line="259" w:lineRule="auto"/>
      </w:pPr>
      <w:r w:rsidRPr="00A61195">
        <w:br w:type="page"/>
      </w:r>
    </w:p>
    <w:p w14:paraId="6285F399" w14:textId="77777777" w:rsidR="00647D0C" w:rsidRPr="00A61195" w:rsidRDefault="00647D0C" w:rsidP="00A61195">
      <w:pPr>
        <w:pStyle w:val="Text2"/>
      </w:pPr>
      <w:r w:rsidRPr="00A61195">
        <w:lastRenderedPageBreak/>
        <w:t xml:space="preserve">La alegerea stațiilor de monitorizare reprezentative, a frecvenței și a calendarului de monitorizare pentru fiecare substanță, grup de substanțe sau indicator, statele membre țin seama de variabilitatea sezonieră a precipitațiilor, de nivelurile apei, de modurile tipice de utilizare și de posibilitatea prezenței substanței, a grupului de substanțe sau a indicatorului. Monitorizarea are loc cel puțin de două ori pe an atunci când este efectuată în apă și cel puțin o dată pe an atunci când este efectuată în sedimente sau în </w:t>
      </w:r>
      <w:proofErr w:type="spellStart"/>
      <w:r w:rsidRPr="00A61195">
        <w:t>biotă</w:t>
      </w:r>
      <w:proofErr w:type="spellEnd"/>
      <w:r w:rsidRPr="00A61195">
        <w:t>. În cazul în care sunt necesare frecvențe mai mari, precum în cazul substanțelor sensibile la variațiile climatice sau sezoniere, creșterea frecvenței este stabilită și justificată din punct de vedere tehnic în actul de punere în aplicare de stabilire a listei de supraveghere adoptat în temeiul alineatului (1).</w:t>
      </w:r>
    </w:p>
    <w:p w14:paraId="5455AA1A" w14:textId="175C95B3" w:rsidR="00647D0C" w:rsidRPr="00A61195" w:rsidRDefault="00647D0C" w:rsidP="00A61195">
      <w:pPr>
        <w:pStyle w:val="Text2"/>
      </w:pPr>
      <w:r w:rsidRPr="00A61195">
        <w:t xml:space="preserve">Dacă un stat membru este în măsură să genereze, din programele sau studiile de monitorizare existente, și să transmită Comisiei date de monitorizare suficiente, comparabile, reprezentative și recente pentru o anumită substanță, un anumit grup de substanțe sau un anumit indicator, respectivul stat membru poate decide să nu efectueze o monitorizare suplimentară în cadrul mecanismului listelor de supraveghere pentru substanța, grupul de substanțe sau indicatorul în cauză, cu condiția ca substanța, grupul de substanțe sau indicatorul să fi fost monitorizat </w:t>
      </w:r>
      <w:proofErr w:type="spellStart"/>
      <w:r w:rsidRPr="00A61195">
        <w:t>printr</w:t>
      </w:r>
      <w:r w:rsidR="00D3772B">
        <w:t>­</w:t>
      </w:r>
      <w:r w:rsidRPr="00A61195">
        <w:t>o</w:t>
      </w:r>
      <w:proofErr w:type="spellEnd"/>
      <w:r w:rsidRPr="00A61195">
        <w:t xml:space="preserve"> metodologie care este conformă cu matricele de monitorizare și metodele de analiză menționate în actul de punere în aplicare prin care este stabilită lista de supraveghere, precum și cu Directiva 2009/90/CE a Comisiei</w:t>
      </w:r>
      <w:r w:rsidRPr="00A61195">
        <w:rPr>
          <w:b/>
          <w:vertAlign w:val="superscript"/>
        </w:rPr>
        <w:t>****</w:t>
      </w:r>
      <w:r w:rsidRPr="00A61195">
        <w:t>.</w:t>
      </w:r>
    </w:p>
    <w:p w14:paraId="65366BB9" w14:textId="77777777" w:rsidR="00647D0C" w:rsidRPr="00A61195" w:rsidRDefault="00647D0C">
      <w:pPr>
        <w:spacing w:before="0" w:after="160" w:line="259" w:lineRule="auto"/>
      </w:pPr>
      <w:r w:rsidRPr="00A61195">
        <w:br w:type="page"/>
      </w:r>
    </w:p>
    <w:p w14:paraId="756B8ED8" w14:textId="14ED0DC8" w:rsidR="00647D0C" w:rsidRPr="00A61195" w:rsidRDefault="00647D0C" w:rsidP="00A61195">
      <w:pPr>
        <w:pStyle w:val="Point1"/>
      </w:pPr>
      <w:r w:rsidRPr="00A61195">
        <w:lastRenderedPageBreak/>
        <w:t>(4)</w:t>
      </w:r>
      <w:r w:rsidRPr="00A61195">
        <w:tab/>
        <w:t>Statele membre pun la dispoziție în fiecare an rezultatele monitorizării menționate la alineatul (3) de la prezentul articol în conformitate cu articolul 8 alineatul (4) din Directiva 2000/60/CE și cu actul de punere în aplicare prin care este stabilită lista de supraveghere adoptat în temeiul alineatului (1) de la prezentul articol. Statele membre pun de asemenea la dispoziție informații cu privire la reprezentativitatea stațiilor de monitorizare și la strategia de monitorizare.</w:t>
      </w:r>
    </w:p>
    <w:p w14:paraId="3FEFD27A" w14:textId="77777777" w:rsidR="00647D0C" w:rsidRPr="00A61195" w:rsidRDefault="00647D0C" w:rsidP="00A61195">
      <w:pPr>
        <w:pStyle w:val="Point1"/>
      </w:pPr>
      <w:r w:rsidRPr="00A61195">
        <w:t>(5)</w:t>
      </w:r>
      <w:r w:rsidRPr="00A61195">
        <w:tab/>
        <w:t>La sfârșitul perioadei de 24 de luni menționate la alineatul (3), ECHA analizează rezultatele monitorizării și evaluează ce substanțe, grupuri de substanțe sau indicatori trebuie să fie monitorizați timp de încă 24 de luni și, prin urmare, urmează să fie păstrați pe lista de supraveghere și ce substanțe, grupuri de substanțe sau indicatori pot fi eliminați de pe lista de supraveghere.</w:t>
      </w:r>
    </w:p>
    <w:p w14:paraId="6E6A5E98" w14:textId="50001458" w:rsidR="00647D0C" w:rsidRPr="00A61195" w:rsidRDefault="00647D0C" w:rsidP="00A61195">
      <w:pPr>
        <w:pStyle w:val="Text2"/>
      </w:pPr>
      <w:r w:rsidRPr="00A61195">
        <w:t>În cazul în care Comisia, pe baza evaluării efectuate de ECHA, astfel cum se menționează la primul paragraf de la prezentul alineat, ajunge la concluzia că nu este necesară monitorizarea suplimentară pentru evaluarea mai detaliată a riscului pentru mediul acvatic, această evaluare efectuată de ECHA este luată în considerare în cadrul revizuirii listelor substanțelor din anexa I sau din partea</w:t>
      </w:r>
      <w:r w:rsidR="00D3772B">
        <w:t> </w:t>
      </w:r>
      <w:r w:rsidRPr="00A61195">
        <w:t>C din anexa</w:t>
      </w:r>
      <w:r w:rsidR="00D3772B">
        <w:t> </w:t>
      </w:r>
      <w:r w:rsidRPr="00A61195">
        <w:t>II la prezenta directivă, în conformitate cu articolul 16 din Directiva</w:t>
      </w:r>
      <w:r w:rsidR="00D3772B">
        <w:t> </w:t>
      </w:r>
      <w:r w:rsidRPr="00A61195">
        <w:t>2000/60/CE.</w:t>
      </w:r>
    </w:p>
    <w:p w14:paraId="7CC674F2" w14:textId="77777777" w:rsidR="00647D0C" w:rsidRPr="00A61195" w:rsidRDefault="00647D0C">
      <w:pPr>
        <w:spacing w:before="0" w:after="160" w:line="259" w:lineRule="auto"/>
      </w:pPr>
      <w:r w:rsidRPr="00A61195">
        <w:br w:type="page"/>
      </w:r>
    </w:p>
    <w:p w14:paraId="01BBE9FA" w14:textId="73CF8FA4" w:rsidR="00647D0C" w:rsidRPr="00A61195" w:rsidRDefault="00647D0C" w:rsidP="00A61195">
      <w:pPr>
        <w:pStyle w:val="Text1"/>
        <w:rPr>
          <w:bCs/>
          <w:iCs/>
        </w:rPr>
      </w:pPr>
      <w:r w:rsidRPr="00A61195">
        <w:lastRenderedPageBreak/>
        <w:t>_________________</w:t>
      </w:r>
    </w:p>
    <w:p w14:paraId="210BDFEF" w14:textId="1C9F864E" w:rsidR="00647D0C" w:rsidRPr="00A61195" w:rsidRDefault="00647D0C" w:rsidP="00A61195">
      <w:pPr>
        <w:pStyle w:val="Point1"/>
        <w:spacing w:before="0" w:after="0" w:line="240" w:lineRule="auto"/>
        <w:ind w:left="1418"/>
      </w:pPr>
      <w:r w:rsidRPr="00A61195">
        <w:rPr>
          <w:b/>
          <w:vertAlign w:val="superscript"/>
        </w:rPr>
        <w:t>*</w:t>
      </w:r>
      <w:r w:rsidRPr="00A61195">
        <w:tab/>
        <w:t>Directiva 2006/118/CE a Parlamentului European și a Consiliului din 12 decembrie 2006 privind prevenirea și controlul poluării apelor subterane</w:t>
      </w:r>
      <w:r w:rsidRPr="00A61195" w:rsidDel="00C5021E">
        <w:t xml:space="preserve"> </w:t>
      </w:r>
      <w:r w:rsidRPr="00A61195">
        <w:t>i (JO</w:t>
      </w:r>
      <w:r w:rsidR="00D3772B">
        <w:t> </w:t>
      </w:r>
      <w:r w:rsidRPr="00A61195">
        <w:t>L 372, 27.12.2006, p. 19, ELI: </w:t>
      </w:r>
      <w:hyperlink r:id="rId57" w:history="1">
        <w:r w:rsidRPr="00275CA3">
          <w:rPr>
            <w:rStyle w:val="Hyperlink"/>
          </w:rPr>
          <w:t>http://data.europa.eu/eli/dir/2006/118/oj</w:t>
        </w:r>
      </w:hyperlink>
      <w:r w:rsidRPr="00A61195">
        <w:t>).</w:t>
      </w:r>
    </w:p>
    <w:p w14:paraId="5F9A8B92" w14:textId="6A1BD3BA" w:rsidR="00647D0C" w:rsidRPr="00A61195" w:rsidRDefault="00647D0C" w:rsidP="003935A6">
      <w:pPr>
        <w:pStyle w:val="Point1"/>
        <w:spacing w:before="0" w:after="0" w:line="240" w:lineRule="auto"/>
        <w:ind w:left="1418"/>
      </w:pPr>
      <w:r w:rsidRPr="00A61195">
        <w:rPr>
          <w:b/>
          <w:vertAlign w:val="superscript"/>
        </w:rPr>
        <w:t>**</w:t>
      </w:r>
      <w:r w:rsidRPr="00A61195">
        <w:tab/>
        <w:t>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p. 1, ELI: </w:t>
      </w:r>
      <w:hyperlink r:id="rId58" w:history="1">
        <w:r w:rsidRPr="00275CA3">
          <w:rPr>
            <w:rStyle w:val="Hyperlink"/>
          </w:rPr>
          <w:t>http://data.europa.eu/eli/reg/2008/1272/oj</w:t>
        </w:r>
      </w:hyperlink>
      <w:r w:rsidRPr="00A61195">
        <w:t>).</w:t>
      </w:r>
    </w:p>
    <w:p w14:paraId="46E95647" w14:textId="613E30CC" w:rsidR="00647D0C" w:rsidRPr="00A61195" w:rsidRDefault="00647D0C" w:rsidP="00A61195">
      <w:pPr>
        <w:pStyle w:val="Point1"/>
        <w:spacing w:before="0" w:after="0" w:line="240" w:lineRule="auto"/>
        <w:ind w:left="1418"/>
      </w:pPr>
      <w:r w:rsidRPr="00A61195">
        <w:rPr>
          <w:b/>
          <w:vertAlign w:val="superscript"/>
        </w:rPr>
        <w:t>***</w:t>
      </w:r>
      <w:r w:rsidRPr="00A61195">
        <w:tab/>
        <w:t>Regulamentul (UE) 2022/2379 al Parlamentului European și al Consiliului din 23 noiembrie 2022 privind statisticile referitoare la factorii de producție și la producția agricolă, de modificare a Regulamentului (CE) nr. 617/2008 al Comisiei și de abrogare a Regulamentelor (CE) nr. 1165/2008, (CE) nr. 543/2009 și (CE) nr. 1185/2009 ale Parlamentului European și ale Consiliului și a Directivei 96/16/CE a Consiliului (JO L 315, 7.12.2022, p. 1, ELI: </w:t>
      </w:r>
      <w:hyperlink r:id="rId59" w:history="1">
        <w:r w:rsidRPr="00275CA3">
          <w:rPr>
            <w:rStyle w:val="Hyperlink"/>
          </w:rPr>
          <w:t>http://data.europa.eu/eli/reg/2022/2379/oj</w:t>
        </w:r>
      </w:hyperlink>
      <w:r w:rsidRPr="00A61195">
        <w:t>).</w:t>
      </w:r>
    </w:p>
    <w:p w14:paraId="009FAD66" w14:textId="406DA965" w:rsidR="00647D0C" w:rsidRPr="00A61195" w:rsidRDefault="00647D0C" w:rsidP="00A61195">
      <w:pPr>
        <w:pStyle w:val="Point1"/>
        <w:spacing w:before="0" w:line="240" w:lineRule="auto"/>
        <w:ind w:left="1418"/>
      </w:pPr>
      <w:r w:rsidRPr="00A61195">
        <w:rPr>
          <w:b/>
          <w:vertAlign w:val="superscript"/>
        </w:rPr>
        <w:t>****</w:t>
      </w:r>
      <w:r w:rsidRPr="00A61195">
        <w:tab/>
        <w:t>Directiva 2009/90/CE a Comisiei din 31 iulie 2009 de stabilire, în temeiul Directivei 2000/60/CE a Parlamentului European și a Consiliului, a specificațiilor tehnice pentru analiza chimică și monitorizarea stării apelor (JO L 201, 1.8.2009, p. 36, ELI: </w:t>
      </w:r>
      <w:hyperlink r:id="rId60" w:history="1">
        <w:r w:rsidRPr="00275CA3">
          <w:rPr>
            <w:rStyle w:val="Hyperlink"/>
          </w:rPr>
          <w:t>http://data.europa.eu/eli/dir/2009/90/oj</w:t>
        </w:r>
      </w:hyperlink>
      <w:r w:rsidRPr="00A61195">
        <w:t>).”</w:t>
      </w:r>
    </w:p>
    <w:p w14:paraId="08CBE019" w14:textId="77777777" w:rsidR="00647D0C" w:rsidRPr="00A61195" w:rsidRDefault="00647D0C" w:rsidP="00647D0C">
      <w:pPr>
        <w:spacing w:before="0" w:after="160" w:line="259" w:lineRule="auto"/>
      </w:pPr>
      <w:r w:rsidRPr="00A61195">
        <w:br w:type="page"/>
      </w:r>
    </w:p>
    <w:p w14:paraId="1060E1D9" w14:textId="190C32A9" w:rsidR="00647D0C" w:rsidRPr="00A61195" w:rsidRDefault="00A61195" w:rsidP="00A61195">
      <w:pPr>
        <w:pStyle w:val="Point0"/>
      </w:pPr>
      <w:r w:rsidRPr="00A61195">
        <w:lastRenderedPageBreak/>
        <w:t>7</w:t>
      </w:r>
      <w:r w:rsidR="00647D0C" w:rsidRPr="00A61195">
        <w:t>.</w:t>
      </w:r>
      <w:r w:rsidR="00647D0C" w:rsidRPr="00A61195">
        <w:tab/>
        <w:t>Se introduce următorul articol:</w:t>
      </w:r>
    </w:p>
    <w:p w14:paraId="6FC4FABD" w14:textId="77777777" w:rsidR="00647D0C" w:rsidRPr="00A61195" w:rsidRDefault="00647D0C" w:rsidP="00A61195">
      <w:pPr>
        <w:pStyle w:val="Text1"/>
      </w:pPr>
      <w:r w:rsidRPr="00A61195">
        <w:t>„</w:t>
      </w:r>
      <w:r w:rsidRPr="00D3772B">
        <w:rPr>
          <w:i/>
          <w:iCs/>
        </w:rPr>
        <w:t xml:space="preserve">Articolul 8d </w:t>
      </w:r>
      <w:r w:rsidRPr="00D3772B">
        <w:rPr>
          <w:i/>
          <w:iCs/>
        </w:rPr>
        <w:br/>
        <w:t>Poluanți specifici bazinelor hidrografice</w:t>
      </w:r>
    </w:p>
    <w:p w14:paraId="72D40FFE" w14:textId="7F2E58B7" w:rsidR="00647D0C" w:rsidRPr="00A61195" w:rsidRDefault="00647D0C" w:rsidP="00A61195">
      <w:pPr>
        <w:pStyle w:val="Point1"/>
      </w:pPr>
      <w:r w:rsidRPr="00A61195">
        <w:t>(1)</w:t>
      </w:r>
      <w:r w:rsidRPr="00A61195">
        <w:tab/>
        <w:t>Statele membre stabilesc și aplică SCM-uri pentru poluanții specifici bazinelor hidrografice din categoriile incluse pe lista din partea A din anexa II la prezenta directivă, în cazul în care identifică poluanții respectivi ca prezentând un risc pentru corpuri de apă din unul sau mai multe dintre districtele lor hidrografice, pe baza analizelor și revizuirilor efectuate în temeiul articolului 5 din Directiva 2000/60/CE, în conformitate cu procedura prevăzută în partea</w:t>
      </w:r>
      <w:r w:rsidR="00D3772B">
        <w:t> </w:t>
      </w:r>
      <w:r w:rsidRPr="00A61195">
        <w:t>B din anexa</w:t>
      </w:r>
      <w:r w:rsidR="00D3772B">
        <w:t> </w:t>
      </w:r>
      <w:r w:rsidRPr="00A61195">
        <w:t>II la prezenta directivă.</w:t>
      </w:r>
    </w:p>
    <w:p w14:paraId="4C767816" w14:textId="77777777" w:rsidR="00647D0C" w:rsidRPr="00A61195" w:rsidRDefault="00647D0C" w:rsidP="00A61195">
      <w:pPr>
        <w:pStyle w:val="Text2"/>
      </w:pPr>
      <w:r w:rsidRPr="00A61195">
        <w:t>Până la 22 decembrie 2027, statele membre</w:t>
      </w:r>
      <w:bookmarkStart w:id="13" w:name="DQCErrorScopeF56484D42BB86E7E52C3E6D6CFE"/>
      <w:r w:rsidRPr="00A61195">
        <w:t xml:space="preserve"> </w:t>
      </w:r>
      <w:bookmarkEnd w:id="13"/>
      <w:r w:rsidRPr="00A61195">
        <w:t>informează Comisia cu privire la lista lor de poluanți specifici bazinelor hidrografice și la SCM</w:t>
      </w:r>
      <w:r w:rsidRPr="00A61195">
        <w:noBreakHyphen/>
        <w:t xml:space="preserve">urile stabilite în temeiul primului paragraf de la prezentul alineat. Comisia se asigură că respectivele informații sunt puse la dispoziția publicului. </w:t>
      </w:r>
    </w:p>
    <w:p w14:paraId="77E9C4B9" w14:textId="04C251BC" w:rsidR="00647D0C" w:rsidRPr="00A61195" w:rsidRDefault="00647D0C" w:rsidP="00A61195">
      <w:pPr>
        <w:pStyle w:val="Text2"/>
      </w:pPr>
      <w:r w:rsidRPr="00A61195">
        <w:t>Actualizările ulterioare ale listei de poluanți specifici bazinelor hidrografice identificați de statele membre în conformitate u primul paragraf și SCM-urile corespunzătoare acestora se includ în planurile de gestionare a bazinelor hidrografice care urmează să fie elaborate în temeiul articolului 13 din Directiva 2000/60/CE.</w:t>
      </w:r>
    </w:p>
    <w:p w14:paraId="5E2CDA27" w14:textId="77777777" w:rsidR="00647D0C" w:rsidRPr="00A61195" w:rsidRDefault="00647D0C" w:rsidP="00647D0C">
      <w:pPr>
        <w:spacing w:before="0" w:after="160" w:line="259" w:lineRule="auto"/>
      </w:pPr>
      <w:r w:rsidRPr="00A61195">
        <w:br w:type="page"/>
      </w:r>
    </w:p>
    <w:p w14:paraId="79B9E833" w14:textId="320E6CC6" w:rsidR="00647D0C" w:rsidRPr="00A61195" w:rsidRDefault="00647D0C" w:rsidP="00A61195">
      <w:pPr>
        <w:pStyle w:val="Point1"/>
      </w:pPr>
      <w:r w:rsidRPr="00A61195">
        <w:lastRenderedPageBreak/>
        <w:t>(2)</w:t>
      </w:r>
      <w:r w:rsidRPr="00A61195">
        <w:tab/>
        <w:t>În cazul în care pentru poluanții specifici bazinelor hidrografice au fost stabilite SCM-uri la nivelul Uniunii, în conformitate cu articolul 16 alineatul (4) din Directiva 2000/60/CE, și incluse pe lista din partea C din anexa II la prezenta directivă, respectivele SCM-uri prevalează asupra SCM-urilor pentru poluanții specifici bazinelor hidrografice stabilite la nivel național în conformitate cu alineatul (1) de la prezentul articol. Statele membre aplică respectivele SCM-uri stabilite la nivelul Uniunii și pentru a stabili dacă poluanții specifici bazinelor hidrografice incluși pe lista din partea C din anexa</w:t>
      </w:r>
      <w:r w:rsidR="00D3772B">
        <w:t> </w:t>
      </w:r>
      <w:r w:rsidRPr="00A61195">
        <w:t>II la prezenta directivă prezintă vreun risc.</w:t>
      </w:r>
    </w:p>
    <w:p w14:paraId="6C0DEB27" w14:textId="2DF47D27" w:rsidR="00647D0C" w:rsidRPr="00A61195" w:rsidRDefault="00647D0C" w:rsidP="00A61195">
      <w:pPr>
        <w:pStyle w:val="Point1"/>
      </w:pPr>
      <w:r w:rsidRPr="00A61195">
        <w:t>(3)</w:t>
      </w:r>
      <w:r w:rsidRPr="00A61195">
        <w:tab/>
        <w:t>Conformitatea cu SCM-urile naționale aplicabile sau, atunci când este relevant, cu SCM-urile stabilite la nivelul Uniunii este necesară pentru ca un corp de apă să atingă o stare chimică bună a apei de suprafață, astfel cum este definită la articolul 2 punctul 24 din Directiva 2000/60/CE.”</w:t>
      </w:r>
    </w:p>
    <w:p w14:paraId="6D033678" w14:textId="77777777" w:rsidR="00647D0C" w:rsidRPr="00A61195" w:rsidRDefault="00647D0C" w:rsidP="00647D0C">
      <w:pPr>
        <w:spacing w:before="0" w:after="160" w:line="259" w:lineRule="auto"/>
        <w:rPr>
          <w:bCs/>
          <w:iCs/>
        </w:rPr>
      </w:pPr>
      <w:r w:rsidRPr="00A61195">
        <w:rPr>
          <w:bCs/>
          <w:iCs/>
        </w:rPr>
        <w:br w:type="page"/>
      </w:r>
    </w:p>
    <w:p w14:paraId="2F4D8AD0" w14:textId="17720249" w:rsidR="00647D0C" w:rsidRPr="00A61195" w:rsidRDefault="00647D0C" w:rsidP="00A61195">
      <w:pPr>
        <w:pStyle w:val="Point0"/>
      </w:pPr>
      <w:r w:rsidRPr="00A61195">
        <w:lastRenderedPageBreak/>
        <w:t>8.</w:t>
      </w:r>
      <w:r w:rsidRPr="00A61195">
        <w:tab/>
        <w:t>Articolul 9a se modifică după cum urmează:</w:t>
      </w:r>
    </w:p>
    <w:p w14:paraId="4CD312B9" w14:textId="77777777" w:rsidR="00647D0C" w:rsidRPr="00A61195" w:rsidRDefault="00647D0C" w:rsidP="00A61195">
      <w:pPr>
        <w:pStyle w:val="Point1"/>
        <w:rPr>
          <w:bCs/>
          <w:iCs/>
        </w:rPr>
      </w:pPr>
      <w:r w:rsidRPr="00A61195">
        <w:t>(a)</w:t>
      </w:r>
      <w:r w:rsidRPr="00A61195">
        <w:tab/>
        <w:t>alineatele (2) și (3) se înlocuiesc cu următorul text:</w:t>
      </w:r>
    </w:p>
    <w:p w14:paraId="58820FC8" w14:textId="77777777" w:rsidR="00647D0C" w:rsidRPr="00A61195" w:rsidRDefault="00647D0C" w:rsidP="00A61195">
      <w:pPr>
        <w:pStyle w:val="Point2"/>
      </w:pPr>
      <w:r w:rsidRPr="00A61195">
        <w:t>„(2)</w:t>
      </w:r>
      <w:r w:rsidRPr="00A61195">
        <w:tab/>
        <w:t>Competența de a adopta acte delegate menționată la articolul 3 alineatul (8) și la articolul 8 alineatul (3) se conferă Comisiei pe o perioadă de șase ani începând cu … [</w:t>
      </w:r>
      <w:r w:rsidRPr="00A61195">
        <w:rPr>
          <w:i/>
          <w:iCs/>
        </w:rPr>
        <w:t>data intrării în vigoare a prezentei directive de modificare</w:t>
      </w:r>
      <w:r w:rsidRPr="00A61195">
        <w:t>]. Comisia elaborează un raport privind delegarea de competențe cel târziu cu nouă luni înainte de încheierea perioadei de șase ani. Delegarea de competențe se prelungește tacit cu perioade de timp identice, cu excepția cazului în care Parlamentul European sau Consiliul se opune prelungirii respective cu cel puțin trei luni înainte de încheierea fiecărei perioade.</w:t>
      </w:r>
    </w:p>
    <w:p w14:paraId="10A45DED" w14:textId="77777777" w:rsidR="00647D0C" w:rsidRPr="00A61195" w:rsidRDefault="00647D0C" w:rsidP="00A61195">
      <w:pPr>
        <w:pStyle w:val="Point2"/>
        <w:rPr>
          <w:bCs/>
          <w:iCs/>
        </w:rPr>
      </w:pPr>
      <w:r w:rsidRPr="00A61195">
        <w:t>(3)</w:t>
      </w:r>
      <w:r w:rsidRPr="00A61195">
        <w:tab/>
        <w:t xml:space="preserve">Delegarea de competențe menționată la articolul 3 alineatul (8) și la articolul 8 alineatul (3) poate fi revocată oricând de Parlamentul European sau de Consiliu. O decizie de revocare pune capăt delegării de competențe specificate în decizia respectivă. Decizia produce efecte din ziua care urmează datei publicării acesteia în </w:t>
      </w:r>
      <w:r w:rsidRPr="00A61195">
        <w:rPr>
          <w:i/>
          <w:iCs/>
        </w:rPr>
        <w:t>Jurnalul Oficial al Uniunii Europene</w:t>
      </w:r>
      <w:r w:rsidRPr="00A61195">
        <w:t xml:space="preserve"> sau de la o dată ulterioară menționată în decizie. Decizia nu aduce atingere actelor delegate deja în vigoare.</w:t>
      </w:r>
    </w:p>
    <w:p w14:paraId="7089B8F1" w14:textId="77777777" w:rsidR="00647D0C" w:rsidRPr="00A61195" w:rsidRDefault="00647D0C" w:rsidP="00A61195">
      <w:pPr>
        <w:pStyle w:val="Point2"/>
        <w:rPr>
          <w:bCs/>
          <w:iCs/>
        </w:rPr>
      </w:pPr>
      <w:r w:rsidRPr="00A61195">
        <w:t>(3a)</w:t>
      </w:r>
      <w:r w:rsidRPr="00A61195">
        <w:tab/>
        <w:t>Înainte de adoptarea unui act delegat, Comisia consultă experții desemnați de fiecare stat membru în conformitate cu principiile prevăzute în Acordul interinstituțional din 13 aprilie 2016 privind o mai bună legiferare.”;</w:t>
      </w:r>
    </w:p>
    <w:p w14:paraId="50FA75DF" w14:textId="77777777" w:rsidR="00647D0C" w:rsidRPr="00A61195" w:rsidRDefault="00647D0C">
      <w:pPr>
        <w:spacing w:before="0" w:after="160" w:line="259" w:lineRule="auto"/>
      </w:pPr>
      <w:r w:rsidRPr="00A61195">
        <w:br w:type="page"/>
      </w:r>
    </w:p>
    <w:p w14:paraId="6E88F12E" w14:textId="6481572E" w:rsidR="00647D0C" w:rsidRPr="00A61195" w:rsidRDefault="00647D0C" w:rsidP="00A61195">
      <w:pPr>
        <w:pStyle w:val="Point1"/>
        <w:rPr>
          <w:bCs/>
          <w:iCs/>
        </w:rPr>
      </w:pPr>
      <w:r w:rsidRPr="00A61195">
        <w:lastRenderedPageBreak/>
        <w:t>(b)</w:t>
      </w:r>
      <w:r w:rsidRPr="00A61195">
        <w:tab/>
        <w:t>alineatul (5) se înlocuiește cu următorul text:</w:t>
      </w:r>
    </w:p>
    <w:p w14:paraId="169966D4" w14:textId="77777777" w:rsidR="00647D0C" w:rsidRPr="00A61195" w:rsidRDefault="00647D0C" w:rsidP="00A61195">
      <w:pPr>
        <w:pStyle w:val="Point2"/>
        <w:rPr>
          <w:bCs/>
          <w:iCs/>
        </w:rPr>
      </w:pPr>
      <w:r w:rsidRPr="00A61195">
        <w:t>„(5)</w:t>
      </w:r>
      <w:r w:rsidRPr="00A61195">
        <w:tab/>
        <w:t>Un act delegat adoptat în temeiul articolului 3 alineatul (8) sau al articolului 8 alineatul (3)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14:paraId="2C4C67A8" w14:textId="0BCE5814" w:rsidR="00647D0C" w:rsidRPr="00A61195" w:rsidRDefault="00647D0C" w:rsidP="00A61195">
      <w:pPr>
        <w:pStyle w:val="Point0"/>
      </w:pPr>
      <w:r w:rsidRPr="00A61195">
        <w:t>9.</w:t>
      </w:r>
      <w:r w:rsidRPr="00A61195">
        <w:tab/>
        <w:t>Articolul 10 se elimină.</w:t>
      </w:r>
    </w:p>
    <w:p w14:paraId="0A31510E" w14:textId="0615BB87" w:rsidR="00647D0C" w:rsidRPr="00A61195" w:rsidRDefault="00647D0C" w:rsidP="00A61195">
      <w:pPr>
        <w:pStyle w:val="Point0"/>
      </w:pPr>
      <w:r w:rsidRPr="00A61195">
        <w:t>10.</w:t>
      </w:r>
      <w:r w:rsidRPr="00A61195">
        <w:tab/>
        <w:t>Anexa I se modifică în conformitate cu anexa VI la prezenta directivă.</w:t>
      </w:r>
    </w:p>
    <w:p w14:paraId="20FF4255" w14:textId="675E2EBB" w:rsidR="00647D0C" w:rsidRPr="00A61195" w:rsidRDefault="00647D0C" w:rsidP="00A61195">
      <w:pPr>
        <w:pStyle w:val="Point0"/>
      </w:pPr>
      <w:r w:rsidRPr="00A61195">
        <w:t>11.</w:t>
      </w:r>
      <w:r w:rsidRPr="00A61195">
        <w:tab/>
        <w:t>Textul care figurează în anexa VII la prezenta directivă se adaugă ca anexa II.</w:t>
      </w:r>
    </w:p>
    <w:p w14:paraId="7BA06BDA" w14:textId="0D6D19F3" w:rsidR="00647D0C" w:rsidRPr="00A61195" w:rsidRDefault="00647D0C" w:rsidP="00A61195">
      <w:pPr>
        <w:pStyle w:val="Point0"/>
      </w:pPr>
      <w:r w:rsidRPr="00A61195">
        <w:t>12.</w:t>
      </w:r>
      <w:r w:rsidRPr="00A61195">
        <w:tab/>
        <w:t>Textul care figurează în anexa VIII la prezenta directivă se adaugă ca anexa III.</w:t>
      </w:r>
    </w:p>
    <w:p w14:paraId="54567425" w14:textId="77777777" w:rsidR="00647D0C" w:rsidRPr="00A61195" w:rsidRDefault="00647D0C" w:rsidP="00647D0C">
      <w:pPr>
        <w:rPr>
          <w:bCs/>
          <w:iCs/>
        </w:rPr>
      </w:pPr>
      <w:r w:rsidRPr="00A61195">
        <w:rPr>
          <w:bCs/>
          <w:iCs/>
        </w:rPr>
        <w:br w:type="page"/>
      </w:r>
    </w:p>
    <w:p w14:paraId="42636B2D" w14:textId="38CF9C47" w:rsidR="00647D0C" w:rsidRPr="00A61195" w:rsidRDefault="00647D0C" w:rsidP="00A61195">
      <w:pPr>
        <w:pStyle w:val="Titrearticle"/>
        <w:rPr>
          <w:iCs/>
        </w:rPr>
      </w:pPr>
      <w:r w:rsidRPr="00A61195">
        <w:lastRenderedPageBreak/>
        <w:t>Articolul 4</w:t>
      </w:r>
      <w:r w:rsidR="009B37F7" w:rsidRPr="00A61195">
        <w:t xml:space="preserve"> </w:t>
      </w:r>
      <w:r w:rsidR="009B37F7" w:rsidRPr="00A61195">
        <w:br/>
      </w:r>
      <w:r w:rsidRPr="00A61195">
        <w:t>Transpunere</w:t>
      </w:r>
    </w:p>
    <w:p w14:paraId="7B136726" w14:textId="77777777" w:rsidR="00647D0C" w:rsidRPr="00A61195" w:rsidRDefault="00647D0C" w:rsidP="00A61195">
      <w:pPr>
        <w:pStyle w:val="ManualNumPar1"/>
      </w:pPr>
      <w:r w:rsidRPr="00A61195">
        <w:t>(1)</w:t>
      </w:r>
      <w:r w:rsidRPr="00A61195">
        <w:tab/>
        <w:t>Statele membre asigură intrarea în vigoare a actelor cu putere de lege și a actelor administrative necesare pentru a se conforma prezentei directive până la 21 decembrie 2027. Statele membre comunică de îndată Comisiei textul dispozițiilor respective.</w:t>
      </w:r>
    </w:p>
    <w:p w14:paraId="326919C9" w14:textId="041F1FC5" w:rsidR="00647D0C" w:rsidRPr="00A61195" w:rsidRDefault="00647D0C" w:rsidP="00A61195">
      <w:pPr>
        <w:pStyle w:val="Text1"/>
      </w:pPr>
      <w:r w:rsidRPr="00A61195">
        <w:t>Atunci când statele membre adoptă dispozițiile respective, acestea conțin o trimitere la prezenta directivă sau sunt însoțite de o asemenea trimitere la data publicării lor oficiale. Statele membre stabilesc modalitatea de efectuare a unei astfel de trimiteri.</w:t>
      </w:r>
    </w:p>
    <w:p w14:paraId="050F0CF7" w14:textId="77777777" w:rsidR="00647D0C" w:rsidRPr="00A61195" w:rsidRDefault="00647D0C" w:rsidP="00A61195">
      <w:pPr>
        <w:pStyle w:val="ManualNumPar1"/>
      </w:pPr>
      <w:r w:rsidRPr="00A61195">
        <w:t>(2)</w:t>
      </w:r>
      <w:r w:rsidRPr="00A61195">
        <w:tab/>
        <w:t>Comisiei îi sunt comunicate de către statele membre textele principalelor dispoziții de drept intern pe care le adoptă în domeniul reglementat de prezenta directivă.</w:t>
      </w:r>
    </w:p>
    <w:p w14:paraId="63B8E3EB" w14:textId="6806B1D2" w:rsidR="00647D0C" w:rsidRPr="00A61195" w:rsidRDefault="00647D0C" w:rsidP="00A61195">
      <w:pPr>
        <w:pStyle w:val="Titrearticle"/>
      </w:pPr>
      <w:r w:rsidRPr="00A61195">
        <w:t>Articolul 5</w:t>
      </w:r>
      <w:r w:rsidR="009B37F7" w:rsidRPr="00A61195">
        <w:t xml:space="preserve"> </w:t>
      </w:r>
      <w:r w:rsidR="009B37F7" w:rsidRPr="00A61195">
        <w:br/>
      </w:r>
      <w:r w:rsidRPr="00A61195">
        <w:t>Intrare în vigoare</w:t>
      </w:r>
    </w:p>
    <w:p w14:paraId="470C9E77" w14:textId="77777777" w:rsidR="00647D0C" w:rsidRPr="00A61195" w:rsidRDefault="00647D0C" w:rsidP="00647D0C">
      <w:r w:rsidRPr="00A61195">
        <w:t xml:space="preserve">Prezenta directivă intră în vigoare în a douăzecea zi de la data publicării în </w:t>
      </w:r>
      <w:r w:rsidRPr="00A61195">
        <w:rPr>
          <w:i/>
        </w:rPr>
        <w:t>Jurnalul Oficial al Uniunii Europene</w:t>
      </w:r>
      <w:r w:rsidRPr="00A61195">
        <w:t>.</w:t>
      </w:r>
    </w:p>
    <w:p w14:paraId="4A280AE1" w14:textId="77777777" w:rsidR="00647D0C" w:rsidRPr="00A61195" w:rsidRDefault="00647D0C" w:rsidP="00647D0C">
      <w:pPr>
        <w:spacing w:before="0" w:after="160" w:line="259" w:lineRule="auto"/>
        <w:rPr>
          <w:i/>
          <w:iCs/>
        </w:rPr>
      </w:pPr>
      <w:r w:rsidRPr="00A61195">
        <w:rPr>
          <w:i/>
          <w:iCs/>
        </w:rPr>
        <w:br w:type="page"/>
      </w:r>
    </w:p>
    <w:p w14:paraId="23E120E1" w14:textId="12AD037E" w:rsidR="00647D0C" w:rsidRPr="00A61195" w:rsidRDefault="00647D0C" w:rsidP="00A61195">
      <w:pPr>
        <w:pStyle w:val="Titrearticle"/>
      </w:pPr>
      <w:r w:rsidRPr="00A61195">
        <w:lastRenderedPageBreak/>
        <w:t>Articolul 6</w:t>
      </w:r>
      <w:r w:rsidR="009B37F7" w:rsidRPr="00A61195">
        <w:t xml:space="preserve"> </w:t>
      </w:r>
      <w:r w:rsidR="009B37F7" w:rsidRPr="00A61195">
        <w:br/>
      </w:r>
      <w:r w:rsidRPr="00A61195">
        <w:t>Destinatari</w:t>
      </w:r>
    </w:p>
    <w:p w14:paraId="0EB71974" w14:textId="77777777" w:rsidR="00647D0C" w:rsidRPr="00A61195" w:rsidRDefault="00647D0C" w:rsidP="00647D0C">
      <w:r w:rsidRPr="00A61195">
        <w:t>Prezenta directivă se adresează statelor membre.</w:t>
      </w:r>
    </w:p>
    <w:p w14:paraId="21583615" w14:textId="4CA0BFD2" w:rsidR="00647D0C" w:rsidRPr="00A61195" w:rsidRDefault="00647D0C" w:rsidP="00A61195">
      <w:pPr>
        <w:pStyle w:val="Fait"/>
      </w:pPr>
      <w:r w:rsidRPr="00A61195">
        <w:t>Adoptată la …,</w:t>
      </w:r>
      <w:r w:rsidR="00D3772B">
        <w:t xml:space="preserve"> …</w:t>
      </w:r>
    </w:p>
    <w:p w14:paraId="501F8D48" w14:textId="0832AA13" w:rsidR="00647D0C" w:rsidRPr="00A61195" w:rsidRDefault="00647D0C" w:rsidP="00A61195">
      <w:pPr>
        <w:pStyle w:val="Institutionquisigne"/>
        <w:rPr>
          <w:iCs/>
        </w:rPr>
      </w:pPr>
      <w:r w:rsidRPr="00A61195">
        <w:t>Pentru Parlamentul European</w:t>
      </w:r>
      <w:r w:rsidRPr="00A61195">
        <w:tab/>
        <w:t>Pentru Consiliu</w:t>
      </w:r>
    </w:p>
    <w:p w14:paraId="657BF233" w14:textId="77777777" w:rsidR="00647D0C" w:rsidRPr="00A61195" w:rsidRDefault="00647D0C" w:rsidP="00A61195">
      <w:pPr>
        <w:pStyle w:val="Personnequisigne"/>
        <w:rPr>
          <w:iCs/>
        </w:rPr>
      </w:pPr>
      <w:r w:rsidRPr="00A61195">
        <w:t>Președinta</w:t>
      </w:r>
      <w:r w:rsidRPr="00A61195">
        <w:tab/>
        <w:t>Președintele</w:t>
      </w:r>
    </w:p>
    <w:p w14:paraId="23AD5041" w14:textId="4DEBBC78" w:rsidR="00647D0C" w:rsidRPr="00A61195" w:rsidRDefault="00647D0C" w:rsidP="00A61195">
      <w:pPr>
        <w:pStyle w:val="Lignefinal"/>
      </w:pPr>
    </w:p>
    <w:p w14:paraId="5F076FB5" w14:textId="77777777" w:rsidR="00647D0C" w:rsidRPr="00A61195" w:rsidRDefault="00647D0C" w:rsidP="00A61195">
      <w:pPr>
        <w:pStyle w:val="Annexetitre"/>
        <w:sectPr w:rsidR="00647D0C" w:rsidRPr="00A61195" w:rsidSect="00B35CF3">
          <w:headerReference w:type="even" r:id="rId61"/>
          <w:headerReference w:type="default" r:id="rId62"/>
          <w:footerReference w:type="even" r:id="rId63"/>
          <w:headerReference w:type="first" r:id="rId64"/>
          <w:footerReference w:type="first" r:id="rId65"/>
          <w:footnotePr>
            <w:numRestart w:val="eachSect"/>
          </w:footnotePr>
          <w:pgSz w:w="11907" w:h="16839" w:code="9"/>
          <w:pgMar w:top="1134" w:right="1134" w:bottom="1134" w:left="1134" w:header="567" w:footer="567" w:gutter="0"/>
          <w:cols w:space="720"/>
          <w:docGrid w:linePitch="360"/>
        </w:sectPr>
      </w:pPr>
    </w:p>
    <w:p w14:paraId="3B556326" w14:textId="77777777" w:rsidR="00647D0C" w:rsidRPr="00A61195" w:rsidRDefault="00647D0C" w:rsidP="00A61195">
      <w:pPr>
        <w:pStyle w:val="Annexetitre"/>
        <w:rPr>
          <w:bCs/>
        </w:rPr>
      </w:pPr>
      <w:r w:rsidRPr="00A61195">
        <w:lastRenderedPageBreak/>
        <w:t>ANEXA I</w:t>
      </w:r>
    </w:p>
    <w:p w14:paraId="55C96DF6" w14:textId="77777777" w:rsidR="00647D0C" w:rsidRPr="00A61195" w:rsidRDefault="00647D0C" w:rsidP="00647D0C">
      <w:r w:rsidRPr="00A61195">
        <w:t>Anexa V la Directiva 2000/60/CE se modifică după cum urmează:</w:t>
      </w:r>
    </w:p>
    <w:p w14:paraId="2B8C694F" w14:textId="69D5E7CC" w:rsidR="00647D0C" w:rsidRPr="00A61195" w:rsidRDefault="00647D0C" w:rsidP="00A61195">
      <w:pPr>
        <w:pStyle w:val="Point0"/>
      </w:pPr>
      <w:r w:rsidRPr="00A61195">
        <w:t>1.</w:t>
      </w:r>
      <w:r w:rsidRPr="00A61195">
        <w:tab/>
        <w:t>Punctele 1.1.1-1.1.4 se înlocuiesc cu următorul text:</w:t>
      </w:r>
    </w:p>
    <w:p w14:paraId="44B0C79A" w14:textId="77777777" w:rsidR="00647D0C" w:rsidRPr="00A61195" w:rsidRDefault="00647D0C" w:rsidP="00A61195">
      <w:pPr>
        <w:pStyle w:val="Point1"/>
        <w:ind w:left="1985" w:hanging="1134"/>
      </w:pPr>
      <w:r w:rsidRPr="00A61195">
        <w:t>„1.1.1.</w:t>
      </w:r>
      <w:r w:rsidRPr="00A61195">
        <w:tab/>
        <w:t>Râuri</w:t>
      </w:r>
    </w:p>
    <w:p w14:paraId="4CE638DC" w14:textId="77777777" w:rsidR="00647D0C" w:rsidRPr="00D3772B" w:rsidRDefault="00647D0C" w:rsidP="00A61195">
      <w:pPr>
        <w:pStyle w:val="Text3"/>
        <w:rPr>
          <w:i/>
          <w:iCs/>
        </w:rPr>
      </w:pPr>
      <w:r w:rsidRPr="00D3772B">
        <w:rPr>
          <w:i/>
          <w:iCs/>
        </w:rPr>
        <w:t>Parametri biologici</w:t>
      </w:r>
    </w:p>
    <w:p w14:paraId="37202890" w14:textId="77777777" w:rsidR="00647D0C" w:rsidRPr="00A61195" w:rsidRDefault="00647D0C" w:rsidP="00A61195">
      <w:pPr>
        <w:pStyle w:val="Text4"/>
      </w:pPr>
      <w:r w:rsidRPr="00A61195">
        <w:t>Compoziția și abundența florei acvatice</w:t>
      </w:r>
    </w:p>
    <w:p w14:paraId="67C0F194" w14:textId="77777777" w:rsidR="00647D0C" w:rsidRPr="00A61195" w:rsidRDefault="00647D0C" w:rsidP="00A61195">
      <w:pPr>
        <w:pStyle w:val="Text4"/>
      </w:pPr>
      <w:r w:rsidRPr="00A61195">
        <w:t>Compoziția și abundența faunei bentonice nevertebrate</w:t>
      </w:r>
    </w:p>
    <w:p w14:paraId="7000AFBA" w14:textId="77777777" w:rsidR="00647D0C" w:rsidRPr="00A61195" w:rsidRDefault="00647D0C" w:rsidP="00A61195">
      <w:pPr>
        <w:pStyle w:val="Text4"/>
      </w:pPr>
      <w:r w:rsidRPr="00A61195">
        <w:t>Compoziția, abundența și structura pe vârste a faunei piscicole</w:t>
      </w:r>
    </w:p>
    <w:p w14:paraId="63F3A407" w14:textId="77777777" w:rsidR="00647D0C" w:rsidRPr="00D3772B" w:rsidRDefault="00647D0C" w:rsidP="00A61195">
      <w:pPr>
        <w:pStyle w:val="Text3"/>
        <w:rPr>
          <w:i/>
          <w:iCs/>
        </w:rPr>
      </w:pPr>
      <w:r w:rsidRPr="00D3772B">
        <w:rPr>
          <w:i/>
          <w:iCs/>
        </w:rPr>
        <w:t xml:space="preserve">Parametri </w:t>
      </w:r>
      <w:proofErr w:type="spellStart"/>
      <w:r w:rsidRPr="00D3772B">
        <w:rPr>
          <w:i/>
          <w:iCs/>
        </w:rPr>
        <w:t>hidromorfologici</w:t>
      </w:r>
      <w:proofErr w:type="spellEnd"/>
      <w:r w:rsidRPr="00D3772B">
        <w:rPr>
          <w:i/>
          <w:iCs/>
        </w:rPr>
        <w:t xml:space="preserve"> care susțin parametrii biologici</w:t>
      </w:r>
    </w:p>
    <w:p w14:paraId="14E889D2" w14:textId="4E2A7D63" w:rsidR="00647D0C" w:rsidRPr="00A61195" w:rsidRDefault="00647D0C" w:rsidP="00A61195">
      <w:pPr>
        <w:pStyle w:val="Text4"/>
      </w:pPr>
      <w:r w:rsidRPr="00A61195">
        <w:t>Regim hidrologic</w:t>
      </w:r>
      <w:bookmarkStart w:id="14" w:name="DQCErrorScopeD27F28D43B7BA0243216D48053E"/>
    </w:p>
    <w:p w14:paraId="37FBF8A2" w14:textId="77777777" w:rsidR="00647D0C" w:rsidRPr="00A61195" w:rsidRDefault="00647D0C" w:rsidP="00A61195">
      <w:pPr>
        <w:pStyle w:val="Text5"/>
      </w:pPr>
      <w:r w:rsidRPr="00A61195">
        <w:t>cantitatea și dinamica debitului</w:t>
      </w:r>
    </w:p>
    <w:p w14:paraId="587E334B" w14:textId="77777777" w:rsidR="00647D0C" w:rsidRPr="00A61195" w:rsidRDefault="00647D0C" w:rsidP="00A61195">
      <w:pPr>
        <w:pStyle w:val="Text5"/>
      </w:pPr>
      <w:r w:rsidRPr="00A61195">
        <w:t>legături cu corpurile de apă subterană</w:t>
      </w:r>
    </w:p>
    <w:p w14:paraId="7C82B948" w14:textId="4F19179B" w:rsidR="00647D0C" w:rsidRPr="00A61195" w:rsidRDefault="00647D0C" w:rsidP="00A61195">
      <w:pPr>
        <w:pStyle w:val="Text4"/>
      </w:pPr>
      <w:r w:rsidRPr="00A61195">
        <w:t>Continuitatea râului</w:t>
      </w:r>
    </w:p>
    <w:p w14:paraId="3E0AF4B8" w14:textId="10AB6A95" w:rsidR="00647D0C" w:rsidRPr="00A61195" w:rsidRDefault="00647D0C" w:rsidP="00A61195">
      <w:pPr>
        <w:pStyle w:val="Text4"/>
      </w:pPr>
      <w:r w:rsidRPr="00A61195">
        <w:t>Condiții morfologice</w:t>
      </w:r>
    </w:p>
    <w:bookmarkEnd w:id="14"/>
    <w:p w14:paraId="455B1088" w14:textId="77777777" w:rsidR="00647D0C" w:rsidRPr="00A61195" w:rsidRDefault="00647D0C" w:rsidP="00A61195">
      <w:pPr>
        <w:pStyle w:val="Text5"/>
      </w:pPr>
      <w:r w:rsidRPr="00A61195">
        <w:t>variații în adâncimea și deschiderea râului</w:t>
      </w:r>
      <w:bookmarkStart w:id="15" w:name="DQCErrorScope0C0F89946829699D8D43EC926ED"/>
    </w:p>
    <w:bookmarkEnd w:id="15"/>
    <w:p w14:paraId="51961B81" w14:textId="77777777" w:rsidR="00647D0C" w:rsidRPr="00A61195" w:rsidRDefault="00647D0C" w:rsidP="00A61195">
      <w:pPr>
        <w:pStyle w:val="Text5"/>
      </w:pPr>
      <w:r w:rsidRPr="00A61195">
        <w:t>structura și substratul patului râului</w:t>
      </w:r>
      <w:bookmarkStart w:id="16" w:name="DQCErrorScopeBF81BD74DA088B88D67205E35C5"/>
    </w:p>
    <w:bookmarkEnd w:id="16"/>
    <w:p w14:paraId="06AA0580" w14:textId="77777777" w:rsidR="00647D0C" w:rsidRPr="00A61195" w:rsidRDefault="00647D0C" w:rsidP="00A61195">
      <w:pPr>
        <w:pStyle w:val="Text5"/>
      </w:pPr>
      <w:r w:rsidRPr="00A61195">
        <w:t>structura zonei riverane</w:t>
      </w:r>
    </w:p>
    <w:p w14:paraId="6CEF32EA" w14:textId="77777777" w:rsidR="00647D0C" w:rsidRPr="00A61195" w:rsidRDefault="00647D0C" w:rsidP="00647D0C">
      <w:pPr>
        <w:spacing w:before="0" w:after="160" w:line="259" w:lineRule="auto"/>
        <w:rPr>
          <w:i/>
          <w:iCs/>
        </w:rPr>
      </w:pPr>
      <w:r w:rsidRPr="00A61195">
        <w:rPr>
          <w:i/>
          <w:iCs/>
        </w:rPr>
        <w:br w:type="page"/>
      </w:r>
    </w:p>
    <w:p w14:paraId="078AC941" w14:textId="4AEC9000" w:rsidR="00647D0C" w:rsidRPr="00D3772B" w:rsidRDefault="00647D0C" w:rsidP="00A61195">
      <w:pPr>
        <w:pStyle w:val="Text3"/>
        <w:rPr>
          <w:i/>
          <w:iCs/>
        </w:rPr>
      </w:pPr>
      <w:r w:rsidRPr="00D3772B">
        <w:rPr>
          <w:i/>
          <w:iCs/>
        </w:rPr>
        <w:lastRenderedPageBreak/>
        <w:t xml:space="preserve">Parametri </w:t>
      </w:r>
      <w:proofErr w:type="spellStart"/>
      <w:r w:rsidRPr="00D3772B">
        <w:rPr>
          <w:i/>
          <w:iCs/>
        </w:rPr>
        <w:t>fizico</w:t>
      </w:r>
      <w:proofErr w:type="spellEnd"/>
      <w:r w:rsidRPr="00D3772B">
        <w:rPr>
          <w:i/>
          <w:iCs/>
        </w:rPr>
        <w:t>-chimici generali care susțin parametrii biologici</w:t>
      </w:r>
    </w:p>
    <w:p w14:paraId="72576D78" w14:textId="705D274A" w:rsidR="00647D0C" w:rsidRPr="00A61195" w:rsidRDefault="00647D0C" w:rsidP="00A61195">
      <w:pPr>
        <w:pStyle w:val="Text4"/>
      </w:pPr>
      <w:r w:rsidRPr="00A61195">
        <w:t>Condiții termice</w:t>
      </w:r>
    </w:p>
    <w:p w14:paraId="1F0F90E7" w14:textId="40B9332D" w:rsidR="00647D0C" w:rsidRPr="00A61195" w:rsidRDefault="00647D0C" w:rsidP="00A61195">
      <w:pPr>
        <w:pStyle w:val="Text4"/>
      </w:pPr>
      <w:r w:rsidRPr="00A61195">
        <w:t>Condiții de oxigenare</w:t>
      </w:r>
    </w:p>
    <w:p w14:paraId="3336AE95" w14:textId="1BED1167" w:rsidR="00647D0C" w:rsidRPr="00A61195" w:rsidRDefault="00647D0C" w:rsidP="00A61195">
      <w:pPr>
        <w:pStyle w:val="Text4"/>
      </w:pPr>
      <w:r w:rsidRPr="00A61195">
        <w:t>Salinitate</w:t>
      </w:r>
    </w:p>
    <w:p w14:paraId="53D45A9A" w14:textId="70C15DE7" w:rsidR="00647D0C" w:rsidRPr="00A61195" w:rsidRDefault="00647D0C" w:rsidP="00A61195">
      <w:pPr>
        <w:pStyle w:val="Text4"/>
      </w:pPr>
      <w:proofErr w:type="spellStart"/>
      <w:r w:rsidRPr="00A61195">
        <w:t>Acidifiere</w:t>
      </w:r>
      <w:proofErr w:type="spellEnd"/>
    </w:p>
    <w:p w14:paraId="14A4A2EF" w14:textId="453C5DAE" w:rsidR="00647D0C" w:rsidRPr="00A61195" w:rsidRDefault="00647D0C" w:rsidP="00A61195">
      <w:pPr>
        <w:pStyle w:val="Text4"/>
      </w:pPr>
      <w:r w:rsidRPr="00A61195">
        <w:t xml:space="preserve">Concentrația </w:t>
      </w:r>
      <w:proofErr w:type="spellStart"/>
      <w:r w:rsidRPr="00A61195">
        <w:t>nutrienților</w:t>
      </w:r>
      <w:proofErr w:type="spellEnd"/>
    </w:p>
    <w:p w14:paraId="63807828" w14:textId="77777777" w:rsidR="00647D0C" w:rsidRPr="00A61195" w:rsidRDefault="00647D0C" w:rsidP="00A61195">
      <w:pPr>
        <w:pStyle w:val="Point1"/>
        <w:ind w:left="1985" w:hanging="1134"/>
      </w:pPr>
      <w:r w:rsidRPr="00A61195">
        <w:t>1.1.2.</w:t>
      </w:r>
      <w:r w:rsidRPr="00A61195">
        <w:tab/>
        <w:t>Lacuri</w:t>
      </w:r>
    </w:p>
    <w:p w14:paraId="528E795D" w14:textId="77777777" w:rsidR="00647D0C" w:rsidRPr="00D3772B" w:rsidRDefault="00647D0C" w:rsidP="00A61195">
      <w:pPr>
        <w:pStyle w:val="Text3"/>
        <w:rPr>
          <w:i/>
          <w:iCs/>
        </w:rPr>
      </w:pPr>
      <w:r w:rsidRPr="00D3772B">
        <w:rPr>
          <w:i/>
          <w:iCs/>
        </w:rPr>
        <w:t>Parametri biologici</w:t>
      </w:r>
    </w:p>
    <w:p w14:paraId="3ED2C5AB" w14:textId="77777777" w:rsidR="00647D0C" w:rsidRPr="00A61195" w:rsidRDefault="00647D0C" w:rsidP="00A61195">
      <w:pPr>
        <w:pStyle w:val="Text4"/>
      </w:pPr>
      <w:r w:rsidRPr="00A61195">
        <w:t>Compoziția, abundența și biomasa fitoplanctonului</w:t>
      </w:r>
    </w:p>
    <w:p w14:paraId="36F605A4" w14:textId="77777777" w:rsidR="00647D0C" w:rsidRPr="00A61195" w:rsidRDefault="00647D0C" w:rsidP="00A61195">
      <w:pPr>
        <w:pStyle w:val="Text4"/>
      </w:pPr>
      <w:r w:rsidRPr="00A61195">
        <w:t>Compoziția și abundența florei acvatice (alta decât fitoplanctonul)</w:t>
      </w:r>
    </w:p>
    <w:p w14:paraId="17433A39" w14:textId="77777777" w:rsidR="00647D0C" w:rsidRPr="00A61195" w:rsidRDefault="00647D0C" w:rsidP="00A61195">
      <w:pPr>
        <w:pStyle w:val="Text4"/>
      </w:pPr>
      <w:r w:rsidRPr="00A61195">
        <w:t>Compoziția și abundența faunei bentonice nevertebrate</w:t>
      </w:r>
    </w:p>
    <w:p w14:paraId="091D67CA" w14:textId="77777777" w:rsidR="00647D0C" w:rsidRPr="00A61195" w:rsidRDefault="00647D0C" w:rsidP="00A61195">
      <w:pPr>
        <w:pStyle w:val="Text4"/>
      </w:pPr>
      <w:r w:rsidRPr="00A61195">
        <w:t>Compoziția, abundența și structura pe vârste a faunei piscicole</w:t>
      </w:r>
    </w:p>
    <w:p w14:paraId="5928080B" w14:textId="37E2B24E" w:rsidR="00647D0C" w:rsidRPr="00D3772B" w:rsidRDefault="00647D0C" w:rsidP="00A61195">
      <w:pPr>
        <w:pStyle w:val="Text3"/>
        <w:rPr>
          <w:i/>
          <w:iCs/>
        </w:rPr>
      </w:pPr>
      <w:r w:rsidRPr="00D3772B">
        <w:rPr>
          <w:i/>
          <w:iCs/>
        </w:rPr>
        <w:t xml:space="preserve">Parametri </w:t>
      </w:r>
      <w:proofErr w:type="spellStart"/>
      <w:r w:rsidRPr="00D3772B">
        <w:rPr>
          <w:i/>
          <w:iCs/>
        </w:rPr>
        <w:t>hidromorfologici</w:t>
      </w:r>
      <w:proofErr w:type="spellEnd"/>
      <w:r w:rsidRPr="00D3772B">
        <w:rPr>
          <w:i/>
          <w:iCs/>
        </w:rPr>
        <w:t xml:space="preserve"> care susțin parametrii biologici</w:t>
      </w:r>
    </w:p>
    <w:p w14:paraId="6FC97D7D" w14:textId="77777777" w:rsidR="00647D0C" w:rsidRPr="00A61195" w:rsidRDefault="00647D0C" w:rsidP="00A61195">
      <w:pPr>
        <w:pStyle w:val="Text4"/>
      </w:pPr>
      <w:r w:rsidRPr="00A61195">
        <w:t>Regim hidrologic</w:t>
      </w:r>
      <w:bookmarkStart w:id="17" w:name="DQCErrorScope0BC5A024F8C8858D773E55190A0"/>
    </w:p>
    <w:p w14:paraId="1FE0090B" w14:textId="77777777" w:rsidR="00647D0C" w:rsidRPr="00A61195" w:rsidRDefault="00647D0C" w:rsidP="00A61195">
      <w:pPr>
        <w:pStyle w:val="Text5"/>
      </w:pPr>
      <w:r w:rsidRPr="00A61195">
        <w:t>cantitatea și dinamica debitului</w:t>
      </w:r>
    </w:p>
    <w:p w14:paraId="70C79C5F" w14:textId="77777777" w:rsidR="00647D0C" w:rsidRPr="00A61195" w:rsidRDefault="00647D0C" w:rsidP="00A61195">
      <w:pPr>
        <w:pStyle w:val="Text5"/>
      </w:pPr>
      <w:r w:rsidRPr="00A61195">
        <w:t>timpul de rezidență</w:t>
      </w:r>
    </w:p>
    <w:p w14:paraId="34C6DD40" w14:textId="77777777" w:rsidR="00647D0C" w:rsidRPr="00A61195" w:rsidRDefault="00647D0C" w:rsidP="00A61195">
      <w:pPr>
        <w:pStyle w:val="Text5"/>
      </w:pPr>
      <w:r w:rsidRPr="00A61195">
        <w:t>legături cu corpurile de apă subterană</w:t>
      </w:r>
    </w:p>
    <w:p w14:paraId="222F678D" w14:textId="77777777" w:rsidR="00647D0C" w:rsidRPr="00A61195" w:rsidRDefault="00647D0C">
      <w:pPr>
        <w:spacing w:before="0" w:after="160" w:line="259" w:lineRule="auto"/>
      </w:pPr>
      <w:r w:rsidRPr="00A61195">
        <w:br w:type="page"/>
      </w:r>
    </w:p>
    <w:p w14:paraId="4C22BA17" w14:textId="0EDF28DD" w:rsidR="00647D0C" w:rsidRPr="00A61195" w:rsidRDefault="00647D0C" w:rsidP="00A61195">
      <w:pPr>
        <w:pStyle w:val="Text4"/>
      </w:pPr>
      <w:r w:rsidRPr="00A61195">
        <w:lastRenderedPageBreak/>
        <w:t>Condiții morfologice</w:t>
      </w:r>
    </w:p>
    <w:bookmarkEnd w:id="17"/>
    <w:p w14:paraId="6B49D606" w14:textId="0FA447B8" w:rsidR="00647D0C" w:rsidRPr="00A61195" w:rsidRDefault="00647D0C" w:rsidP="00A61195">
      <w:pPr>
        <w:pStyle w:val="Text5"/>
      </w:pPr>
      <w:r w:rsidRPr="00A61195">
        <w:t>variații în adâncimea lacului</w:t>
      </w:r>
      <w:bookmarkStart w:id="18" w:name="DQCErrorScope74739754E5C9D31508112E68DD0"/>
    </w:p>
    <w:bookmarkEnd w:id="18"/>
    <w:p w14:paraId="0AA4A3F0" w14:textId="2C6019DD" w:rsidR="00647D0C" w:rsidRPr="00A61195" w:rsidRDefault="00647D0C" w:rsidP="00A61195">
      <w:pPr>
        <w:pStyle w:val="Text5"/>
      </w:pPr>
      <w:r w:rsidRPr="00A61195">
        <w:t>cantitatea, structura și substratul patului lacului</w:t>
      </w:r>
      <w:bookmarkStart w:id="19" w:name="DQCErrorScopeC4C6824430AB9CEA53CF6E02174"/>
    </w:p>
    <w:bookmarkEnd w:id="19"/>
    <w:p w14:paraId="6931D61F" w14:textId="7DCCF9B7" w:rsidR="00647D0C" w:rsidRPr="00A61195" w:rsidRDefault="00647D0C" w:rsidP="00A61195">
      <w:pPr>
        <w:pStyle w:val="Text5"/>
      </w:pPr>
      <w:r w:rsidRPr="00A61195">
        <w:t>structura malului lacului</w:t>
      </w:r>
    </w:p>
    <w:p w14:paraId="23E29A10" w14:textId="77777777" w:rsidR="00647D0C" w:rsidRPr="00D3772B" w:rsidRDefault="00647D0C" w:rsidP="00A61195">
      <w:pPr>
        <w:pStyle w:val="Text3"/>
        <w:rPr>
          <w:i/>
          <w:iCs/>
        </w:rPr>
      </w:pPr>
      <w:r w:rsidRPr="00D3772B">
        <w:rPr>
          <w:i/>
          <w:iCs/>
        </w:rPr>
        <w:t xml:space="preserve">Parametri </w:t>
      </w:r>
      <w:proofErr w:type="spellStart"/>
      <w:r w:rsidRPr="00D3772B">
        <w:rPr>
          <w:i/>
          <w:iCs/>
        </w:rPr>
        <w:t>fizico</w:t>
      </w:r>
      <w:proofErr w:type="spellEnd"/>
      <w:r w:rsidRPr="00D3772B">
        <w:rPr>
          <w:i/>
          <w:iCs/>
        </w:rPr>
        <w:t>-chimici generali care susțin parametrii biologici</w:t>
      </w:r>
    </w:p>
    <w:p w14:paraId="473D2031" w14:textId="77777777" w:rsidR="00647D0C" w:rsidRPr="00A61195" w:rsidRDefault="00647D0C" w:rsidP="00A61195">
      <w:pPr>
        <w:pStyle w:val="Text4"/>
      </w:pPr>
      <w:r w:rsidRPr="00A61195">
        <w:t>Transparență</w:t>
      </w:r>
    </w:p>
    <w:p w14:paraId="0F08E37A" w14:textId="77777777" w:rsidR="00647D0C" w:rsidRPr="00A61195" w:rsidRDefault="00647D0C" w:rsidP="00A61195">
      <w:pPr>
        <w:pStyle w:val="Text4"/>
      </w:pPr>
      <w:r w:rsidRPr="00A61195">
        <w:t>Condiții termice</w:t>
      </w:r>
    </w:p>
    <w:p w14:paraId="630B7378" w14:textId="77777777" w:rsidR="00647D0C" w:rsidRPr="00A61195" w:rsidRDefault="00647D0C" w:rsidP="00A61195">
      <w:pPr>
        <w:pStyle w:val="Text4"/>
      </w:pPr>
      <w:r w:rsidRPr="00A61195">
        <w:t>Condiții de oxigenare</w:t>
      </w:r>
    </w:p>
    <w:p w14:paraId="4959AC9E" w14:textId="77777777" w:rsidR="00647D0C" w:rsidRPr="00A61195" w:rsidRDefault="00647D0C" w:rsidP="00A61195">
      <w:pPr>
        <w:pStyle w:val="Text4"/>
      </w:pPr>
      <w:r w:rsidRPr="00A61195">
        <w:t>Salinitate</w:t>
      </w:r>
    </w:p>
    <w:p w14:paraId="10400411" w14:textId="77777777" w:rsidR="00647D0C" w:rsidRPr="00A61195" w:rsidRDefault="00647D0C" w:rsidP="00A61195">
      <w:pPr>
        <w:pStyle w:val="Text4"/>
      </w:pPr>
      <w:proofErr w:type="spellStart"/>
      <w:r w:rsidRPr="00A61195">
        <w:t>Acidifiere</w:t>
      </w:r>
      <w:proofErr w:type="spellEnd"/>
    </w:p>
    <w:p w14:paraId="02E8AB6A" w14:textId="77777777" w:rsidR="00647D0C" w:rsidRPr="00A61195" w:rsidRDefault="00647D0C" w:rsidP="00A61195">
      <w:pPr>
        <w:pStyle w:val="Text4"/>
      </w:pPr>
      <w:r w:rsidRPr="00A61195">
        <w:t xml:space="preserve">Concentrația </w:t>
      </w:r>
      <w:proofErr w:type="spellStart"/>
      <w:r w:rsidRPr="00A61195">
        <w:t>nutrienților</w:t>
      </w:r>
      <w:proofErr w:type="spellEnd"/>
    </w:p>
    <w:p w14:paraId="01E0E0D1" w14:textId="3B94D7CB" w:rsidR="00647D0C" w:rsidRPr="00A61195" w:rsidRDefault="00647D0C" w:rsidP="00A61195">
      <w:pPr>
        <w:pStyle w:val="Point1"/>
        <w:ind w:left="1985" w:hanging="1134"/>
      </w:pPr>
      <w:r w:rsidRPr="00A61195">
        <w:t>1.1.3.</w:t>
      </w:r>
      <w:r w:rsidRPr="00A61195">
        <w:tab/>
        <w:t>Ape tranzitorii</w:t>
      </w:r>
    </w:p>
    <w:p w14:paraId="2B1D6BD9" w14:textId="77777777" w:rsidR="00647D0C" w:rsidRPr="00D3772B" w:rsidRDefault="00647D0C" w:rsidP="00A61195">
      <w:pPr>
        <w:pStyle w:val="Text3"/>
        <w:rPr>
          <w:i/>
          <w:iCs/>
        </w:rPr>
      </w:pPr>
      <w:r w:rsidRPr="00D3772B">
        <w:rPr>
          <w:i/>
          <w:iCs/>
        </w:rPr>
        <w:t>Parametri biologici</w:t>
      </w:r>
    </w:p>
    <w:p w14:paraId="22BF26F9" w14:textId="77777777" w:rsidR="00647D0C" w:rsidRPr="00A61195" w:rsidRDefault="00647D0C" w:rsidP="00A61195">
      <w:pPr>
        <w:pStyle w:val="Text4"/>
      </w:pPr>
      <w:r w:rsidRPr="00A61195">
        <w:t>Compoziția, abundența și biomasa fitoplanctonului</w:t>
      </w:r>
    </w:p>
    <w:p w14:paraId="1A46DF59" w14:textId="77777777" w:rsidR="00647D0C" w:rsidRPr="00A61195" w:rsidRDefault="00647D0C" w:rsidP="00A61195">
      <w:pPr>
        <w:pStyle w:val="Text4"/>
      </w:pPr>
      <w:r w:rsidRPr="00A61195">
        <w:t>Compoziția și abundența florei acvatice (alta decât fitoplanctonul)</w:t>
      </w:r>
    </w:p>
    <w:p w14:paraId="2BF31859" w14:textId="77777777" w:rsidR="00647D0C" w:rsidRPr="00A61195" w:rsidRDefault="00647D0C" w:rsidP="00A61195">
      <w:pPr>
        <w:pStyle w:val="Text4"/>
      </w:pPr>
      <w:r w:rsidRPr="00A61195">
        <w:t>Compoziția și abundența faunei bentonice nevertebrate</w:t>
      </w:r>
    </w:p>
    <w:p w14:paraId="27F9DEF5" w14:textId="77777777" w:rsidR="00647D0C" w:rsidRPr="00A61195" w:rsidRDefault="00647D0C" w:rsidP="00A61195">
      <w:pPr>
        <w:pStyle w:val="Text4"/>
      </w:pPr>
      <w:r w:rsidRPr="00A61195">
        <w:t>Compoziția și abundența faunei piscicole</w:t>
      </w:r>
    </w:p>
    <w:p w14:paraId="789D3894" w14:textId="77777777" w:rsidR="00647D0C" w:rsidRPr="00A61195" w:rsidRDefault="00647D0C">
      <w:pPr>
        <w:spacing w:before="0" w:after="160" w:line="259" w:lineRule="auto"/>
        <w:rPr>
          <w:i/>
          <w:iCs/>
        </w:rPr>
      </w:pPr>
      <w:r w:rsidRPr="00A61195">
        <w:rPr>
          <w:i/>
          <w:iCs/>
        </w:rPr>
        <w:br w:type="page"/>
      </w:r>
    </w:p>
    <w:p w14:paraId="5BFD143B" w14:textId="58275964" w:rsidR="00647D0C" w:rsidRPr="00D3772B" w:rsidRDefault="00647D0C" w:rsidP="00A61195">
      <w:pPr>
        <w:pStyle w:val="Text3"/>
        <w:rPr>
          <w:i/>
          <w:iCs/>
        </w:rPr>
      </w:pPr>
      <w:r w:rsidRPr="00D3772B">
        <w:rPr>
          <w:i/>
          <w:iCs/>
        </w:rPr>
        <w:lastRenderedPageBreak/>
        <w:t xml:space="preserve">Parametri </w:t>
      </w:r>
      <w:proofErr w:type="spellStart"/>
      <w:r w:rsidRPr="00D3772B">
        <w:rPr>
          <w:i/>
          <w:iCs/>
        </w:rPr>
        <w:t>hidromorfologici</w:t>
      </w:r>
      <w:proofErr w:type="spellEnd"/>
      <w:r w:rsidRPr="00D3772B">
        <w:rPr>
          <w:i/>
          <w:iCs/>
        </w:rPr>
        <w:t xml:space="preserve"> care susțin parametrii biologici</w:t>
      </w:r>
    </w:p>
    <w:p w14:paraId="16FE1040" w14:textId="77777777" w:rsidR="00647D0C" w:rsidRPr="00A61195" w:rsidRDefault="00647D0C" w:rsidP="00A61195">
      <w:pPr>
        <w:pStyle w:val="Text4"/>
      </w:pPr>
      <w:r w:rsidRPr="00A61195">
        <w:t>Condiții morfologice</w:t>
      </w:r>
      <w:bookmarkStart w:id="20" w:name="DQCErrorScope71F87004A5796AC3C81CFA4E729"/>
    </w:p>
    <w:bookmarkEnd w:id="20"/>
    <w:p w14:paraId="2BC2218C" w14:textId="42906B25" w:rsidR="00647D0C" w:rsidRPr="00A61195" w:rsidRDefault="00647D0C" w:rsidP="00A61195">
      <w:pPr>
        <w:pStyle w:val="Text5"/>
      </w:pPr>
      <w:r w:rsidRPr="00A61195">
        <w:t>variații în adâncime</w:t>
      </w:r>
      <w:bookmarkStart w:id="21" w:name="DQCErrorScope6FBF611404AB5D1A414816ADF50"/>
    </w:p>
    <w:bookmarkEnd w:id="21"/>
    <w:p w14:paraId="518DB779" w14:textId="396B3B24" w:rsidR="00647D0C" w:rsidRPr="00A61195" w:rsidRDefault="00647D0C" w:rsidP="00A61195">
      <w:pPr>
        <w:pStyle w:val="Text5"/>
      </w:pPr>
      <w:r w:rsidRPr="00A61195">
        <w:t>cantitatea, structura și substratul patului</w:t>
      </w:r>
      <w:bookmarkStart w:id="22" w:name="DQCErrorScope0F048F14C21B59192F51CD15593"/>
    </w:p>
    <w:bookmarkEnd w:id="22"/>
    <w:p w14:paraId="44C47EF7" w14:textId="61C89F9B" w:rsidR="00647D0C" w:rsidRPr="00A61195" w:rsidRDefault="00647D0C" w:rsidP="00A61195">
      <w:pPr>
        <w:pStyle w:val="Text5"/>
      </w:pPr>
      <w:r w:rsidRPr="00A61195">
        <w:t>structura zonei delimitate de maree</w:t>
      </w:r>
    </w:p>
    <w:p w14:paraId="414793AF" w14:textId="77777777" w:rsidR="00647D0C" w:rsidRPr="00A61195" w:rsidRDefault="00647D0C" w:rsidP="00A61195">
      <w:pPr>
        <w:pStyle w:val="Text4"/>
      </w:pPr>
      <w:r w:rsidRPr="00A61195">
        <w:t>Regimul mareei</w:t>
      </w:r>
      <w:bookmarkStart w:id="23" w:name="DQCErrorScopeC5E5228499084D04FB2AAA3590B"/>
    </w:p>
    <w:bookmarkEnd w:id="23"/>
    <w:p w14:paraId="71F98520" w14:textId="77777777" w:rsidR="00647D0C" w:rsidRPr="00A61195" w:rsidRDefault="00647D0C" w:rsidP="00A61195">
      <w:pPr>
        <w:pStyle w:val="Text5"/>
      </w:pPr>
      <w:r w:rsidRPr="00A61195">
        <w:t>fluxul de apă dulce</w:t>
      </w:r>
      <w:bookmarkStart w:id="24" w:name="DQCErrorScope10D68704B04952B37C034828B1D"/>
    </w:p>
    <w:bookmarkEnd w:id="24"/>
    <w:p w14:paraId="0C7513B1" w14:textId="689FDABE" w:rsidR="00647D0C" w:rsidRPr="00A61195" w:rsidRDefault="00647D0C" w:rsidP="00A61195">
      <w:pPr>
        <w:pStyle w:val="Text5"/>
      </w:pPr>
      <w:r w:rsidRPr="00A61195">
        <w:t>expunerea la valuri</w:t>
      </w:r>
    </w:p>
    <w:p w14:paraId="21A09CE6" w14:textId="77777777" w:rsidR="00647D0C" w:rsidRPr="00D3772B" w:rsidRDefault="00647D0C" w:rsidP="00A61195">
      <w:pPr>
        <w:pStyle w:val="Text3"/>
        <w:rPr>
          <w:i/>
          <w:iCs/>
        </w:rPr>
      </w:pPr>
      <w:r w:rsidRPr="00D3772B">
        <w:rPr>
          <w:i/>
          <w:iCs/>
        </w:rPr>
        <w:t xml:space="preserve">Parametri </w:t>
      </w:r>
      <w:proofErr w:type="spellStart"/>
      <w:r w:rsidRPr="00D3772B">
        <w:rPr>
          <w:i/>
          <w:iCs/>
        </w:rPr>
        <w:t>fizico</w:t>
      </w:r>
      <w:proofErr w:type="spellEnd"/>
      <w:r w:rsidRPr="00D3772B">
        <w:rPr>
          <w:i/>
          <w:iCs/>
        </w:rPr>
        <w:t>-chimici generali care susțin parametrii biologici</w:t>
      </w:r>
    </w:p>
    <w:p w14:paraId="29AFE7F7" w14:textId="77777777" w:rsidR="00647D0C" w:rsidRPr="00A61195" w:rsidRDefault="00647D0C" w:rsidP="00A61195">
      <w:pPr>
        <w:pStyle w:val="Text4"/>
      </w:pPr>
      <w:r w:rsidRPr="00A61195">
        <w:t>Transparență</w:t>
      </w:r>
    </w:p>
    <w:p w14:paraId="5C62C259" w14:textId="77777777" w:rsidR="00647D0C" w:rsidRPr="00A61195" w:rsidRDefault="00647D0C" w:rsidP="00A61195">
      <w:pPr>
        <w:pStyle w:val="Text4"/>
      </w:pPr>
      <w:r w:rsidRPr="00A61195">
        <w:t>Condiții termice</w:t>
      </w:r>
    </w:p>
    <w:p w14:paraId="53C6C572" w14:textId="77777777" w:rsidR="00647D0C" w:rsidRPr="00A61195" w:rsidRDefault="00647D0C" w:rsidP="00A61195">
      <w:pPr>
        <w:pStyle w:val="Text4"/>
      </w:pPr>
      <w:r w:rsidRPr="00A61195">
        <w:t>Condiții de oxigenare</w:t>
      </w:r>
    </w:p>
    <w:p w14:paraId="0B917C96" w14:textId="77777777" w:rsidR="00647D0C" w:rsidRPr="00A61195" w:rsidRDefault="00647D0C" w:rsidP="00A61195">
      <w:pPr>
        <w:pStyle w:val="Text4"/>
      </w:pPr>
      <w:r w:rsidRPr="00A61195">
        <w:t>Salinitate</w:t>
      </w:r>
    </w:p>
    <w:p w14:paraId="6765359F" w14:textId="77777777" w:rsidR="00647D0C" w:rsidRPr="00A61195" w:rsidRDefault="00647D0C" w:rsidP="00A61195">
      <w:pPr>
        <w:pStyle w:val="Text4"/>
      </w:pPr>
      <w:r w:rsidRPr="00A61195">
        <w:t xml:space="preserve">Concentrația </w:t>
      </w:r>
      <w:proofErr w:type="spellStart"/>
      <w:r w:rsidRPr="00A61195">
        <w:t>nutrienților</w:t>
      </w:r>
      <w:proofErr w:type="spellEnd"/>
    </w:p>
    <w:p w14:paraId="64099706" w14:textId="1B2D79D0" w:rsidR="00647D0C" w:rsidRPr="00A61195" w:rsidRDefault="00647D0C" w:rsidP="00A61195">
      <w:pPr>
        <w:pStyle w:val="Point1"/>
        <w:ind w:left="1985" w:hanging="1134"/>
      </w:pPr>
      <w:r w:rsidRPr="00A61195">
        <w:t>1.1.4.</w:t>
      </w:r>
      <w:r w:rsidRPr="00A61195">
        <w:tab/>
        <w:t>Ape costiere</w:t>
      </w:r>
    </w:p>
    <w:p w14:paraId="5EF3A881" w14:textId="77777777" w:rsidR="00647D0C" w:rsidRPr="00D3772B" w:rsidRDefault="00647D0C" w:rsidP="00A61195">
      <w:pPr>
        <w:pStyle w:val="Text3"/>
        <w:rPr>
          <w:i/>
          <w:iCs/>
        </w:rPr>
      </w:pPr>
      <w:r w:rsidRPr="00D3772B">
        <w:rPr>
          <w:i/>
          <w:iCs/>
        </w:rPr>
        <w:t>Parametri biologici</w:t>
      </w:r>
    </w:p>
    <w:p w14:paraId="44944936" w14:textId="77777777" w:rsidR="00647D0C" w:rsidRPr="00A61195" w:rsidRDefault="00647D0C" w:rsidP="00A61195">
      <w:pPr>
        <w:pStyle w:val="Text4"/>
      </w:pPr>
      <w:r w:rsidRPr="00A61195">
        <w:t>Compoziția, abundența și biomasa fitoplanctonului</w:t>
      </w:r>
    </w:p>
    <w:p w14:paraId="6DB96276" w14:textId="77777777" w:rsidR="00647D0C" w:rsidRPr="00A61195" w:rsidRDefault="00647D0C">
      <w:pPr>
        <w:spacing w:before="0" w:after="160" w:line="259" w:lineRule="auto"/>
      </w:pPr>
      <w:r w:rsidRPr="00A61195">
        <w:br w:type="page"/>
      </w:r>
    </w:p>
    <w:p w14:paraId="07C9691F" w14:textId="57979845" w:rsidR="00647D0C" w:rsidRPr="00A61195" w:rsidRDefault="00647D0C" w:rsidP="00A61195">
      <w:pPr>
        <w:pStyle w:val="Text4"/>
      </w:pPr>
      <w:r w:rsidRPr="00A61195">
        <w:lastRenderedPageBreak/>
        <w:t>Compoziția și abundența florei acvatice (alta decât fitoplanctonul)</w:t>
      </w:r>
    </w:p>
    <w:p w14:paraId="54D28F32" w14:textId="77777777" w:rsidR="00647D0C" w:rsidRPr="00A61195" w:rsidRDefault="00647D0C" w:rsidP="00A61195">
      <w:pPr>
        <w:pStyle w:val="Text4"/>
      </w:pPr>
      <w:r w:rsidRPr="00A61195">
        <w:t>Compoziția și abundența faunei bentonice nevertebrate</w:t>
      </w:r>
    </w:p>
    <w:p w14:paraId="6FC15789" w14:textId="77777777" w:rsidR="00647D0C" w:rsidRPr="00D3772B" w:rsidRDefault="00647D0C" w:rsidP="00A61195">
      <w:pPr>
        <w:pStyle w:val="Text3"/>
        <w:rPr>
          <w:i/>
          <w:iCs/>
        </w:rPr>
      </w:pPr>
      <w:r w:rsidRPr="00D3772B">
        <w:rPr>
          <w:i/>
          <w:iCs/>
        </w:rPr>
        <w:t xml:space="preserve">Parametri </w:t>
      </w:r>
      <w:proofErr w:type="spellStart"/>
      <w:r w:rsidRPr="00D3772B">
        <w:rPr>
          <w:i/>
          <w:iCs/>
        </w:rPr>
        <w:t>hidromorfologici</w:t>
      </w:r>
      <w:proofErr w:type="spellEnd"/>
      <w:r w:rsidRPr="00D3772B">
        <w:rPr>
          <w:i/>
          <w:iCs/>
        </w:rPr>
        <w:t xml:space="preserve"> care susțin parametrii biologici</w:t>
      </w:r>
    </w:p>
    <w:p w14:paraId="674805F9" w14:textId="77777777" w:rsidR="00647D0C" w:rsidRPr="00A61195" w:rsidRDefault="00647D0C" w:rsidP="00A61195">
      <w:pPr>
        <w:pStyle w:val="Text4"/>
      </w:pPr>
      <w:r w:rsidRPr="00A61195">
        <w:t>Condiții morfologice</w:t>
      </w:r>
      <w:bookmarkStart w:id="25" w:name="DQCErrorScopeD8EAFA0441FB7AEA00FCCE3361D"/>
    </w:p>
    <w:bookmarkEnd w:id="25"/>
    <w:p w14:paraId="511A0E2D" w14:textId="77777777" w:rsidR="00647D0C" w:rsidRPr="00A61195" w:rsidRDefault="00647D0C" w:rsidP="00A61195">
      <w:pPr>
        <w:pStyle w:val="Text5"/>
      </w:pPr>
      <w:r w:rsidRPr="00A61195">
        <w:t>variații în adâncime</w:t>
      </w:r>
      <w:bookmarkStart w:id="26" w:name="DQCErrorScopeD1E2EF4450F91412BF3354FD83E"/>
    </w:p>
    <w:bookmarkEnd w:id="26"/>
    <w:p w14:paraId="6F9EC3B0" w14:textId="7C032912" w:rsidR="00647D0C" w:rsidRPr="00A61195" w:rsidRDefault="00647D0C" w:rsidP="00A61195">
      <w:pPr>
        <w:pStyle w:val="Text5"/>
      </w:pPr>
      <w:r w:rsidRPr="00A61195">
        <w:t>structura și substratul patului de coastă</w:t>
      </w:r>
      <w:bookmarkStart w:id="27" w:name="DQCErrorScopeA27CF6645D18CC222AEE4063BEB"/>
    </w:p>
    <w:bookmarkEnd w:id="27"/>
    <w:p w14:paraId="38C633FE" w14:textId="204BA06F" w:rsidR="00647D0C" w:rsidRPr="00A61195" w:rsidRDefault="00647D0C" w:rsidP="00A61195">
      <w:pPr>
        <w:pStyle w:val="Text5"/>
      </w:pPr>
      <w:r w:rsidRPr="00A61195">
        <w:t>structura zonei delimitate de maree</w:t>
      </w:r>
    </w:p>
    <w:p w14:paraId="26C57742" w14:textId="77777777" w:rsidR="00647D0C" w:rsidRPr="00A61195" w:rsidRDefault="00647D0C" w:rsidP="00A61195">
      <w:pPr>
        <w:pStyle w:val="Text4"/>
      </w:pPr>
      <w:r w:rsidRPr="00A61195">
        <w:t>Regimul mareei</w:t>
      </w:r>
      <w:bookmarkStart w:id="28" w:name="DQCErrorScope5A496D54EB2ABB7D1AF2A33D6CB"/>
    </w:p>
    <w:bookmarkEnd w:id="28"/>
    <w:p w14:paraId="007CEC9B" w14:textId="105696C6" w:rsidR="00647D0C" w:rsidRPr="00A61195" w:rsidRDefault="00647D0C" w:rsidP="00A61195">
      <w:pPr>
        <w:pStyle w:val="Text5"/>
      </w:pPr>
      <w:r w:rsidRPr="00A61195">
        <w:t>direcția curenților dominanți</w:t>
      </w:r>
      <w:bookmarkStart w:id="29" w:name="DQCErrorScope53F3F09436A9215416802D59FE1"/>
    </w:p>
    <w:bookmarkEnd w:id="29"/>
    <w:p w14:paraId="538DB0AD" w14:textId="64E2D23D" w:rsidR="00647D0C" w:rsidRPr="00A61195" w:rsidRDefault="00647D0C" w:rsidP="00A61195">
      <w:pPr>
        <w:pStyle w:val="Text5"/>
      </w:pPr>
      <w:r w:rsidRPr="00A61195">
        <w:t>expunerea la valuri</w:t>
      </w:r>
    </w:p>
    <w:p w14:paraId="15D439C2" w14:textId="77777777" w:rsidR="00647D0C" w:rsidRPr="00D3772B" w:rsidRDefault="00647D0C" w:rsidP="00A61195">
      <w:pPr>
        <w:pStyle w:val="Text3"/>
        <w:rPr>
          <w:i/>
          <w:iCs/>
        </w:rPr>
      </w:pPr>
      <w:r w:rsidRPr="00D3772B">
        <w:rPr>
          <w:i/>
          <w:iCs/>
        </w:rPr>
        <w:t xml:space="preserve">Parametri </w:t>
      </w:r>
      <w:proofErr w:type="spellStart"/>
      <w:r w:rsidRPr="00D3772B">
        <w:rPr>
          <w:i/>
          <w:iCs/>
        </w:rPr>
        <w:t>fizico</w:t>
      </w:r>
      <w:proofErr w:type="spellEnd"/>
      <w:r w:rsidRPr="00D3772B">
        <w:rPr>
          <w:i/>
          <w:iCs/>
        </w:rPr>
        <w:t>-chimici generali care susțin parametrii biologici</w:t>
      </w:r>
    </w:p>
    <w:p w14:paraId="09B88E4A" w14:textId="77777777" w:rsidR="00647D0C" w:rsidRPr="00A61195" w:rsidRDefault="00647D0C" w:rsidP="00A61195">
      <w:pPr>
        <w:pStyle w:val="Text4"/>
      </w:pPr>
      <w:r w:rsidRPr="00A61195">
        <w:t>Transparență</w:t>
      </w:r>
    </w:p>
    <w:p w14:paraId="083752F3" w14:textId="77777777" w:rsidR="00647D0C" w:rsidRPr="00A61195" w:rsidRDefault="00647D0C" w:rsidP="00A61195">
      <w:pPr>
        <w:pStyle w:val="Text4"/>
      </w:pPr>
      <w:r w:rsidRPr="00A61195">
        <w:t>Condiții termice</w:t>
      </w:r>
    </w:p>
    <w:p w14:paraId="4D75F23E" w14:textId="77777777" w:rsidR="00647D0C" w:rsidRPr="00A61195" w:rsidRDefault="00647D0C" w:rsidP="00A61195">
      <w:pPr>
        <w:pStyle w:val="Text4"/>
      </w:pPr>
      <w:r w:rsidRPr="00A61195">
        <w:t>Condiții de oxigenare</w:t>
      </w:r>
    </w:p>
    <w:p w14:paraId="40DB16AE" w14:textId="77777777" w:rsidR="00647D0C" w:rsidRPr="00A61195" w:rsidRDefault="00647D0C" w:rsidP="00A61195">
      <w:pPr>
        <w:pStyle w:val="Text4"/>
      </w:pPr>
      <w:r w:rsidRPr="00A61195">
        <w:t>Salinitate</w:t>
      </w:r>
    </w:p>
    <w:p w14:paraId="0B418FB9" w14:textId="6CA863B8" w:rsidR="00647D0C" w:rsidRPr="00A61195" w:rsidRDefault="00647D0C" w:rsidP="00A61195">
      <w:pPr>
        <w:pStyle w:val="Text4"/>
      </w:pPr>
      <w:r w:rsidRPr="00A61195">
        <w:t xml:space="preserve">Concentrația </w:t>
      </w:r>
      <w:proofErr w:type="spellStart"/>
      <w:r w:rsidRPr="00A61195">
        <w:t>nutrienților</w:t>
      </w:r>
      <w:proofErr w:type="spellEnd"/>
      <w:r w:rsidRPr="00A61195">
        <w:t>”.</w:t>
      </w:r>
    </w:p>
    <w:p w14:paraId="7CE2206A" w14:textId="77777777" w:rsidR="00647D0C" w:rsidRPr="00A61195" w:rsidRDefault="00647D0C" w:rsidP="00A61195">
      <w:pPr>
        <w:pStyle w:val="Point0"/>
        <w:sectPr w:rsidR="00647D0C" w:rsidRPr="00A61195" w:rsidSect="00B35CF3">
          <w:headerReference w:type="even" r:id="rId66"/>
          <w:headerReference w:type="default" r:id="rId67"/>
          <w:footerReference w:type="even" r:id="rId68"/>
          <w:footerReference w:type="default" r:id="rId69"/>
          <w:headerReference w:type="first" r:id="rId70"/>
          <w:footerReference w:type="first" r:id="rId71"/>
          <w:pgSz w:w="11907" w:h="16839" w:code="9"/>
          <w:pgMar w:top="1134" w:right="1134" w:bottom="1134" w:left="1134" w:header="567" w:footer="567" w:gutter="0"/>
          <w:pgNumType w:start="1"/>
          <w:cols w:space="708"/>
          <w:docGrid w:linePitch="360"/>
        </w:sectPr>
      </w:pPr>
    </w:p>
    <w:p w14:paraId="64A3087F" w14:textId="0E83D458" w:rsidR="00647D0C" w:rsidRPr="00A61195" w:rsidRDefault="00647D0C" w:rsidP="00A61195">
      <w:pPr>
        <w:pStyle w:val="Point0"/>
      </w:pPr>
      <w:r w:rsidRPr="00A61195">
        <w:lastRenderedPageBreak/>
        <w:t>2.</w:t>
      </w:r>
      <w:r w:rsidRPr="00A61195">
        <w:tab/>
        <w:t xml:space="preserve">La punctul 1.2.1., tabelul „Elemente calitative </w:t>
      </w:r>
      <w:proofErr w:type="spellStart"/>
      <w:r w:rsidRPr="00A61195">
        <w:t>fizico</w:t>
      </w:r>
      <w:proofErr w:type="spellEnd"/>
      <w:r w:rsidRPr="00A61195">
        <w:t>-chimice” se înlocuiește cu următorul tabel:</w:t>
      </w:r>
    </w:p>
    <w:p w14:paraId="5D89E88C" w14:textId="77777777" w:rsidR="00647D0C" w:rsidRPr="00A61195" w:rsidRDefault="00647D0C" w:rsidP="00A61195">
      <w:r w:rsidRPr="00A61195">
        <w:t>„</w:t>
      </w:r>
      <w:r w:rsidRPr="00D3772B">
        <w:rPr>
          <w:i/>
          <w:iCs/>
        </w:rPr>
        <w:t xml:space="preserve">Elemente calitative </w:t>
      </w:r>
      <w:proofErr w:type="spellStart"/>
      <w:r w:rsidRPr="00D3772B">
        <w:rPr>
          <w:i/>
          <w:iCs/>
        </w:rPr>
        <w:t>fizico</w:t>
      </w:r>
      <w:proofErr w:type="spellEnd"/>
      <w:r w:rsidRPr="00D3772B">
        <w:rPr>
          <w:i/>
          <w:iCs/>
        </w:rPr>
        <w:t>-chimice generale</w:t>
      </w:r>
    </w:p>
    <w:tbl>
      <w:tblPr>
        <w:tblStyle w:val="TableGrid"/>
        <w:tblW w:w="5000" w:type="pct"/>
        <w:tblLook w:val="04A0" w:firstRow="1" w:lastRow="0" w:firstColumn="1" w:lastColumn="0" w:noHBand="0" w:noVBand="1"/>
      </w:tblPr>
      <w:tblGrid>
        <w:gridCol w:w="2868"/>
        <w:gridCol w:w="3658"/>
        <w:gridCol w:w="4855"/>
        <w:gridCol w:w="3180"/>
      </w:tblGrid>
      <w:tr w:rsidR="00647D0C" w:rsidRPr="00A61195" w14:paraId="338D7D8A" w14:textId="77777777" w:rsidTr="00D3772B">
        <w:tc>
          <w:tcPr>
            <w:tcW w:w="985" w:type="pct"/>
          </w:tcPr>
          <w:p w14:paraId="0EAB18BB" w14:textId="77777777" w:rsidR="00647D0C" w:rsidRPr="00A61195" w:rsidRDefault="00647D0C" w:rsidP="009D20AB">
            <w:pPr>
              <w:spacing w:before="60" w:after="60" w:line="240" w:lineRule="auto"/>
              <w:jc w:val="center"/>
            </w:pPr>
            <w:r w:rsidRPr="00A61195">
              <w:t>Element</w:t>
            </w:r>
          </w:p>
        </w:tc>
        <w:tc>
          <w:tcPr>
            <w:tcW w:w="1256" w:type="pct"/>
          </w:tcPr>
          <w:p w14:paraId="54E0778D" w14:textId="77777777" w:rsidR="00647D0C" w:rsidRPr="00A61195" w:rsidRDefault="00647D0C" w:rsidP="009D20AB">
            <w:pPr>
              <w:spacing w:before="60" w:after="60" w:line="240" w:lineRule="auto"/>
              <w:jc w:val="center"/>
            </w:pPr>
            <w:r w:rsidRPr="00A61195">
              <w:t>Stare foarte bună</w:t>
            </w:r>
          </w:p>
        </w:tc>
        <w:tc>
          <w:tcPr>
            <w:tcW w:w="1667" w:type="pct"/>
          </w:tcPr>
          <w:p w14:paraId="4B262B47" w14:textId="77777777" w:rsidR="00647D0C" w:rsidRPr="00A61195" w:rsidRDefault="00647D0C" w:rsidP="009D20AB">
            <w:pPr>
              <w:spacing w:before="60" w:after="60" w:line="240" w:lineRule="auto"/>
              <w:jc w:val="center"/>
            </w:pPr>
            <w:r w:rsidRPr="00A61195">
              <w:t>Stare bună</w:t>
            </w:r>
          </w:p>
        </w:tc>
        <w:tc>
          <w:tcPr>
            <w:tcW w:w="1092" w:type="pct"/>
          </w:tcPr>
          <w:p w14:paraId="125720AE" w14:textId="7275E9FD" w:rsidR="00647D0C" w:rsidRPr="00A61195" w:rsidRDefault="00647D0C" w:rsidP="009D20AB">
            <w:pPr>
              <w:spacing w:before="60" w:after="60" w:line="240" w:lineRule="auto"/>
              <w:jc w:val="center"/>
            </w:pPr>
            <w:r w:rsidRPr="00A61195">
              <w:t>Stare moderată</w:t>
            </w:r>
          </w:p>
        </w:tc>
      </w:tr>
      <w:tr w:rsidR="00647D0C" w:rsidRPr="00A61195" w14:paraId="36C883E6" w14:textId="77777777" w:rsidTr="00D3772B">
        <w:tc>
          <w:tcPr>
            <w:tcW w:w="985" w:type="pct"/>
          </w:tcPr>
          <w:p w14:paraId="5615F82A" w14:textId="77777777" w:rsidR="00647D0C" w:rsidRPr="00A61195" w:rsidRDefault="00647D0C" w:rsidP="009D20AB">
            <w:pPr>
              <w:spacing w:before="60" w:after="60" w:line="240" w:lineRule="auto"/>
            </w:pPr>
            <w:r w:rsidRPr="00A61195">
              <w:t>Condiții generale</w:t>
            </w:r>
          </w:p>
        </w:tc>
        <w:tc>
          <w:tcPr>
            <w:tcW w:w="1256" w:type="pct"/>
          </w:tcPr>
          <w:p w14:paraId="23DE45B7" w14:textId="3EC8BE20" w:rsidR="00647D0C" w:rsidRPr="00A61195" w:rsidRDefault="00647D0C" w:rsidP="009D20AB">
            <w:pPr>
              <w:spacing w:before="60" w:after="60" w:line="240" w:lineRule="auto"/>
            </w:pPr>
            <w:r w:rsidRPr="00A61195">
              <w:t xml:space="preserve">Valorile elementelor </w:t>
            </w:r>
            <w:proofErr w:type="spellStart"/>
            <w:r w:rsidRPr="00A61195">
              <w:t>fizico</w:t>
            </w:r>
            <w:r w:rsidR="00D3772B">
              <w:t>­</w:t>
            </w:r>
            <w:r w:rsidRPr="00A61195">
              <w:t>chimice</w:t>
            </w:r>
            <w:proofErr w:type="spellEnd"/>
            <w:r w:rsidRPr="00A61195">
              <w:t xml:space="preserve"> generale corespund în totalitate sau aproape în totalitate condițiilor neperturbate.</w:t>
            </w:r>
          </w:p>
          <w:p w14:paraId="21254AE2" w14:textId="77777777" w:rsidR="00647D0C" w:rsidRPr="00A61195" w:rsidRDefault="00647D0C" w:rsidP="009D20AB">
            <w:pPr>
              <w:spacing w:before="60" w:after="60" w:line="240" w:lineRule="auto"/>
            </w:pPr>
            <w:r w:rsidRPr="00A61195">
              <w:t xml:space="preserve">Concentrațiile </w:t>
            </w:r>
            <w:proofErr w:type="spellStart"/>
            <w:r w:rsidRPr="00A61195">
              <w:t>nutrienților</w:t>
            </w:r>
            <w:proofErr w:type="spellEnd"/>
            <w:r w:rsidRPr="00A61195">
              <w:t xml:space="preserve"> rămân în limitele asociate în mod normal condițiilor neperturbate.</w:t>
            </w:r>
          </w:p>
          <w:p w14:paraId="2EB68BEE" w14:textId="77777777" w:rsidR="00647D0C" w:rsidRPr="00A61195" w:rsidRDefault="00647D0C" w:rsidP="009D20AB">
            <w:pPr>
              <w:spacing w:before="60" w:after="60" w:line="240" w:lineRule="auto"/>
            </w:pPr>
            <w:r w:rsidRPr="00A61195">
              <w:t xml:space="preserve">Nivelul salinității, </w:t>
            </w:r>
            <w:proofErr w:type="spellStart"/>
            <w:r w:rsidRPr="00A61195">
              <w:t>pH-ul</w:t>
            </w:r>
            <w:proofErr w:type="spellEnd"/>
            <w:r w:rsidRPr="00A61195">
              <w:t>, condițiile de oxigenare, capacitatea de neutralizare a acizilor și temperatura nu indică modificări antropice și se mențin în limitele asociate în mod normal condițiilor neperturbate.</w:t>
            </w:r>
          </w:p>
        </w:tc>
        <w:tc>
          <w:tcPr>
            <w:tcW w:w="1667" w:type="pct"/>
          </w:tcPr>
          <w:p w14:paraId="2CE6EF64" w14:textId="309E8DB1" w:rsidR="00647D0C" w:rsidRPr="00A61195" w:rsidRDefault="00647D0C" w:rsidP="009D20AB">
            <w:pPr>
              <w:spacing w:before="60" w:after="60" w:line="240" w:lineRule="auto"/>
            </w:pPr>
            <w:r w:rsidRPr="00A61195">
              <w:t xml:space="preserve">Temperatura, condițiile de oxigenare, </w:t>
            </w:r>
            <w:proofErr w:type="spellStart"/>
            <w:r w:rsidRPr="00A61195">
              <w:t>pH-ul</w:t>
            </w:r>
            <w:proofErr w:type="spellEnd"/>
            <w:r w:rsidRPr="00A61195">
              <w:t>, capacitatea de neutralizare a acizilor și nivelul salinității nu depășesc limitele stabilite pentru a asigura funcționarea ecosistemului specific acestui tip și pentru a obține valorile specificate anterior pentru elementele calitative biologice.</w:t>
            </w:r>
          </w:p>
          <w:p w14:paraId="327AA173" w14:textId="77777777" w:rsidR="00647D0C" w:rsidRPr="00A61195" w:rsidRDefault="00647D0C" w:rsidP="009D20AB">
            <w:pPr>
              <w:spacing w:before="60" w:after="60" w:line="240" w:lineRule="auto"/>
            </w:pPr>
            <w:r w:rsidRPr="00A61195">
              <w:t xml:space="preserve">Concentrațiile </w:t>
            </w:r>
            <w:proofErr w:type="spellStart"/>
            <w:r w:rsidRPr="00A61195">
              <w:t>nutrienților</w:t>
            </w:r>
            <w:proofErr w:type="spellEnd"/>
            <w:r w:rsidRPr="00A61195">
              <w:t xml:space="preserve"> nu depășesc nivelurile stabilite pentru a asigura funcționarea ecosistemului și pentru a obține valorile specificate anterior pentru elementele calitative biologice.</w:t>
            </w:r>
          </w:p>
        </w:tc>
        <w:tc>
          <w:tcPr>
            <w:tcW w:w="1092" w:type="pct"/>
          </w:tcPr>
          <w:p w14:paraId="2590959E" w14:textId="77777777" w:rsidR="00647D0C" w:rsidRPr="00A61195" w:rsidRDefault="00647D0C" w:rsidP="009D20AB">
            <w:pPr>
              <w:spacing w:before="60" w:after="60" w:line="240" w:lineRule="auto"/>
            </w:pPr>
            <w:r w:rsidRPr="00A61195">
              <w:t>Condiții adecvate atingerii valorilor specificate anterior pentru elementele calitative biologice.</w:t>
            </w:r>
          </w:p>
        </w:tc>
      </w:tr>
    </w:tbl>
    <w:p w14:paraId="4578DC8E" w14:textId="77777777" w:rsidR="00647D0C" w:rsidRPr="00A61195" w:rsidRDefault="00647D0C" w:rsidP="00A61195">
      <w:pPr>
        <w:pStyle w:val="NormalRight"/>
      </w:pPr>
      <w:r w:rsidRPr="00A61195">
        <w:t>”.</w:t>
      </w:r>
    </w:p>
    <w:p w14:paraId="48B210CC" w14:textId="77777777" w:rsidR="00647D0C" w:rsidRPr="00A61195" w:rsidRDefault="00647D0C" w:rsidP="00647D0C">
      <w:pPr>
        <w:spacing w:before="0" w:after="160" w:line="259" w:lineRule="auto"/>
      </w:pPr>
      <w:r w:rsidRPr="00A61195">
        <w:br w:type="page"/>
      </w:r>
    </w:p>
    <w:p w14:paraId="723B3A72" w14:textId="4DAE7FAA" w:rsidR="00647D0C" w:rsidRPr="00A61195" w:rsidRDefault="00647D0C" w:rsidP="00A61195">
      <w:pPr>
        <w:pStyle w:val="Point0"/>
      </w:pPr>
      <w:r w:rsidRPr="00A61195">
        <w:lastRenderedPageBreak/>
        <w:t>3.</w:t>
      </w:r>
      <w:r w:rsidRPr="00A61195">
        <w:tab/>
        <w:t xml:space="preserve">La punctul 1.2.2., tabelul „Elemente calitative </w:t>
      </w:r>
      <w:proofErr w:type="spellStart"/>
      <w:r w:rsidRPr="00A61195">
        <w:t>fizico</w:t>
      </w:r>
      <w:proofErr w:type="spellEnd"/>
      <w:r w:rsidRPr="00A61195">
        <w:t>-chimice” se înlocuiește cu următorul tabel:</w:t>
      </w:r>
    </w:p>
    <w:p w14:paraId="653E2D89" w14:textId="77777777" w:rsidR="00647D0C" w:rsidRPr="00A61195" w:rsidRDefault="00647D0C" w:rsidP="00A61195">
      <w:r w:rsidRPr="00A61195">
        <w:t>„</w:t>
      </w:r>
      <w:r w:rsidRPr="00D3772B">
        <w:rPr>
          <w:i/>
          <w:iCs/>
        </w:rPr>
        <w:t xml:space="preserve">Elemente calitative </w:t>
      </w:r>
      <w:proofErr w:type="spellStart"/>
      <w:r w:rsidRPr="00D3772B">
        <w:rPr>
          <w:i/>
          <w:iCs/>
        </w:rPr>
        <w:t>fizico</w:t>
      </w:r>
      <w:proofErr w:type="spellEnd"/>
      <w:r w:rsidRPr="00D3772B">
        <w:rPr>
          <w:i/>
          <w:iCs/>
        </w:rPr>
        <w:t>-chimice generale</w:t>
      </w:r>
    </w:p>
    <w:tbl>
      <w:tblPr>
        <w:tblStyle w:val="TableGrid"/>
        <w:tblW w:w="5000" w:type="pct"/>
        <w:tblLook w:val="04A0" w:firstRow="1" w:lastRow="0" w:firstColumn="1" w:lastColumn="0" w:noHBand="0" w:noVBand="1"/>
      </w:tblPr>
      <w:tblGrid>
        <w:gridCol w:w="3641"/>
        <w:gridCol w:w="3640"/>
        <w:gridCol w:w="3640"/>
        <w:gridCol w:w="3640"/>
      </w:tblGrid>
      <w:tr w:rsidR="00647D0C" w:rsidRPr="00A61195" w14:paraId="2D32FEA0" w14:textId="77777777" w:rsidTr="00D3772B">
        <w:tc>
          <w:tcPr>
            <w:tcW w:w="1250" w:type="pct"/>
            <w:vAlign w:val="center"/>
          </w:tcPr>
          <w:p w14:paraId="1D65C001" w14:textId="77777777" w:rsidR="00647D0C" w:rsidRPr="00A61195" w:rsidRDefault="00647D0C" w:rsidP="009D20AB">
            <w:pPr>
              <w:spacing w:before="60" w:after="60" w:line="240" w:lineRule="auto"/>
              <w:jc w:val="center"/>
            </w:pPr>
            <w:r w:rsidRPr="00A61195">
              <w:t>Element</w:t>
            </w:r>
          </w:p>
        </w:tc>
        <w:tc>
          <w:tcPr>
            <w:tcW w:w="1250" w:type="pct"/>
            <w:vAlign w:val="center"/>
          </w:tcPr>
          <w:p w14:paraId="6383BB08" w14:textId="77777777" w:rsidR="00647D0C" w:rsidRPr="00A61195" w:rsidRDefault="00647D0C" w:rsidP="009D20AB">
            <w:pPr>
              <w:spacing w:before="60" w:after="60" w:line="240" w:lineRule="auto"/>
              <w:jc w:val="center"/>
            </w:pPr>
            <w:r w:rsidRPr="00A61195">
              <w:t>Stare foarte bună</w:t>
            </w:r>
          </w:p>
        </w:tc>
        <w:tc>
          <w:tcPr>
            <w:tcW w:w="1250" w:type="pct"/>
            <w:vAlign w:val="center"/>
          </w:tcPr>
          <w:p w14:paraId="4FAB057C" w14:textId="77777777" w:rsidR="00647D0C" w:rsidRPr="00A61195" w:rsidRDefault="00647D0C" w:rsidP="009D20AB">
            <w:pPr>
              <w:spacing w:before="60" w:after="60" w:line="240" w:lineRule="auto"/>
              <w:jc w:val="center"/>
            </w:pPr>
            <w:r w:rsidRPr="00A61195">
              <w:t>Stare bună</w:t>
            </w:r>
          </w:p>
        </w:tc>
        <w:tc>
          <w:tcPr>
            <w:tcW w:w="1250" w:type="pct"/>
            <w:vAlign w:val="center"/>
          </w:tcPr>
          <w:p w14:paraId="6EFE4F3E" w14:textId="3A6477B9" w:rsidR="00647D0C" w:rsidRPr="00A61195" w:rsidRDefault="00647D0C" w:rsidP="009D20AB">
            <w:pPr>
              <w:spacing w:before="60" w:after="60" w:line="240" w:lineRule="auto"/>
              <w:jc w:val="center"/>
            </w:pPr>
            <w:r w:rsidRPr="00A61195">
              <w:t>Stare moderată</w:t>
            </w:r>
          </w:p>
        </w:tc>
      </w:tr>
      <w:tr w:rsidR="00647D0C" w:rsidRPr="00A61195" w14:paraId="0C45B8E7" w14:textId="77777777" w:rsidTr="00D3772B">
        <w:tc>
          <w:tcPr>
            <w:tcW w:w="1250" w:type="pct"/>
          </w:tcPr>
          <w:p w14:paraId="185F18C5" w14:textId="77777777" w:rsidR="00647D0C" w:rsidRPr="00A61195" w:rsidRDefault="00647D0C" w:rsidP="009D20AB">
            <w:pPr>
              <w:spacing w:before="60" w:after="60" w:line="240" w:lineRule="auto"/>
            </w:pPr>
            <w:r w:rsidRPr="00A61195">
              <w:t>Condiții generale</w:t>
            </w:r>
          </w:p>
        </w:tc>
        <w:tc>
          <w:tcPr>
            <w:tcW w:w="1250" w:type="pct"/>
          </w:tcPr>
          <w:p w14:paraId="1345EC79" w14:textId="1BD2CDD9" w:rsidR="00647D0C" w:rsidRPr="00A61195" w:rsidRDefault="00647D0C" w:rsidP="009D20AB">
            <w:pPr>
              <w:spacing w:before="60" w:after="60" w:line="240" w:lineRule="auto"/>
            </w:pPr>
            <w:r w:rsidRPr="00A61195">
              <w:t xml:space="preserve">Valorile elementelor </w:t>
            </w:r>
            <w:proofErr w:type="spellStart"/>
            <w:r w:rsidRPr="00A61195">
              <w:t>fizico</w:t>
            </w:r>
            <w:r w:rsidR="00D3772B">
              <w:t>­</w:t>
            </w:r>
            <w:r w:rsidRPr="00A61195">
              <w:t>chimice</w:t>
            </w:r>
            <w:proofErr w:type="spellEnd"/>
            <w:r w:rsidRPr="00A61195">
              <w:t xml:space="preserve"> generale corespund în totalitate sau aproape în totalitate condițiilor neperturbate.</w:t>
            </w:r>
          </w:p>
          <w:p w14:paraId="7C8DAC8E" w14:textId="77777777" w:rsidR="00647D0C" w:rsidRPr="00A61195" w:rsidRDefault="00647D0C" w:rsidP="009D20AB">
            <w:pPr>
              <w:spacing w:before="60" w:after="60" w:line="240" w:lineRule="auto"/>
            </w:pPr>
            <w:r w:rsidRPr="00A61195">
              <w:t xml:space="preserve">Concentrațiile </w:t>
            </w:r>
            <w:proofErr w:type="spellStart"/>
            <w:r w:rsidRPr="00A61195">
              <w:t>nutrienților</w:t>
            </w:r>
            <w:proofErr w:type="spellEnd"/>
            <w:r w:rsidRPr="00A61195">
              <w:t xml:space="preserve"> rămân în limitele asociate în mod normal condițiilor neperturbate.</w:t>
            </w:r>
          </w:p>
          <w:p w14:paraId="6221B22E" w14:textId="77777777" w:rsidR="00647D0C" w:rsidRPr="00A61195" w:rsidRDefault="00647D0C" w:rsidP="009D20AB">
            <w:pPr>
              <w:spacing w:before="60" w:after="60" w:line="240" w:lineRule="auto"/>
            </w:pPr>
            <w:r w:rsidRPr="00A61195">
              <w:t xml:space="preserve">Nivelul salinității, </w:t>
            </w:r>
            <w:proofErr w:type="spellStart"/>
            <w:r w:rsidRPr="00A61195">
              <w:t>pH-ul</w:t>
            </w:r>
            <w:proofErr w:type="spellEnd"/>
            <w:r w:rsidRPr="00A61195">
              <w:t>, condițiile de oxigenare, capacitatea de neutralizare a acizilor, transparența și temperatura nu indică modificări antropice și se mențin în limitele asociate în mod normal condițiilor neperturbate.</w:t>
            </w:r>
          </w:p>
        </w:tc>
        <w:tc>
          <w:tcPr>
            <w:tcW w:w="1250" w:type="pct"/>
          </w:tcPr>
          <w:p w14:paraId="41BD6C72" w14:textId="77777777" w:rsidR="00647D0C" w:rsidRPr="00A61195" w:rsidRDefault="00647D0C" w:rsidP="009D20AB">
            <w:pPr>
              <w:spacing w:before="60" w:after="60" w:line="240" w:lineRule="auto"/>
            </w:pPr>
            <w:r w:rsidRPr="00A61195">
              <w:t xml:space="preserve">Temperatura, condițiile de oxigenare, </w:t>
            </w:r>
            <w:proofErr w:type="spellStart"/>
            <w:r w:rsidRPr="00A61195">
              <w:t>pH-ul</w:t>
            </w:r>
            <w:proofErr w:type="spellEnd"/>
            <w:r w:rsidRPr="00A61195">
              <w:t>, capacitatea de neutralizare a acizilor, transparența și nivelul salinității nu depășesc limitele stabilite pentru a asigura funcționarea ecosistemului și pentru a obține valorile specificate anterior pentru elementele calitative biologice.</w:t>
            </w:r>
          </w:p>
          <w:p w14:paraId="1AF6342C" w14:textId="77777777" w:rsidR="00647D0C" w:rsidRPr="00A61195" w:rsidRDefault="00647D0C" w:rsidP="009D20AB">
            <w:pPr>
              <w:spacing w:before="60" w:after="60" w:line="240" w:lineRule="auto"/>
            </w:pPr>
            <w:r w:rsidRPr="00A61195">
              <w:t xml:space="preserve">Concentrațiile </w:t>
            </w:r>
            <w:proofErr w:type="spellStart"/>
            <w:r w:rsidRPr="00A61195">
              <w:t>nutrienților</w:t>
            </w:r>
            <w:proofErr w:type="spellEnd"/>
            <w:r w:rsidRPr="00A61195">
              <w:t xml:space="preserve"> nu depășesc nivelurile stabilite pentru a asigura funcționarea ecosistemului și pentru a obține valorile specificate anterior pentru elementele calitative biologice.</w:t>
            </w:r>
          </w:p>
        </w:tc>
        <w:tc>
          <w:tcPr>
            <w:tcW w:w="1250" w:type="pct"/>
          </w:tcPr>
          <w:p w14:paraId="723C3EE5" w14:textId="77777777" w:rsidR="00647D0C" w:rsidRPr="00A61195" w:rsidRDefault="00647D0C" w:rsidP="009D20AB">
            <w:pPr>
              <w:spacing w:before="60" w:after="60" w:line="240" w:lineRule="auto"/>
            </w:pPr>
            <w:r w:rsidRPr="00A61195">
              <w:t>Condiții adecvate atingerii valorilor specificate anterior pentru elementele calitative biologice.</w:t>
            </w:r>
          </w:p>
        </w:tc>
      </w:tr>
    </w:tbl>
    <w:p w14:paraId="69D323FF" w14:textId="77777777" w:rsidR="00647D0C" w:rsidRPr="00A61195" w:rsidRDefault="00647D0C" w:rsidP="00A61195">
      <w:pPr>
        <w:pStyle w:val="NormalRight"/>
      </w:pPr>
      <w:r w:rsidRPr="00A61195">
        <w:t>”.</w:t>
      </w:r>
    </w:p>
    <w:p w14:paraId="6418E2AC" w14:textId="77777777" w:rsidR="00647D0C" w:rsidRPr="00A61195" w:rsidRDefault="00647D0C" w:rsidP="00647D0C">
      <w:pPr>
        <w:spacing w:before="0" w:after="160" w:line="259" w:lineRule="auto"/>
      </w:pPr>
      <w:r w:rsidRPr="00A61195">
        <w:br w:type="page"/>
      </w:r>
    </w:p>
    <w:p w14:paraId="29BCD60C" w14:textId="3B51BB51" w:rsidR="00647D0C" w:rsidRPr="00A61195" w:rsidRDefault="00647D0C" w:rsidP="00A61195">
      <w:pPr>
        <w:pStyle w:val="Point0"/>
      </w:pPr>
      <w:r w:rsidRPr="00A61195">
        <w:lastRenderedPageBreak/>
        <w:t>4.</w:t>
      </w:r>
      <w:r w:rsidRPr="00A61195">
        <w:tab/>
        <w:t xml:space="preserve">La punctul 1.2.3., tabelul „Elemente calitative </w:t>
      </w:r>
      <w:proofErr w:type="spellStart"/>
      <w:r w:rsidRPr="00A61195">
        <w:t>fizico</w:t>
      </w:r>
      <w:proofErr w:type="spellEnd"/>
      <w:r w:rsidRPr="00A61195">
        <w:t>-chimice” se înlocuiește cu următorul tabel:</w:t>
      </w:r>
    </w:p>
    <w:p w14:paraId="4C6C63F9" w14:textId="77777777" w:rsidR="00647D0C" w:rsidRPr="00A61195" w:rsidRDefault="00647D0C" w:rsidP="00A61195">
      <w:r w:rsidRPr="00A61195">
        <w:t>„</w:t>
      </w:r>
      <w:r w:rsidRPr="00D3772B">
        <w:rPr>
          <w:i/>
          <w:iCs/>
        </w:rPr>
        <w:t xml:space="preserve">Elemente calitative </w:t>
      </w:r>
      <w:proofErr w:type="spellStart"/>
      <w:r w:rsidRPr="00D3772B">
        <w:rPr>
          <w:i/>
          <w:iCs/>
        </w:rPr>
        <w:t>fizico</w:t>
      </w:r>
      <w:proofErr w:type="spellEnd"/>
      <w:r w:rsidRPr="00D3772B">
        <w:rPr>
          <w:i/>
          <w:iCs/>
        </w:rPr>
        <w:t>-chimice generale</w:t>
      </w:r>
    </w:p>
    <w:tbl>
      <w:tblPr>
        <w:tblStyle w:val="TableGrid"/>
        <w:tblW w:w="5000" w:type="pct"/>
        <w:tblLook w:val="04A0" w:firstRow="1" w:lastRow="0" w:firstColumn="1" w:lastColumn="0" w:noHBand="0" w:noVBand="1"/>
      </w:tblPr>
      <w:tblGrid>
        <w:gridCol w:w="3641"/>
        <w:gridCol w:w="3640"/>
        <w:gridCol w:w="3640"/>
        <w:gridCol w:w="3640"/>
      </w:tblGrid>
      <w:tr w:rsidR="00647D0C" w:rsidRPr="00A61195" w14:paraId="484E376E" w14:textId="77777777" w:rsidTr="00D3772B">
        <w:tc>
          <w:tcPr>
            <w:tcW w:w="1250" w:type="pct"/>
            <w:vAlign w:val="center"/>
          </w:tcPr>
          <w:p w14:paraId="75442A96" w14:textId="77777777" w:rsidR="00647D0C" w:rsidRPr="00A61195" w:rsidRDefault="00647D0C" w:rsidP="009D20AB">
            <w:pPr>
              <w:spacing w:before="60" w:after="60" w:line="240" w:lineRule="auto"/>
              <w:jc w:val="center"/>
            </w:pPr>
            <w:r w:rsidRPr="00A61195">
              <w:t>Element</w:t>
            </w:r>
          </w:p>
        </w:tc>
        <w:tc>
          <w:tcPr>
            <w:tcW w:w="1250" w:type="pct"/>
            <w:vAlign w:val="center"/>
          </w:tcPr>
          <w:p w14:paraId="5322A23E" w14:textId="77777777" w:rsidR="00647D0C" w:rsidRPr="00A61195" w:rsidRDefault="00647D0C" w:rsidP="009D20AB">
            <w:pPr>
              <w:spacing w:before="60" w:after="60" w:line="240" w:lineRule="auto"/>
              <w:jc w:val="center"/>
            </w:pPr>
            <w:r w:rsidRPr="00A61195">
              <w:t>Stare foarte bună</w:t>
            </w:r>
          </w:p>
        </w:tc>
        <w:tc>
          <w:tcPr>
            <w:tcW w:w="1250" w:type="pct"/>
            <w:vAlign w:val="center"/>
          </w:tcPr>
          <w:p w14:paraId="72B71823" w14:textId="77777777" w:rsidR="00647D0C" w:rsidRPr="00A61195" w:rsidRDefault="00647D0C" w:rsidP="009D20AB">
            <w:pPr>
              <w:spacing w:before="60" w:after="60" w:line="240" w:lineRule="auto"/>
              <w:jc w:val="center"/>
            </w:pPr>
            <w:r w:rsidRPr="00A61195">
              <w:t>Stare bună</w:t>
            </w:r>
          </w:p>
        </w:tc>
        <w:tc>
          <w:tcPr>
            <w:tcW w:w="1250" w:type="pct"/>
            <w:vAlign w:val="center"/>
          </w:tcPr>
          <w:p w14:paraId="7525DAF7" w14:textId="498BD45D" w:rsidR="00647D0C" w:rsidRPr="00A61195" w:rsidRDefault="00647D0C" w:rsidP="009D20AB">
            <w:pPr>
              <w:spacing w:before="60" w:after="60" w:line="240" w:lineRule="auto"/>
              <w:jc w:val="center"/>
            </w:pPr>
            <w:r w:rsidRPr="00A61195">
              <w:t>Stare moderată</w:t>
            </w:r>
          </w:p>
        </w:tc>
      </w:tr>
      <w:tr w:rsidR="00647D0C" w:rsidRPr="00A61195" w14:paraId="58F17E6D" w14:textId="77777777" w:rsidTr="00D3772B">
        <w:tc>
          <w:tcPr>
            <w:tcW w:w="1250" w:type="pct"/>
          </w:tcPr>
          <w:p w14:paraId="7BB160FB" w14:textId="77777777" w:rsidR="00647D0C" w:rsidRPr="00A61195" w:rsidRDefault="00647D0C" w:rsidP="009D20AB">
            <w:pPr>
              <w:spacing w:before="60" w:after="60" w:line="240" w:lineRule="auto"/>
            </w:pPr>
            <w:r w:rsidRPr="00A61195">
              <w:t>Condiții generale</w:t>
            </w:r>
          </w:p>
        </w:tc>
        <w:tc>
          <w:tcPr>
            <w:tcW w:w="1250" w:type="pct"/>
          </w:tcPr>
          <w:p w14:paraId="5EE27E35" w14:textId="77777777" w:rsidR="00647D0C" w:rsidRPr="00A61195" w:rsidRDefault="00647D0C" w:rsidP="009D20AB">
            <w:pPr>
              <w:spacing w:before="60" w:after="60" w:line="240" w:lineRule="auto"/>
            </w:pPr>
            <w:r w:rsidRPr="00A61195">
              <w:t xml:space="preserve">Elementele </w:t>
            </w:r>
            <w:proofErr w:type="spellStart"/>
            <w:r w:rsidRPr="00A61195">
              <w:t>fizico</w:t>
            </w:r>
            <w:proofErr w:type="spellEnd"/>
            <w:r w:rsidRPr="00A61195">
              <w:t>-chimice generale corespund în totalitate sau aproape în totalitate condițiilor neperturbate.</w:t>
            </w:r>
          </w:p>
          <w:p w14:paraId="3210AF5D" w14:textId="77777777" w:rsidR="00647D0C" w:rsidRPr="00A61195" w:rsidRDefault="00647D0C" w:rsidP="009D20AB">
            <w:pPr>
              <w:spacing w:before="60" w:after="60" w:line="240" w:lineRule="auto"/>
            </w:pPr>
            <w:r w:rsidRPr="00A61195">
              <w:t xml:space="preserve">Concentrațiile </w:t>
            </w:r>
            <w:proofErr w:type="spellStart"/>
            <w:r w:rsidRPr="00A61195">
              <w:t>nutrienților</w:t>
            </w:r>
            <w:proofErr w:type="spellEnd"/>
            <w:r w:rsidRPr="00A61195">
              <w:t xml:space="preserve"> rămân în limitele asociate în mod normal condițiilor neperturbate.</w:t>
            </w:r>
          </w:p>
          <w:p w14:paraId="45246325" w14:textId="77777777" w:rsidR="00647D0C" w:rsidRPr="00A61195" w:rsidRDefault="00647D0C" w:rsidP="009D20AB">
            <w:pPr>
              <w:spacing w:before="60" w:after="60" w:line="240" w:lineRule="auto"/>
            </w:pPr>
            <w:r w:rsidRPr="00A61195">
              <w:t>Temperatura, condițiile de oxigenare și transparența nu indică modificări antropice și se mențin în limitele asociate în mod normal condițiilor neperturbate.</w:t>
            </w:r>
          </w:p>
        </w:tc>
        <w:tc>
          <w:tcPr>
            <w:tcW w:w="1250" w:type="pct"/>
          </w:tcPr>
          <w:p w14:paraId="1FFC4C8C" w14:textId="77777777" w:rsidR="00647D0C" w:rsidRPr="00A61195" w:rsidRDefault="00647D0C" w:rsidP="009D20AB">
            <w:pPr>
              <w:spacing w:before="60" w:after="60" w:line="240" w:lineRule="auto"/>
            </w:pPr>
            <w:r w:rsidRPr="00A61195">
              <w:t>Temperatura, condițiile de oxigenare și transparența nu depășesc limitele stabilite pentru a asigura funcționarea ecosistemului și pentru a obține valorile specificate anterior pentru elementele calitative biologice.</w:t>
            </w:r>
          </w:p>
          <w:p w14:paraId="2D1162FD" w14:textId="77777777" w:rsidR="00647D0C" w:rsidRPr="00A61195" w:rsidRDefault="00647D0C" w:rsidP="009D20AB">
            <w:pPr>
              <w:spacing w:before="60" w:after="60" w:line="240" w:lineRule="auto"/>
            </w:pPr>
            <w:r w:rsidRPr="00A61195">
              <w:t xml:space="preserve">Concentrațiile </w:t>
            </w:r>
            <w:proofErr w:type="spellStart"/>
            <w:r w:rsidRPr="00A61195">
              <w:t>nutrienților</w:t>
            </w:r>
            <w:proofErr w:type="spellEnd"/>
            <w:r w:rsidRPr="00A61195">
              <w:t xml:space="preserve"> nu depășesc nivelurile stabilite pentru a asigura funcționarea ecosistemului și pentru a obține valorile specificate anterior pentru elementele calitative biologice.</w:t>
            </w:r>
          </w:p>
        </w:tc>
        <w:tc>
          <w:tcPr>
            <w:tcW w:w="1250" w:type="pct"/>
          </w:tcPr>
          <w:p w14:paraId="0F0F4C5E" w14:textId="77777777" w:rsidR="00647D0C" w:rsidRPr="00A61195" w:rsidRDefault="00647D0C" w:rsidP="009D20AB">
            <w:pPr>
              <w:spacing w:before="60" w:after="60" w:line="240" w:lineRule="auto"/>
            </w:pPr>
            <w:r w:rsidRPr="00A61195">
              <w:t>Condiții adecvate atingerii valorilor specificate anterior pentru elementele calitative biologice.</w:t>
            </w:r>
          </w:p>
        </w:tc>
      </w:tr>
    </w:tbl>
    <w:p w14:paraId="438BF1FD" w14:textId="77777777" w:rsidR="00647D0C" w:rsidRPr="00A61195" w:rsidRDefault="00647D0C" w:rsidP="00A61195">
      <w:pPr>
        <w:pStyle w:val="NormalRight"/>
      </w:pPr>
      <w:r w:rsidRPr="00A61195">
        <w:t>”.</w:t>
      </w:r>
    </w:p>
    <w:p w14:paraId="6ACF614E" w14:textId="77777777" w:rsidR="00647D0C" w:rsidRPr="00A61195" w:rsidRDefault="00647D0C" w:rsidP="00647D0C">
      <w:pPr>
        <w:spacing w:before="0" w:after="160" w:line="259" w:lineRule="auto"/>
      </w:pPr>
      <w:r w:rsidRPr="00A61195">
        <w:br w:type="page"/>
      </w:r>
    </w:p>
    <w:p w14:paraId="30D4EAD8" w14:textId="145EC7A2" w:rsidR="00647D0C" w:rsidRPr="00A61195" w:rsidRDefault="00647D0C" w:rsidP="00A61195">
      <w:pPr>
        <w:pStyle w:val="Point0"/>
      </w:pPr>
      <w:r w:rsidRPr="00A61195">
        <w:lastRenderedPageBreak/>
        <w:t>5.</w:t>
      </w:r>
      <w:r w:rsidRPr="00A61195">
        <w:tab/>
        <w:t xml:space="preserve">La punctul 1.2.4., tabelul „Elemente calitative </w:t>
      </w:r>
      <w:proofErr w:type="spellStart"/>
      <w:r w:rsidRPr="00A61195">
        <w:t>fizico</w:t>
      </w:r>
      <w:proofErr w:type="spellEnd"/>
      <w:r w:rsidRPr="00A61195">
        <w:t>-chimice” se înlocuiește cu următorul tabel:</w:t>
      </w:r>
    </w:p>
    <w:p w14:paraId="73421D88" w14:textId="77777777" w:rsidR="00647D0C" w:rsidRPr="00A61195" w:rsidRDefault="00647D0C" w:rsidP="00A61195">
      <w:r w:rsidRPr="00A61195">
        <w:t>„</w:t>
      </w:r>
      <w:r w:rsidRPr="00D3772B">
        <w:rPr>
          <w:i/>
          <w:iCs/>
        </w:rPr>
        <w:t xml:space="preserve">Elemente calitative </w:t>
      </w:r>
      <w:proofErr w:type="spellStart"/>
      <w:r w:rsidRPr="00D3772B">
        <w:rPr>
          <w:i/>
          <w:iCs/>
        </w:rPr>
        <w:t>fizico</w:t>
      </w:r>
      <w:proofErr w:type="spellEnd"/>
      <w:r w:rsidRPr="00D3772B">
        <w:rPr>
          <w:i/>
          <w:iCs/>
        </w:rPr>
        <w:t>-chimice generale</w:t>
      </w:r>
    </w:p>
    <w:tbl>
      <w:tblPr>
        <w:tblStyle w:val="TableGrid"/>
        <w:tblW w:w="5000" w:type="pct"/>
        <w:tblLayout w:type="fixed"/>
        <w:tblLook w:val="04A0" w:firstRow="1" w:lastRow="0" w:firstColumn="1" w:lastColumn="0" w:noHBand="0" w:noVBand="1"/>
      </w:tblPr>
      <w:tblGrid>
        <w:gridCol w:w="3641"/>
        <w:gridCol w:w="3640"/>
        <w:gridCol w:w="3640"/>
        <w:gridCol w:w="3640"/>
      </w:tblGrid>
      <w:tr w:rsidR="00647D0C" w:rsidRPr="00A61195" w14:paraId="52643879" w14:textId="77777777" w:rsidTr="009D20AB">
        <w:tc>
          <w:tcPr>
            <w:tcW w:w="1250" w:type="pct"/>
            <w:vAlign w:val="center"/>
          </w:tcPr>
          <w:p w14:paraId="4A73EC08" w14:textId="77777777" w:rsidR="00647D0C" w:rsidRPr="00A61195" w:rsidRDefault="00647D0C" w:rsidP="009D20AB">
            <w:pPr>
              <w:spacing w:before="60" w:after="60" w:line="240" w:lineRule="auto"/>
              <w:jc w:val="center"/>
            </w:pPr>
            <w:r w:rsidRPr="00A61195">
              <w:t>Element</w:t>
            </w:r>
          </w:p>
        </w:tc>
        <w:tc>
          <w:tcPr>
            <w:tcW w:w="1250" w:type="pct"/>
            <w:vAlign w:val="center"/>
          </w:tcPr>
          <w:p w14:paraId="5C32D209" w14:textId="77777777" w:rsidR="00647D0C" w:rsidRPr="00A61195" w:rsidRDefault="00647D0C" w:rsidP="009D20AB">
            <w:pPr>
              <w:spacing w:before="60" w:after="60" w:line="240" w:lineRule="auto"/>
              <w:jc w:val="center"/>
            </w:pPr>
            <w:r w:rsidRPr="00A61195">
              <w:t>Stare foarte bună</w:t>
            </w:r>
          </w:p>
        </w:tc>
        <w:tc>
          <w:tcPr>
            <w:tcW w:w="1250" w:type="pct"/>
            <w:vAlign w:val="center"/>
          </w:tcPr>
          <w:p w14:paraId="24B08906" w14:textId="77777777" w:rsidR="00647D0C" w:rsidRPr="00A61195" w:rsidRDefault="00647D0C" w:rsidP="009D20AB">
            <w:pPr>
              <w:spacing w:before="60" w:after="60" w:line="240" w:lineRule="auto"/>
              <w:jc w:val="center"/>
            </w:pPr>
            <w:r w:rsidRPr="00A61195">
              <w:t>Stare bună</w:t>
            </w:r>
          </w:p>
        </w:tc>
        <w:tc>
          <w:tcPr>
            <w:tcW w:w="1250" w:type="pct"/>
            <w:vAlign w:val="center"/>
          </w:tcPr>
          <w:p w14:paraId="23857848" w14:textId="131D4F25" w:rsidR="00647D0C" w:rsidRPr="00A61195" w:rsidRDefault="00647D0C" w:rsidP="009D20AB">
            <w:pPr>
              <w:spacing w:before="60" w:after="60" w:line="240" w:lineRule="auto"/>
              <w:jc w:val="center"/>
            </w:pPr>
            <w:r w:rsidRPr="00A61195">
              <w:t>Stare moderată</w:t>
            </w:r>
          </w:p>
        </w:tc>
      </w:tr>
      <w:tr w:rsidR="00647D0C" w:rsidRPr="00A61195" w14:paraId="1552371E" w14:textId="77777777" w:rsidTr="009D20AB">
        <w:tc>
          <w:tcPr>
            <w:tcW w:w="1250" w:type="pct"/>
          </w:tcPr>
          <w:p w14:paraId="69D75D62" w14:textId="77777777" w:rsidR="00647D0C" w:rsidRPr="00A61195" w:rsidRDefault="00647D0C" w:rsidP="009D20AB">
            <w:pPr>
              <w:spacing w:before="60" w:after="60" w:line="240" w:lineRule="auto"/>
            </w:pPr>
            <w:r w:rsidRPr="00A61195">
              <w:t>Condiții generale</w:t>
            </w:r>
          </w:p>
        </w:tc>
        <w:tc>
          <w:tcPr>
            <w:tcW w:w="1250" w:type="pct"/>
          </w:tcPr>
          <w:p w14:paraId="06267A3B" w14:textId="77777777" w:rsidR="00647D0C" w:rsidRPr="00A61195" w:rsidRDefault="00647D0C" w:rsidP="009D20AB">
            <w:pPr>
              <w:spacing w:before="60" w:after="60" w:line="240" w:lineRule="auto"/>
            </w:pPr>
            <w:r w:rsidRPr="00A61195">
              <w:t xml:space="preserve">Elementele </w:t>
            </w:r>
            <w:proofErr w:type="spellStart"/>
            <w:r w:rsidRPr="00A61195">
              <w:t>fizico</w:t>
            </w:r>
            <w:proofErr w:type="spellEnd"/>
            <w:r w:rsidRPr="00A61195">
              <w:t>-chimice generale corespund în totalitate sau aproape în totalitate condițiilor neperturbate.</w:t>
            </w:r>
          </w:p>
          <w:p w14:paraId="0D2BE60E" w14:textId="77777777" w:rsidR="00647D0C" w:rsidRPr="00A61195" w:rsidRDefault="00647D0C" w:rsidP="009D20AB">
            <w:pPr>
              <w:spacing w:before="60" w:after="60" w:line="240" w:lineRule="auto"/>
            </w:pPr>
            <w:r w:rsidRPr="00A61195">
              <w:t xml:space="preserve">Concentrațiile </w:t>
            </w:r>
            <w:proofErr w:type="spellStart"/>
            <w:r w:rsidRPr="00A61195">
              <w:t>nutrienților</w:t>
            </w:r>
            <w:proofErr w:type="spellEnd"/>
            <w:r w:rsidRPr="00A61195">
              <w:t xml:space="preserve"> rămân în limitele asociate în mod normal condițiilor neperturbate.</w:t>
            </w:r>
          </w:p>
          <w:p w14:paraId="68255889" w14:textId="77777777" w:rsidR="00647D0C" w:rsidRPr="00A61195" w:rsidRDefault="00647D0C" w:rsidP="009D20AB">
            <w:pPr>
              <w:spacing w:before="60" w:after="60" w:line="240" w:lineRule="auto"/>
            </w:pPr>
            <w:r w:rsidRPr="00A61195">
              <w:t>Temperatura, condițiile de oxigenare și transparența nu indică modificări antropice și se mențin în limitele asociate în mod normal condițiilor neperturbate.</w:t>
            </w:r>
          </w:p>
        </w:tc>
        <w:tc>
          <w:tcPr>
            <w:tcW w:w="1250" w:type="pct"/>
          </w:tcPr>
          <w:p w14:paraId="7BC27B79" w14:textId="77777777" w:rsidR="00647D0C" w:rsidRPr="00A61195" w:rsidRDefault="00647D0C" w:rsidP="009D20AB">
            <w:pPr>
              <w:spacing w:before="60" w:after="60" w:line="240" w:lineRule="auto"/>
            </w:pPr>
            <w:r w:rsidRPr="00A61195">
              <w:t>Temperatura, condițiile de oxigenare și transparența nu depășesc limitele stabilite pentru a asigura funcționarea ecosistemului și pentru a obține valorile specificate anterior pentru elementele calitative biologice.</w:t>
            </w:r>
          </w:p>
          <w:p w14:paraId="6F07CCE3" w14:textId="77777777" w:rsidR="00647D0C" w:rsidRPr="00A61195" w:rsidRDefault="00647D0C" w:rsidP="009D20AB">
            <w:pPr>
              <w:spacing w:before="60" w:after="60" w:line="240" w:lineRule="auto"/>
            </w:pPr>
            <w:r w:rsidRPr="00A61195">
              <w:t xml:space="preserve">Concentrațiile </w:t>
            </w:r>
            <w:proofErr w:type="spellStart"/>
            <w:r w:rsidRPr="00A61195">
              <w:t>nutrienților</w:t>
            </w:r>
            <w:proofErr w:type="spellEnd"/>
            <w:r w:rsidRPr="00A61195">
              <w:t xml:space="preserve"> nu depășesc nivelurile stabilite pentru a asigura funcționarea ecosistemului și pentru a obține valorile specificate anterior pentru elementele calitative biologice.</w:t>
            </w:r>
          </w:p>
        </w:tc>
        <w:tc>
          <w:tcPr>
            <w:tcW w:w="1250" w:type="pct"/>
          </w:tcPr>
          <w:p w14:paraId="194C0B17" w14:textId="77777777" w:rsidR="00647D0C" w:rsidRPr="00A61195" w:rsidRDefault="00647D0C" w:rsidP="009D20AB">
            <w:pPr>
              <w:spacing w:before="60" w:after="60" w:line="240" w:lineRule="auto"/>
            </w:pPr>
            <w:r w:rsidRPr="00A61195">
              <w:t>Condiții adecvate atingerii valorilor specificate anterior pentru elementele calitative biologice.</w:t>
            </w:r>
          </w:p>
        </w:tc>
      </w:tr>
    </w:tbl>
    <w:p w14:paraId="0E193180" w14:textId="77777777" w:rsidR="00647D0C" w:rsidRPr="00A61195" w:rsidRDefault="00647D0C" w:rsidP="00A61195">
      <w:pPr>
        <w:pStyle w:val="NormalRight"/>
      </w:pPr>
      <w:r w:rsidRPr="00A61195">
        <w:t>”.</w:t>
      </w:r>
    </w:p>
    <w:p w14:paraId="1DD42C60" w14:textId="77777777" w:rsidR="00647D0C" w:rsidRPr="00A61195" w:rsidRDefault="00647D0C" w:rsidP="00A61195">
      <w:pPr>
        <w:sectPr w:rsidR="00647D0C" w:rsidRPr="00A61195" w:rsidSect="00B35CF3">
          <w:headerReference w:type="default" r:id="rId72"/>
          <w:footerReference w:type="default" r:id="rId73"/>
          <w:pgSz w:w="16839" w:h="11907" w:orient="landscape" w:code="9"/>
          <w:pgMar w:top="1134" w:right="1134" w:bottom="1134" w:left="1134" w:header="567" w:footer="567" w:gutter="0"/>
          <w:cols w:space="708"/>
          <w:docGrid w:linePitch="360"/>
        </w:sectPr>
      </w:pPr>
    </w:p>
    <w:p w14:paraId="778CA66E" w14:textId="6672083E" w:rsidR="00647D0C" w:rsidRPr="00A61195" w:rsidRDefault="00647D0C" w:rsidP="00A61195">
      <w:pPr>
        <w:pStyle w:val="Point0"/>
      </w:pPr>
      <w:r w:rsidRPr="00A61195">
        <w:lastRenderedPageBreak/>
        <w:t>6.</w:t>
      </w:r>
      <w:r w:rsidRPr="00A61195">
        <w:tab/>
        <w:t>La punctul 1.2.5., tabelul se modifică după cum urmează:</w:t>
      </w:r>
    </w:p>
    <w:p w14:paraId="69D9CD3C" w14:textId="77777777" w:rsidR="00647D0C" w:rsidRPr="00A61195" w:rsidRDefault="00647D0C" w:rsidP="00A61195">
      <w:pPr>
        <w:pStyle w:val="Point1"/>
      </w:pPr>
      <w:r w:rsidRPr="00A61195">
        <w:t>(a)</w:t>
      </w:r>
      <w:r w:rsidRPr="00A61195">
        <w:tab/>
        <w:t>al cincilea rând, aferent rubricii „Poluanți sintetici specifici”, se elimină;</w:t>
      </w:r>
    </w:p>
    <w:p w14:paraId="63A359A0" w14:textId="77777777" w:rsidR="00647D0C" w:rsidRPr="00A61195" w:rsidRDefault="00647D0C" w:rsidP="00A61195">
      <w:pPr>
        <w:pStyle w:val="Point1"/>
      </w:pPr>
      <w:r w:rsidRPr="00A61195">
        <w:t>(b)</w:t>
      </w:r>
      <w:r w:rsidRPr="00A61195">
        <w:tab/>
        <w:t>al șaselea rând, aferent rubricii „Poluanți nesintetici specifici”, se elimină;</w:t>
      </w:r>
    </w:p>
    <w:p w14:paraId="0CB23F5F" w14:textId="77777777" w:rsidR="00647D0C" w:rsidRPr="00A61195" w:rsidRDefault="00647D0C" w:rsidP="00A61195">
      <w:pPr>
        <w:pStyle w:val="Point1"/>
      </w:pPr>
      <w:r w:rsidRPr="00A61195">
        <w:t>(c)</w:t>
      </w:r>
      <w:r w:rsidRPr="00A61195">
        <w:tab/>
        <w:t>al șaptelea rând, aferent notei de tabel (1), se elimină.</w:t>
      </w:r>
    </w:p>
    <w:p w14:paraId="2D35D6BC" w14:textId="3FB32F81" w:rsidR="00647D0C" w:rsidRPr="00A61195" w:rsidRDefault="00647D0C" w:rsidP="00A61195">
      <w:pPr>
        <w:pStyle w:val="Point0"/>
      </w:pPr>
      <w:r w:rsidRPr="00A61195">
        <w:t>7.</w:t>
      </w:r>
      <w:r w:rsidRPr="00A61195">
        <w:tab/>
        <w:t>Punctul 1.2.6. se elimină.</w:t>
      </w:r>
    </w:p>
    <w:p w14:paraId="057BBF1F" w14:textId="77777777" w:rsidR="00647D0C" w:rsidRPr="00A61195" w:rsidRDefault="00647D0C" w:rsidP="00647D0C">
      <w:pPr>
        <w:spacing w:before="0" w:after="160" w:line="259" w:lineRule="auto"/>
      </w:pPr>
      <w:r w:rsidRPr="00A61195">
        <w:br w:type="page"/>
      </w:r>
    </w:p>
    <w:p w14:paraId="775FAD0C" w14:textId="583240CD" w:rsidR="00647D0C" w:rsidRPr="00A61195" w:rsidRDefault="00647D0C" w:rsidP="00A61195">
      <w:pPr>
        <w:pStyle w:val="Point0"/>
      </w:pPr>
      <w:r w:rsidRPr="00A61195">
        <w:lastRenderedPageBreak/>
        <w:t>8.</w:t>
      </w:r>
      <w:r w:rsidRPr="00A61195">
        <w:tab/>
        <w:t>La punctul 1.3. se introduc următoarele paragrafe:</w:t>
      </w:r>
    </w:p>
    <w:p w14:paraId="2C7EACAE" w14:textId="77777777" w:rsidR="00647D0C" w:rsidRPr="00A61195" w:rsidRDefault="00647D0C" w:rsidP="00A61195">
      <w:pPr>
        <w:pStyle w:val="Text1"/>
      </w:pPr>
      <w:r w:rsidRPr="00A61195">
        <w:t xml:space="preserve">„În cazul în care rețeaua de monitorizare implică, în locul punctelor de prelevare locale, observarea Pământului și teledetecția sau alte tehnici inovatoare, harta rețelei de monitorizare include informații despre elementele calitative și corpurile de apă sau grupurile de corpuri de apă care au fost monitorizate prin astfel de metode de monitorizare. Se face trimitere la standardele CEN, standardele ISO sau alte standarde internaționale sau naționale care au fost aplicate pentru a se asigura că datele temporale și spațiale obținute sunt la fel de fiabile ca cele obținute prin metode convenționale de monitorizare aplicate în puncte de prelevare </w:t>
      </w:r>
      <w:r w:rsidRPr="00D3772B">
        <w:rPr>
          <w:bCs/>
          <w:iCs/>
        </w:rPr>
        <w:t>și de măsurare</w:t>
      </w:r>
      <w:r w:rsidRPr="00A61195">
        <w:t xml:space="preserve"> locale.</w:t>
      </w:r>
    </w:p>
    <w:p w14:paraId="12B36ADA" w14:textId="0DCB1084" w:rsidR="00647D0C" w:rsidRPr="00A61195" w:rsidRDefault="00647D0C" w:rsidP="00A61195">
      <w:pPr>
        <w:pStyle w:val="Text1"/>
      </w:pPr>
      <w:r w:rsidRPr="00A61195">
        <w:t xml:space="preserve">Statele membre pot aplica metode de prelevare pasivă pentru monitorizarea poluanților chimici, atunci când este cazul, în special în scopul </w:t>
      </w:r>
      <w:proofErr w:type="spellStart"/>
      <w:r w:rsidRPr="00A61195">
        <w:t>screeningului</w:t>
      </w:r>
      <w:proofErr w:type="spellEnd"/>
      <w:r w:rsidRPr="00A61195">
        <w:t xml:space="preserve"> </w:t>
      </w:r>
      <w:r w:rsidRPr="00D3772B">
        <w:rPr>
          <w:bCs/>
          <w:iCs/>
        </w:rPr>
        <w:t>și pentru evaluarea pe termen lung</w:t>
      </w:r>
      <w:r w:rsidRPr="00A61195">
        <w:t xml:space="preserve">, cu condiția ca respectivele metode de prelevare să nu subestimeze concentrațiile de poluanți pentru care se aplică standarde de calitate a mediului și, prin urmare, să identifice în mod fiabil faptul că «nu s-a atins starea bună» și ca analiza chimică a probelor de apă, de </w:t>
      </w:r>
      <w:proofErr w:type="spellStart"/>
      <w:r w:rsidRPr="00A61195">
        <w:t>biotă</w:t>
      </w:r>
      <w:proofErr w:type="spellEnd"/>
      <w:r w:rsidRPr="00A61195">
        <w:t xml:space="preserve"> sau de sedimente, în conformitate cu standardele de calitate a mediului aplicate, să fie efectuată ori de câte ori se constată că nu s-a obținut o stare bună. Statele membre pot să aplice, în aceleași condiții, și metode de monitorizare bazate pe efecte.”</w:t>
      </w:r>
    </w:p>
    <w:p w14:paraId="0816E64B" w14:textId="77777777" w:rsidR="00647D0C" w:rsidRPr="00A61195" w:rsidRDefault="00647D0C" w:rsidP="00647D0C">
      <w:r w:rsidRPr="00A61195">
        <w:br w:type="page"/>
      </w:r>
    </w:p>
    <w:p w14:paraId="718D8E74" w14:textId="7145722B" w:rsidR="00647D0C" w:rsidRPr="00A61195" w:rsidRDefault="00647D0C" w:rsidP="00A61195">
      <w:pPr>
        <w:pStyle w:val="Point0"/>
      </w:pPr>
      <w:r w:rsidRPr="00A61195">
        <w:lastRenderedPageBreak/>
        <w:t>9.</w:t>
      </w:r>
      <w:r w:rsidRPr="00A61195">
        <w:tab/>
        <w:t>La punctul 1.3.1, ultimul paragraf, „Selectarea elementelor calitative”, se înlocuiește cu următorul text:</w:t>
      </w:r>
    </w:p>
    <w:p w14:paraId="5E9EF5B8" w14:textId="77777777" w:rsidR="00647D0C" w:rsidRPr="00A61195" w:rsidRDefault="00647D0C" w:rsidP="00A61195">
      <w:pPr>
        <w:pStyle w:val="Text1"/>
      </w:pPr>
      <w:r w:rsidRPr="00A61195">
        <w:t>„</w:t>
      </w:r>
      <w:r w:rsidRPr="00D3772B">
        <w:rPr>
          <w:i/>
          <w:iCs/>
        </w:rPr>
        <w:t>Selectarea elementelor calitative</w:t>
      </w:r>
    </w:p>
    <w:p w14:paraId="13457E2C" w14:textId="63AFD5C4" w:rsidR="00647D0C" w:rsidRPr="00A61195" w:rsidRDefault="00647D0C" w:rsidP="00A61195">
      <w:pPr>
        <w:pStyle w:val="Text1"/>
      </w:pPr>
      <w:r w:rsidRPr="00A61195">
        <w:t>Controlul de monitorizare este efectuat pentru fiecare sit de monitorizare pe o perioadă de un an, pe parcursul perioadei acoperite de planul de gestionare a bazinului hidrografic. Controlul de monitorizare acoperă următoarele:</w:t>
      </w:r>
    </w:p>
    <w:p w14:paraId="6C0607CB" w14:textId="77777777" w:rsidR="00647D0C" w:rsidRPr="00A61195" w:rsidRDefault="00647D0C" w:rsidP="00A61195">
      <w:pPr>
        <w:pStyle w:val="Point1"/>
      </w:pPr>
      <w:r w:rsidRPr="00A61195">
        <w:t>(a)</w:t>
      </w:r>
      <w:r w:rsidRPr="00A61195">
        <w:tab/>
        <w:t>parametrii indicatori pentru toate elementele calitative biologice;</w:t>
      </w:r>
    </w:p>
    <w:p w14:paraId="3E65DE39" w14:textId="77777777" w:rsidR="00647D0C" w:rsidRPr="00A61195" w:rsidRDefault="00647D0C" w:rsidP="00A61195">
      <w:pPr>
        <w:pStyle w:val="Point1"/>
      </w:pPr>
      <w:r w:rsidRPr="00A61195">
        <w:t>(b)</w:t>
      </w:r>
      <w:r w:rsidRPr="00A61195">
        <w:tab/>
        <w:t xml:space="preserve">parametrii indicatori pentru toate elementele calitative </w:t>
      </w:r>
      <w:proofErr w:type="spellStart"/>
      <w:r w:rsidRPr="00A61195">
        <w:t>hidromorfologice</w:t>
      </w:r>
      <w:proofErr w:type="spellEnd"/>
      <w:r w:rsidRPr="00A61195">
        <w:t>;</w:t>
      </w:r>
    </w:p>
    <w:p w14:paraId="650B04B3" w14:textId="77777777" w:rsidR="00647D0C" w:rsidRPr="00A61195" w:rsidRDefault="00647D0C" w:rsidP="00A61195">
      <w:pPr>
        <w:pStyle w:val="Point1"/>
      </w:pPr>
      <w:r w:rsidRPr="00A61195">
        <w:t>(c)</w:t>
      </w:r>
      <w:r w:rsidRPr="00A61195">
        <w:tab/>
        <w:t xml:space="preserve">parametrii indicatori pentru toate elementele calitative </w:t>
      </w:r>
      <w:proofErr w:type="spellStart"/>
      <w:r w:rsidRPr="00A61195">
        <w:t>fizico</w:t>
      </w:r>
      <w:proofErr w:type="spellEnd"/>
      <w:r w:rsidRPr="00A61195">
        <w:t>-chimice;</w:t>
      </w:r>
    </w:p>
    <w:p w14:paraId="72C0389E" w14:textId="2052971C" w:rsidR="00647D0C" w:rsidRPr="00A61195" w:rsidRDefault="00647D0C" w:rsidP="00A61195">
      <w:pPr>
        <w:pStyle w:val="Point1"/>
      </w:pPr>
      <w:r w:rsidRPr="00A61195">
        <w:t>(d)</w:t>
      </w:r>
      <w:r w:rsidRPr="00A61195">
        <w:tab/>
        <w:t xml:space="preserve">substanțele prioritare care sunt evacuate sau se depun în alt mod în bazinul sau </w:t>
      </w:r>
      <w:proofErr w:type="spellStart"/>
      <w:r w:rsidRPr="00A61195">
        <w:t>sub</w:t>
      </w:r>
      <w:r w:rsidR="00D3772B">
        <w:t>­</w:t>
      </w:r>
      <w:r w:rsidRPr="00A61195">
        <w:t>bazinul</w:t>
      </w:r>
      <w:proofErr w:type="spellEnd"/>
      <w:r w:rsidRPr="00A61195">
        <w:t xml:space="preserve"> hidrografic;</w:t>
      </w:r>
    </w:p>
    <w:p w14:paraId="5348ED53" w14:textId="6BA8B11E" w:rsidR="00647D0C" w:rsidRPr="00A61195" w:rsidRDefault="00647D0C" w:rsidP="00A61195">
      <w:pPr>
        <w:pStyle w:val="Point1"/>
      </w:pPr>
      <w:r w:rsidRPr="00A61195">
        <w:t>(e)</w:t>
      </w:r>
      <w:r w:rsidRPr="00A61195">
        <w:tab/>
        <w:t>poluanții specifici bazinelor hidrografice.</w:t>
      </w:r>
    </w:p>
    <w:p w14:paraId="42178015" w14:textId="1A62E1A2" w:rsidR="00647D0C" w:rsidRPr="00A61195" w:rsidRDefault="00647D0C" w:rsidP="00A61195">
      <w:pPr>
        <w:pStyle w:val="Text1"/>
      </w:pPr>
      <w:r w:rsidRPr="00A61195">
        <w:t>În cazul în care exercițiul anterior de control de monitorizare a arătat că respectivul corp de apă a atins starea bună și că nu există dovezi, în urma analizei impactului activității umane, astfel cum este menționată în anexa II, că impacturile asupra corpului de apă s-au modificat, controlul de monitorizare se efectuează o dată în cursul perioadei acoperite de trei planuri consecutive de gestionare a bazinului hidrografic.”</w:t>
      </w:r>
    </w:p>
    <w:p w14:paraId="6224805E" w14:textId="77777777" w:rsidR="00647D0C" w:rsidRPr="00A61195" w:rsidRDefault="00647D0C">
      <w:pPr>
        <w:spacing w:before="0" w:after="160" w:line="259" w:lineRule="auto"/>
      </w:pPr>
      <w:r w:rsidRPr="00A61195">
        <w:br w:type="page"/>
      </w:r>
    </w:p>
    <w:p w14:paraId="1A998FCE" w14:textId="1039CCFE" w:rsidR="00647D0C" w:rsidRPr="00A61195" w:rsidRDefault="00647D0C" w:rsidP="00A61195">
      <w:pPr>
        <w:pStyle w:val="Point0"/>
      </w:pPr>
      <w:r w:rsidRPr="00A61195">
        <w:lastRenderedPageBreak/>
        <w:t>10.</w:t>
      </w:r>
      <w:r w:rsidRPr="00A61195">
        <w:tab/>
        <w:t>Punctul 1.3.2 se modifică după cum urmează:</w:t>
      </w:r>
    </w:p>
    <w:p w14:paraId="102E9413" w14:textId="0DD0C742" w:rsidR="00647D0C" w:rsidRPr="00A61195" w:rsidRDefault="00647D0C" w:rsidP="00A61195">
      <w:pPr>
        <w:pStyle w:val="Point1"/>
      </w:pPr>
      <w:r w:rsidRPr="00A61195">
        <w:t>(a)</w:t>
      </w:r>
      <w:r w:rsidRPr="00A61195">
        <w:tab/>
        <w:t>în al treilea paragraf, „Selectarea siturilor de control”, partea introductivă se înlocuiește cu următorul text:</w:t>
      </w:r>
    </w:p>
    <w:p w14:paraId="65F36641" w14:textId="701EA1EA" w:rsidR="00647D0C" w:rsidRPr="00A61195" w:rsidRDefault="00647D0C" w:rsidP="00A61195">
      <w:pPr>
        <w:pStyle w:val="Text2"/>
      </w:pPr>
      <w:r w:rsidRPr="00A61195">
        <w:t xml:space="preserve">„Se efectuează controale operaționale pentru toate corpurile de apă care, fie pe baza evaluării de impact efectuate în conformitate cu anexa II, fie în urma unui control de monitorizare, sunt identificate ca prezentând riscul de a nu atinge obiectivele de mediu specifice prevăzute la articolul 4 și pentru corpurile de apă în care sunt evacuate sau se depun în alt mod substanțe prioritare sau în care sunt evacuați sau se depun în alt mod în cantități semnificative </w:t>
      </w:r>
      <w:bookmarkStart w:id="30" w:name="_Hlk218868652"/>
      <w:r w:rsidRPr="00A61195">
        <w:t>poluanți specifici bazinelor hidrografice</w:t>
      </w:r>
      <w:bookmarkEnd w:id="30"/>
      <w:r w:rsidRPr="00A61195">
        <w:t>. Pentru substanțele prioritare, punctele de control sunt selectate în conformitate cu dispozițiile legale care stabilesc standardul de calitate a mediului pentru substanțele în cauză. În toate celelalte cazuri, inclusiv pentru</w:t>
      </w:r>
      <w:r w:rsidR="00386139">
        <w:t xml:space="preserve"> </w:t>
      </w:r>
      <w:r w:rsidRPr="00A61195">
        <w:t>substanțele prioritare pentru care legislația nu oferă indicații specifice, punctele de control sunt selectate după cum urmează:”;</w:t>
      </w:r>
    </w:p>
    <w:p w14:paraId="29E60E1C" w14:textId="77777777" w:rsidR="00647D0C" w:rsidRPr="00A61195" w:rsidRDefault="00647D0C" w:rsidP="00A61195">
      <w:pPr>
        <w:pStyle w:val="Point1"/>
      </w:pPr>
      <w:r w:rsidRPr="00A61195">
        <w:t>(b)</w:t>
      </w:r>
      <w:r w:rsidRPr="00A61195">
        <w:tab/>
        <w:t>în al patrulea paragraf, „Selectarea elementelor calitative”, a doua liniuță se înlocuiește cu următorul text:</w:t>
      </w:r>
    </w:p>
    <w:p w14:paraId="79B810B3" w14:textId="77777777" w:rsidR="00647D0C" w:rsidRPr="00A61195" w:rsidRDefault="00647D0C" w:rsidP="00A61195">
      <w:pPr>
        <w:pStyle w:val="Point2"/>
        <w:rPr>
          <w:bCs/>
          <w:iCs/>
        </w:rPr>
      </w:pPr>
      <w:r w:rsidRPr="00A61195">
        <w:t>„–</w:t>
      </w:r>
      <w:r w:rsidRPr="00A61195">
        <w:tab/>
        <w:t>toate substanțele prioritare evacuate sau depuse în alt mod în corpurile de apă și toți poluanții specifici bazinelor hidrografice evacuați sau depuși în alt mod în corpurile de apă în cantități semnificative;”.</w:t>
      </w:r>
    </w:p>
    <w:p w14:paraId="775B6F06" w14:textId="77777777" w:rsidR="00647D0C" w:rsidRPr="00A61195" w:rsidRDefault="00647D0C">
      <w:pPr>
        <w:spacing w:before="0" w:after="160" w:line="259" w:lineRule="auto"/>
        <w:rPr>
          <w:bCs/>
          <w:iCs/>
        </w:rPr>
      </w:pPr>
      <w:r w:rsidRPr="00A61195">
        <w:rPr>
          <w:bCs/>
          <w:iCs/>
        </w:rPr>
        <w:br w:type="page"/>
      </w:r>
    </w:p>
    <w:p w14:paraId="25659CA3" w14:textId="04002E54" w:rsidR="00647D0C" w:rsidRPr="00A61195" w:rsidRDefault="00647D0C" w:rsidP="00A61195">
      <w:pPr>
        <w:pStyle w:val="Point0"/>
        <w:rPr>
          <w:bCs/>
          <w:iCs/>
        </w:rPr>
      </w:pPr>
      <w:r w:rsidRPr="00A61195">
        <w:lastRenderedPageBreak/>
        <w:t>11.</w:t>
      </w:r>
      <w:r w:rsidRPr="00A61195">
        <w:tab/>
        <w:t>La punctul 1.3.4, al patrulea paragraf se înlocuiește cu următorul text:</w:t>
      </w:r>
    </w:p>
    <w:p w14:paraId="4636EB90" w14:textId="77777777" w:rsidR="00647D0C" w:rsidRPr="00A61195" w:rsidRDefault="00647D0C" w:rsidP="00A61195">
      <w:pPr>
        <w:pStyle w:val="Text1"/>
        <w:rPr>
          <w:bCs/>
          <w:iCs/>
        </w:rPr>
      </w:pPr>
      <w:r w:rsidRPr="00A61195">
        <w:t>„Frecvența controalelor se ajustează, dacă este necesar, pentru a ține seama de variabilitatea parametrilor care rezultă din variația condițiilor antropice și naturale.</w:t>
      </w:r>
    </w:p>
    <w:p w14:paraId="43F7BEB1" w14:textId="77777777" w:rsidR="00647D0C" w:rsidRPr="00A61195" w:rsidRDefault="00647D0C" w:rsidP="00A61195">
      <w:pPr>
        <w:pStyle w:val="Text1"/>
        <w:rPr>
          <w:bCs/>
          <w:iCs/>
        </w:rPr>
      </w:pPr>
      <w:r w:rsidRPr="00A61195">
        <w:t>Momentele în care se efectuează controalele sunt stabilite astfel încât să se țină seama de impactul variațiilor sezoniere ale utilizării substanțelor sau ale nivelurilor apei asupra rezultatelor controalelor și, astfel, să se asigure că rezultatele reflectă în mod eficient orice modificare a corpului de apă cauzată de presiunile antropice și de variațiile climatice. În ceea ce privește substanțele prioritare ale căror concentrații sunt susceptibile de a atinge valori de vârf în intervale scurte ca urmare a fluctuațiilor sezoniere ale utilizării lor, controalele se efectuează, în aceste perioade de vârf, la intervale mai scurte decât în cazul altor substanțe, dacă este necesar, pentru a se asigura că se obțin informații adecvate cu privire la concentrația acestor substanțe.”</w:t>
      </w:r>
    </w:p>
    <w:p w14:paraId="55DD9699" w14:textId="448C51C4" w:rsidR="00647D0C" w:rsidRPr="00A61195" w:rsidRDefault="00647D0C" w:rsidP="00A61195">
      <w:pPr>
        <w:pStyle w:val="Point0"/>
      </w:pPr>
      <w:r w:rsidRPr="00A61195">
        <w:t>12.</w:t>
      </w:r>
      <w:r w:rsidRPr="00A61195">
        <w:tab/>
        <w:t>La punctul 1.3.4., pe al șaselea rând al rubricii „</w:t>
      </w:r>
      <w:proofErr w:type="spellStart"/>
      <w:r w:rsidRPr="00A61195">
        <w:t>Fizico</w:t>
      </w:r>
      <w:proofErr w:type="spellEnd"/>
      <w:r w:rsidRPr="00A61195">
        <w:t>-chimic” din tabel, cuvintele „Alți poluanți” se înlocuiesc cu „Poluanți specifici bazinelor hidrografice”.</w:t>
      </w:r>
    </w:p>
    <w:p w14:paraId="30E73E3B" w14:textId="5629AAC3" w:rsidR="00647D0C" w:rsidRPr="00A61195" w:rsidRDefault="00647D0C" w:rsidP="00A61195">
      <w:pPr>
        <w:pStyle w:val="Point0"/>
      </w:pPr>
      <w:r w:rsidRPr="00A61195">
        <w:t>13.</w:t>
      </w:r>
      <w:r w:rsidRPr="00A61195">
        <w:tab/>
        <w:t>Punctul 1.4.1. se modifică după cum urmează:</w:t>
      </w:r>
    </w:p>
    <w:p w14:paraId="324B1E53" w14:textId="77777777" w:rsidR="00647D0C" w:rsidRPr="00A61195" w:rsidRDefault="00647D0C" w:rsidP="00A61195">
      <w:pPr>
        <w:pStyle w:val="Point1"/>
      </w:pPr>
      <w:r w:rsidRPr="00A61195">
        <w:t>(a)</w:t>
      </w:r>
      <w:r w:rsidRPr="00A61195">
        <w:tab/>
        <w:t>la subpunctul (vii), a doua teză se elimină;</w:t>
      </w:r>
    </w:p>
    <w:p w14:paraId="06D7152C" w14:textId="77777777" w:rsidR="00647D0C" w:rsidRPr="00A61195" w:rsidRDefault="00647D0C" w:rsidP="00A61195">
      <w:pPr>
        <w:pStyle w:val="Point1"/>
      </w:pPr>
      <w:r w:rsidRPr="00A61195">
        <w:t>(b)</w:t>
      </w:r>
      <w:r w:rsidRPr="00A61195">
        <w:tab/>
        <w:t>subpunctul (viii) se elimină;</w:t>
      </w:r>
    </w:p>
    <w:p w14:paraId="06C18518" w14:textId="77777777" w:rsidR="00647D0C" w:rsidRPr="00A61195" w:rsidRDefault="00647D0C">
      <w:pPr>
        <w:spacing w:before="0" w:after="160" w:line="259" w:lineRule="auto"/>
      </w:pPr>
      <w:r w:rsidRPr="00A61195">
        <w:br w:type="page"/>
      </w:r>
    </w:p>
    <w:p w14:paraId="0453E33F" w14:textId="09BF30D8" w:rsidR="00647D0C" w:rsidRPr="00A61195" w:rsidRDefault="00647D0C" w:rsidP="00A61195">
      <w:pPr>
        <w:pStyle w:val="Point1"/>
      </w:pPr>
      <w:r w:rsidRPr="00A61195">
        <w:lastRenderedPageBreak/>
        <w:t>(c)</w:t>
      </w:r>
      <w:r w:rsidRPr="00A61195">
        <w:tab/>
        <w:t>subpunctul (ix) se înlocuiește cu următorul text:</w:t>
      </w:r>
    </w:p>
    <w:p w14:paraId="2141AC73" w14:textId="7A7FC517" w:rsidR="00647D0C" w:rsidRPr="00A61195" w:rsidRDefault="00647D0C" w:rsidP="00A61195">
      <w:pPr>
        <w:pStyle w:val="Point2"/>
      </w:pPr>
      <w:r w:rsidRPr="00A61195">
        <w:t>„(ix)</w:t>
      </w:r>
      <w:r w:rsidRPr="00A61195">
        <w:tab/>
        <w:t xml:space="preserve">Rezultatele exercițiului de </w:t>
      </w:r>
      <w:proofErr w:type="spellStart"/>
      <w:r w:rsidRPr="00A61195">
        <w:t>intercalibrare</w:t>
      </w:r>
      <w:proofErr w:type="spellEnd"/>
      <w:r w:rsidRPr="00A61195">
        <w:t xml:space="preserve"> și valorile pentru clasificările sistemului de control al statelor membre stabilite în conformitate cu punctele</w:t>
      </w:r>
      <w:r w:rsidR="00D3772B">
        <w:t> </w:t>
      </w:r>
      <w:r w:rsidRPr="00A61195">
        <w:t>(i)-(viii) se publică în termen de șase luni de la adoptarea actului de punere în aplicare în conformitate cu articolul 21.”</w:t>
      </w:r>
    </w:p>
    <w:p w14:paraId="6F8172F8" w14:textId="2A984B00" w:rsidR="00647D0C" w:rsidRPr="00A61195" w:rsidRDefault="00647D0C" w:rsidP="00A61195">
      <w:pPr>
        <w:pStyle w:val="Point0"/>
      </w:pPr>
      <w:r w:rsidRPr="00A61195">
        <w:t>14.</w:t>
      </w:r>
      <w:r w:rsidRPr="00A61195">
        <w:tab/>
        <w:t>La punctul 1.4.2. se adaugă un nou subpunct:</w:t>
      </w:r>
    </w:p>
    <w:p w14:paraId="542480F7" w14:textId="77777777" w:rsidR="00647D0C" w:rsidRPr="00A61195" w:rsidRDefault="00647D0C" w:rsidP="00A61195">
      <w:pPr>
        <w:pStyle w:val="Point1"/>
      </w:pPr>
      <w:r w:rsidRPr="00A61195">
        <w:t>„(iv)</w:t>
      </w:r>
      <w:r w:rsidRPr="00A61195">
        <w:tab/>
        <w:t>Statele membre pot pune la dispoziție hărți suplimentare care să prezinte informații privind calitatea ecologică pentru unul sau mai multe dintre următoarele elemente calitative, separat:</w:t>
      </w:r>
    </w:p>
    <w:p w14:paraId="17745ABA" w14:textId="58387E22" w:rsidR="00647D0C" w:rsidRPr="00D3772B" w:rsidRDefault="00647D0C" w:rsidP="00D3772B">
      <w:pPr>
        <w:pStyle w:val="Tiret2"/>
      </w:pPr>
      <w:r w:rsidRPr="00D3772B">
        <w:t>parametri biologici;</w:t>
      </w:r>
    </w:p>
    <w:p w14:paraId="65C940A0" w14:textId="192A7BD7" w:rsidR="00647D0C" w:rsidRPr="00D3772B" w:rsidRDefault="00647D0C" w:rsidP="00D3772B">
      <w:pPr>
        <w:pStyle w:val="Tiret2"/>
      </w:pPr>
      <w:r w:rsidRPr="00D3772B">
        <w:t xml:space="preserve">parametri </w:t>
      </w:r>
      <w:proofErr w:type="spellStart"/>
      <w:r w:rsidRPr="00D3772B">
        <w:t>hidromorfologici</w:t>
      </w:r>
      <w:proofErr w:type="spellEnd"/>
      <w:r w:rsidRPr="00D3772B">
        <w:t xml:space="preserve"> care susțin parametrii biologici;</w:t>
      </w:r>
    </w:p>
    <w:p w14:paraId="74C116A9" w14:textId="0DB04791" w:rsidR="00647D0C" w:rsidRPr="00D3772B" w:rsidRDefault="00647D0C" w:rsidP="00D3772B">
      <w:pPr>
        <w:pStyle w:val="Tiret2"/>
      </w:pPr>
      <w:r w:rsidRPr="00D3772B">
        <w:t xml:space="preserve">parametri </w:t>
      </w:r>
      <w:proofErr w:type="spellStart"/>
      <w:r w:rsidRPr="00D3772B">
        <w:t>fizico</w:t>
      </w:r>
      <w:proofErr w:type="spellEnd"/>
      <w:r w:rsidRPr="00D3772B">
        <w:t>-chimici care susțin parametrii biologici.</w:t>
      </w:r>
    </w:p>
    <w:p w14:paraId="2E8F37BF" w14:textId="77777777" w:rsidR="00647D0C" w:rsidRPr="00A61195" w:rsidRDefault="00647D0C" w:rsidP="00A61195">
      <w:pPr>
        <w:pStyle w:val="Text2"/>
      </w:pPr>
      <w:r w:rsidRPr="00A61195">
        <w:t>Statele membre pot de asemenea pune la dispoziție hărți sau tabele care să indice gradul de modificare în ceea ce privește elementele calitative respective în comparație cu ciclul de planificare anterior.”</w:t>
      </w:r>
    </w:p>
    <w:p w14:paraId="74E19E76" w14:textId="3EB63614" w:rsidR="00647D0C" w:rsidRPr="00A61195" w:rsidRDefault="00647D0C" w:rsidP="00A61195">
      <w:pPr>
        <w:pStyle w:val="Point0"/>
      </w:pPr>
      <w:r w:rsidRPr="00A61195">
        <w:t>15.</w:t>
      </w:r>
      <w:r w:rsidRPr="00A61195">
        <w:tab/>
        <w:t>La punctul 1.4.3, primul paragraf se înlocuiește cu următorul text:</w:t>
      </w:r>
    </w:p>
    <w:p w14:paraId="0E89196B" w14:textId="6BAE63D9" w:rsidR="00647D0C" w:rsidRPr="00A61195" w:rsidRDefault="00647D0C" w:rsidP="00A61195">
      <w:pPr>
        <w:pStyle w:val="Text1"/>
      </w:pPr>
      <w:r w:rsidRPr="00A61195">
        <w:t>„Un corp de apă se înregistrează ca având o stare chimică bună în cazul în care are o stare chimică bună a apei de suprafață, astfel cum este definită la articolul 2 punctul 24. În caz contrar, corpul respectiv este înregistrat ca nereușind să atingă o stare chimică bună.”</w:t>
      </w:r>
    </w:p>
    <w:p w14:paraId="45CE9D4A" w14:textId="77777777" w:rsidR="00647D0C" w:rsidRPr="00A61195" w:rsidRDefault="00647D0C">
      <w:pPr>
        <w:spacing w:before="0" w:after="160" w:line="259" w:lineRule="auto"/>
        <w:rPr>
          <w:bCs/>
          <w:iCs/>
        </w:rPr>
      </w:pPr>
      <w:r w:rsidRPr="00A61195">
        <w:rPr>
          <w:bCs/>
          <w:iCs/>
        </w:rPr>
        <w:br w:type="page"/>
      </w:r>
    </w:p>
    <w:p w14:paraId="3CA0DDC9" w14:textId="1479D902" w:rsidR="00647D0C" w:rsidRPr="00A61195" w:rsidRDefault="00647D0C" w:rsidP="00A61195">
      <w:pPr>
        <w:pStyle w:val="Point0"/>
        <w:rPr>
          <w:bCs/>
          <w:iCs/>
        </w:rPr>
      </w:pPr>
      <w:r w:rsidRPr="00A61195">
        <w:lastRenderedPageBreak/>
        <w:t>16.</w:t>
      </w:r>
      <w:r w:rsidRPr="00A61195">
        <w:tab/>
        <w:t>La punctul 1.4.3, după tabelul cu „Clasificarea stării chimice” și „Cod culoare”, se introduc următoarele paragrafe:</w:t>
      </w:r>
    </w:p>
    <w:p w14:paraId="02693F8A" w14:textId="77777777" w:rsidR="00647D0C" w:rsidRPr="00A61195" w:rsidRDefault="00647D0C" w:rsidP="00A61195">
      <w:pPr>
        <w:pStyle w:val="Text1"/>
        <w:rPr>
          <w:bCs/>
          <w:iCs/>
        </w:rPr>
      </w:pPr>
      <w:r w:rsidRPr="00A61195">
        <w:t>„Statele membre pot pune la dispoziție hărți suplimentare care să prezinte informații privind starea chimică pentru una sau mai multe dintre următoarele substanțe separat de informațiile pentru restul substanțelor identificate în partea A din anexa I la Directiva 2008/105/CE:</w:t>
      </w:r>
    </w:p>
    <w:p w14:paraId="1AB74A9B" w14:textId="544EF90C" w:rsidR="00647D0C" w:rsidRPr="00A61195" w:rsidRDefault="00647D0C" w:rsidP="00A61195">
      <w:pPr>
        <w:pStyle w:val="Point1"/>
        <w:rPr>
          <w:bCs/>
          <w:iCs/>
        </w:rPr>
      </w:pPr>
      <w:r w:rsidRPr="00A61195">
        <w:t>(a)</w:t>
      </w:r>
      <w:r w:rsidRPr="00A61195">
        <w:tab/>
        <w:t>substanțele prioritare identificate în partea A din anexa</w:t>
      </w:r>
      <w:r w:rsidR="00D3772B">
        <w:t> </w:t>
      </w:r>
      <w:r w:rsidRPr="00A61195">
        <w:t xml:space="preserve">I la Directiva 2008/105/CE drept substanțe care se comportă ca substanțe persistente, </w:t>
      </w:r>
      <w:proofErr w:type="spellStart"/>
      <w:r w:rsidRPr="00A61195">
        <w:t>bioacumulative</w:t>
      </w:r>
      <w:proofErr w:type="spellEnd"/>
      <w:r w:rsidRPr="00A61195">
        <w:t xml:space="preserve"> și toxice omniprezente (PBT omniprezente);</w:t>
      </w:r>
    </w:p>
    <w:p w14:paraId="04B5DC01" w14:textId="5FCFB866" w:rsidR="00647D0C" w:rsidRPr="00A61195" w:rsidRDefault="00647D0C" w:rsidP="00A61195">
      <w:pPr>
        <w:pStyle w:val="Point1"/>
        <w:rPr>
          <w:bCs/>
          <w:iCs/>
        </w:rPr>
      </w:pPr>
      <w:r w:rsidRPr="00A61195">
        <w:t>(b)</w:t>
      </w:r>
      <w:r w:rsidRPr="00A61195">
        <w:tab/>
        <w:t>substanțele prioritare nou-identificate cu ocazia ultimei revizuiri efectuate de Comisie în conformitate cu articolul 16 alineatul (2)</w:t>
      </w:r>
      <w:r w:rsidR="00386139">
        <w:t xml:space="preserve"> </w:t>
      </w:r>
      <w:r w:rsidRPr="00A61195">
        <w:t>din prezenta directivă;</w:t>
      </w:r>
    </w:p>
    <w:p w14:paraId="4FC5C59D" w14:textId="54B3D8DB" w:rsidR="00647D0C" w:rsidRPr="00A61195" w:rsidRDefault="00647D0C" w:rsidP="00A61195">
      <w:pPr>
        <w:pStyle w:val="Point1"/>
        <w:rPr>
          <w:bCs/>
          <w:iCs/>
        </w:rPr>
      </w:pPr>
      <w:r w:rsidRPr="00A61195">
        <w:t>(c)</w:t>
      </w:r>
      <w:r w:rsidRPr="00A61195">
        <w:tab/>
        <w:t>substanțele prioritare pentru care s-au stabilit SCM-uri revizuite și mai stricte cu ocazia ultimei revizuiri efectuate în conformitate cu articolul 16 alineatul (2) din prezenta directivă;</w:t>
      </w:r>
    </w:p>
    <w:p w14:paraId="713AFB2A" w14:textId="6528CAF2" w:rsidR="00647D0C" w:rsidRPr="00A61195" w:rsidRDefault="00647D0C" w:rsidP="00A61195">
      <w:pPr>
        <w:pStyle w:val="Point1"/>
        <w:rPr>
          <w:bCs/>
          <w:iCs/>
        </w:rPr>
      </w:pPr>
      <w:r w:rsidRPr="00A61195">
        <w:t>(d)</w:t>
      </w:r>
      <w:r w:rsidRPr="00A61195">
        <w:tab/>
        <w:t>substanțele identificate ca poluanți specifici bazinelor hidrografice în conformitate cu articolul 8d din Directiva 2008/105/CE și pe baza evaluării presiunilor și a impactului asupra corpurilor de apă de suprafață efectuate în conformitate cu anexa</w:t>
      </w:r>
      <w:r w:rsidR="00D3772B">
        <w:t> </w:t>
      </w:r>
      <w:r w:rsidRPr="00A61195">
        <w:t>II la prezenta directivă.</w:t>
      </w:r>
    </w:p>
    <w:p w14:paraId="01EA2058" w14:textId="078614A2" w:rsidR="00647D0C" w:rsidRPr="00A61195" w:rsidRDefault="00647D0C" w:rsidP="00A61195">
      <w:pPr>
        <w:pStyle w:val="Text1"/>
        <w:rPr>
          <w:bCs/>
          <w:iCs/>
        </w:rPr>
      </w:pPr>
      <w:r w:rsidRPr="00A61195">
        <w:t>Statele membre pot prezenta și amploarea oricărei devieri de la valorile SCM pentru substanțele menționate la literele</w:t>
      </w:r>
      <w:r w:rsidR="00D3772B">
        <w:t> </w:t>
      </w:r>
      <w:r w:rsidRPr="00A61195">
        <w:t>(a)-(d) de la primul paragraf în cadrul planurilor de gestionare a bazinelor hidrografice. Statele membre care pun la dispoziție astfel de hărți suplimentare urmăresc să asigure posibilitatea ca acestea să fie comparate între ele la nivelul bazinului hidrografic și la nivelul Uniunii.”</w:t>
      </w:r>
    </w:p>
    <w:p w14:paraId="7D3B18C3" w14:textId="77777777" w:rsidR="00647D0C" w:rsidRPr="00A61195" w:rsidRDefault="00647D0C">
      <w:pPr>
        <w:spacing w:before="0" w:after="160" w:line="259" w:lineRule="auto"/>
      </w:pPr>
      <w:r w:rsidRPr="00A61195">
        <w:br w:type="page"/>
      </w:r>
    </w:p>
    <w:p w14:paraId="0DE78DF0" w14:textId="2186E610" w:rsidR="00647D0C" w:rsidRPr="00A61195" w:rsidRDefault="00647D0C" w:rsidP="00A61195">
      <w:pPr>
        <w:pStyle w:val="Point0"/>
      </w:pPr>
      <w:r w:rsidRPr="00A61195">
        <w:lastRenderedPageBreak/>
        <w:t>17.</w:t>
      </w:r>
      <w:r w:rsidRPr="00A61195">
        <w:tab/>
        <w:t>La punctul 2.2.1 se adaugă următorul paragraf:</w:t>
      </w:r>
    </w:p>
    <w:p w14:paraId="073CEBFD" w14:textId="77777777" w:rsidR="00647D0C" w:rsidRPr="00A61195" w:rsidRDefault="00647D0C" w:rsidP="00A61195">
      <w:pPr>
        <w:pStyle w:val="Text1"/>
      </w:pPr>
      <w:r w:rsidRPr="00A61195">
        <w:t>„În cazul în care rețeaua de monitorizare implică, în locul punctelor de prelevare locale, metode de observare a Pământului și teledetecția sau alte tehnici inovatoare, se face trimitere la standardele CEN, standardele ISO sau alte standarde internaționale sau naționale care au fost aplicate pentru a se asigura că datele temporale și spațiale obținute sunt la fel de fiabile ca cele obținute prin metode convenționale de monitorizare aplicate în puncte de prelevare locale.”</w:t>
      </w:r>
    </w:p>
    <w:p w14:paraId="4735EB14" w14:textId="77777777" w:rsidR="00647D0C" w:rsidRPr="00A61195" w:rsidRDefault="00647D0C" w:rsidP="00647D0C">
      <w:r w:rsidRPr="00A61195">
        <w:br w:type="page"/>
      </w:r>
    </w:p>
    <w:p w14:paraId="7A883182" w14:textId="4F34C077" w:rsidR="00647D0C" w:rsidRPr="00A61195" w:rsidRDefault="00647D0C" w:rsidP="00A61195">
      <w:pPr>
        <w:pStyle w:val="Point0"/>
      </w:pPr>
      <w:r w:rsidRPr="00A61195">
        <w:lastRenderedPageBreak/>
        <w:t>18.</w:t>
      </w:r>
      <w:r w:rsidRPr="00A61195">
        <w:tab/>
        <w:t>Punctul 2.3.2 se înlocuiește cu următorul text:</w:t>
      </w:r>
    </w:p>
    <w:p w14:paraId="55E040DC" w14:textId="77777777" w:rsidR="00647D0C" w:rsidRPr="00A61195" w:rsidRDefault="00647D0C" w:rsidP="00A61195">
      <w:pPr>
        <w:pStyle w:val="Point1"/>
        <w:ind w:left="1985" w:hanging="1134"/>
      </w:pPr>
      <w:r w:rsidRPr="00A61195">
        <w:t>„2.3.2.</w:t>
      </w:r>
      <w:r w:rsidRPr="00A61195">
        <w:tab/>
        <w:t>Definirea stării chimice bune a apelor subterane</w:t>
      </w:r>
    </w:p>
    <w:tbl>
      <w:tblPr>
        <w:tblStyle w:val="TableGrid"/>
        <w:tblW w:w="5000" w:type="pct"/>
        <w:tblLayout w:type="fixed"/>
        <w:tblLook w:val="04A0" w:firstRow="1" w:lastRow="0" w:firstColumn="1" w:lastColumn="0" w:noHBand="0" w:noVBand="1"/>
      </w:tblPr>
      <w:tblGrid>
        <w:gridCol w:w="4814"/>
        <w:gridCol w:w="4815"/>
      </w:tblGrid>
      <w:tr w:rsidR="00647D0C" w:rsidRPr="00A61195" w14:paraId="263FC50D" w14:textId="77777777" w:rsidTr="009D20AB">
        <w:tc>
          <w:tcPr>
            <w:tcW w:w="2500" w:type="pct"/>
          </w:tcPr>
          <w:p w14:paraId="172522D9" w14:textId="77777777" w:rsidR="00647D0C" w:rsidRPr="00A61195" w:rsidRDefault="00647D0C" w:rsidP="009D20AB">
            <w:pPr>
              <w:spacing w:before="60" w:after="60" w:line="240" w:lineRule="auto"/>
              <w:jc w:val="center"/>
            </w:pPr>
            <w:r w:rsidRPr="00A61195">
              <w:t>Element</w:t>
            </w:r>
          </w:p>
        </w:tc>
        <w:tc>
          <w:tcPr>
            <w:tcW w:w="2500" w:type="pct"/>
          </w:tcPr>
          <w:p w14:paraId="06B69A07" w14:textId="77777777" w:rsidR="00647D0C" w:rsidRPr="00A61195" w:rsidRDefault="00647D0C" w:rsidP="009D20AB">
            <w:pPr>
              <w:spacing w:before="60" w:after="60" w:line="240" w:lineRule="auto"/>
              <w:jc w:val="center"/>
            </w:pPr>
            <w:r w:rsidRPr="00A61195">
              <w:t>Stare bună</w:t>
            </w:r>
          </w:p>
        </w:tc>
      </w:tr>
      <w:tr w:rsidR="00647D0C" w:rsidRPr="00A61195" w14:paraId="432B722B" w14:textId="77777777" w:rsidTr="009D20AB">
        <w:tc>
          <w:tcPr>
            <w:tcW w:w="2500" w:type="pct"/>
          </w:tcPr>
          <w:p w14:paraId="77775AA3" w14:textId="77777777" w:rsidR="00647D0C" w:rsidRPr="00A61195" w:rsidRDefault="00647D0C" w:rsidP="009D20AB">
            <w:pPr>
              <w:spacing w:before="60" w:after="60" w:line="240" w:lineRule="auto"/>
            </w:pPr>
            <w:r w:rsidRPr="00A61195">
              <w:t>Concentrația poluanților</w:t>
            </w:r>
          </w:p>
        </w:tc>
        <w:tc>
          <w:tcPr>
            <w:tcW w:w="2500" w:type="pct"/>
          </w:tcPr>
          <w:p w14:paraId="38DD1407" w14:textId="77777777" w:rsidR="00647D0C" w:rsidRPr="00A61195" w:rsidRDefault="00647D0C" w:rsidP="009D20AB">
            <w:pPr>
              <w:spacing w:before="60" w:after="60" w:line="240" w:lineRule="auto"/>
            </w:pPr>
            <w:r w:rsidRPr="00A61195">
              <w:t>Compoziția chimică a corpului de apă subterană este astfel încât concentrațiile poluanților, conform specificațiilor de mai jos:</w:t>
            </w:r>
          </w:p>
          <w:p w14:paraId="14563147" w14:textId="628487E2" w:rsidR="00647D0C" w:rsidRPr="00A61195" w:rsidRDefault="00D3772B" w:rsidP="00D3772B">
            <w:pPr>
              <w:spacing w:before="60" w:after="60" w:line="240" w:lineRule="auto"/>
              <w:ind w:left="567" w:hanging="567"/>
            </w:pPr>
            <w:r>
              <w:t>–</w:t>
            </w:r>
            <w:r>
              <w:tab/>
            </w:r>
            <w:r w:rsidR="00647D0C" w:rsidRPr="00A61195">
              <w:t>nu indică efecte ale unor intruziuni saline sau ale altor intruziuni</w:t>
            </w:r>
          </w:p>
          <w:p w14:paraId="49AD3760" w14:textId="179BE2A2" w:rsidR="00647D0C" w:rsidRPr="00A61195" w:rsidRDefault="00D3772B" w:rsidP="00D3772B">
            <w:pPr>
              <w:spacing w:before="60" w:after="60" w:line="240" w:lineRule="auto"/>
              <w:ind w:left="567" w:hanging="567"/>
            </w:pPr>
            <w:r>
              <w:t>–</w:t>
            </w:r>
            <w:r>
              <w:tab/>
            </w:r>
            <w:r w:rsidR="00647D0C" w:rsidRPr="00A61195">
              <w:t>nu depășesc standardele de calitate a apelor subterane, astfel cum sunt menționate în anexa I la Directiva</w:t>
            </w:r>
            <w:r>
              <w:t> </w:t>
            </w:r>
            <w:r w:rsidR="00647D0C" w:rsidRPr="00A61195">
              <w:t>2006/118/CE, valorile prag pentru poluanții apelor subterane și indicatorii poluării stabiliți în temeiul articolului 3 alineatul (1) litera</w:t>
            </w:r>
            <w:r>
              <w:t> </w:t>
            </w:r>
            <w:r w:rsidR="00647D0C" w:rsidRPr="00A61195">
              <w:t>(b) din directiva menționată sau valorile prag la nivelul Uniunii stabilite în temeiul articolului 8 alineatul (3) din directiva menționată</w:t>
            </w:r>
          </w:p>
          <w:p w14:paraId="15323BC3" w14:textId="52805F92" w:rsidR="00647D0C" w:rsidRPr="00A61195" w:rsidRDefault="00D3772B" w:rsidP="00D3772B">
            <w:pPr>
              <w:spacing w:before="60" w:after="60" w:line="240" w:lineRule="auto"/>
              <w:ind w:left="567" w:hanging="567"/>
            </w:pPr>
            <w:r>
              <w:t>–</w:t>
            </w:r>
            <w:r>
              <w:tab/>
            </w:r>
            <w:r w:rsidR="00647D0C" w:rsidRPr="00A61195">
              <w:t>nu duc la nerealizarea obiectivelor de mediu prevăzute la articolul 4 pentru apele de suprafață asociate, la diminuarea semnificativă a calității ecologice sau chimice a corpurilor respective sau la deteriorarea semnificativă a ecosistemelor terestre care depind direct de corpul de apă subterană.</w:t>
            </w:r>
          </w:p>
        </w:tc>
      </w:tr>
      <w:tr w:rsidR="00647D0C" w:rsidRPr="00A61195" w14:paraId="030BDA2E" w14:textId="77777777" w:rsidTr="009D20AB">
        <w:tc>
          <w:tcPr>
            <w:tcW w:w="2500" w:type="pct"/>
          </w:tcPr>
          <w:p w14:paraId="74C7BCA6" w14:textId="77777777" w:rsidR="00647D0C" w:rsidRPr="00A61195" w:rsidRDefault="00647D0C" w:rsidP="009D20AB">
            <w:pPr>
              <w:spacing w:before="60" w:after="60" w:line="240" w:lineRule="auto"/>
            </w:pPr>
            <w:r w:rsidRPr="00A61195">
              <w:t>Conductivitate</w:t>
            </w:r>
          </w:p>
        </w:tc>
        <w:tc>
          <w:tcPr>
            <w:tcW w:w="2500" w:type="pct"/>
          </w:tcPr>
          <w:p w14:paraId="2D9D3520" w14:textId="2A7BE308" w:rsidR="00647D0C" w:rsidRPr="00A61195" w:rsidRDefault="00647D0C" w:rsidP="009D20AB">
            <w:pPr>
              <w:spacing w:before="60" w:after="60" w:line="240" w:lineRule="auto"/>
            </w:pPr>
            <w:r w:rsidRPr="00A61195">
              <w:t>Modificările de conductivitate nu indică intruziuni saline sau de alt tip în corpul de apă subterană.</w:t>
            </w:r>
          </w:p>
        </w:tc>
      </w:tr>
    </w:tbl>
    <w:p w14:paraId="78BDCA1C" w14:textId="2EB803CF" w:rsidR="00647D0C" w:rsidRPr="00A61195" w:rsidRDefault="00647D0C" w:rsidP="00A61195">
      <w:pPr>
        <w:pStyle w:val="NormalRight"/>
      </w:pPr>
      <w:r w:rsidRPr="00A61195">
        <w:t>”.</w:t>
      </w:r>
    </w:p>
    <w:p w14:paraId="23FF853E" w14:textId="77777777" w:rsidR="00647D0C" w:rsidRPr="00A61195" w:rsidRDefault="00647D0C" w:rsidP="00647D0C">
      <w:pPr>
        <w:spacing w:before="0" w:after="160" w:line="259" w:lineRule="auto"/>
      </w:pPr>
      <w:r w:rsidRPr="00A61195">
        <w:br w:type="page"/>
      </w:r>
    </w:p>
    <w:p w14:paraId="1CA769AD" w14:textId="525221E3" w:rsidR="00647D0C" w:rsidRPr="00A61195" w:rsidRDefault="00647D0C" w:rsidP="00A61195">
      <w:pPr>
        <w:pStyle w:val="Point0"/>
      </w:pPr>
      <w:r w:rsidRPr="00A61195">
        <w:lastRenderedPageBreak/>
        <w:t>19.</w:t>
      </w:r>
      <w:r w:rsidRPr="00A61195">
        <w:tab/>
        <w:t>La punctul 2.4.1 se adaugă următorul paragraf:</w:t>
      </w:r>
    </w:p>
    <w:p w14:paraId="5D8DD6A1" w14:textId="77777777" w:rsidR="00647D0C" w:rsidRPr="00A61195" w:rsidRDefault="00647D0C" w:rsidP="00A61195">
      <w:pPr>
        <w:pStyle w:val="Text1"/>
      </w:pPr>
      <w:r w:rsidRPr="00A61195">
        <w:t>„În cazul în care rețeaua de monitorizare implică, în locul punctelor de prelevare locale, observarea Pământului și teledetecția sau alte tehnici inovatoare, se face trimitere la standardele CEN, standardele ISO sau alte standarde internaționale sau naționale care au fost aplicate pentru a se asigura că datele temporale și spațiale obținute sunt la fel de fiabile ca cele obținute prin metode convenționale de monitorizare aplicate în puncte de prelevare locale.”</w:t>
      </w:r>
    </w:p>
    <w:p w14:paraId="256FD4F4" w14:textId="33EAF4C8" w:rsidR="00647D0C" w:rsidRPr="00A61195" w:rsidRDefault="00647D0C" w:rsidP="00A61195">
      <w:pPr>
        <w:pStyle w:val="Point0"/>
      </w:pPr>
      <w:r w:rsidRPr="00A61195">
        <w:t>20.</w:t>
      </w:r>
      <w:r w:rsidRPr="00A61195">
        <w:tab/>
        <w:t>La punctul 2.4.3, intitulat „Controale operaționale”, paragraful privind „Frecvența controalelor” se înlocuiește cu următorul text:</w:t>
      </w:r>
    </w:p>
    <w:p w14:paraId="4E494EC9" w14:textId="77777777" w:rsidR="00647D0C" w:rsidRPr="00A61195" w:rsidRDefault="00647D0C" w:rsidP="00A61195">
      <w:pPr>
        <w:pStyle w:val="Text1"/>
        <w:rPr>
          <w:iCs/>
        </w:rPr>
      </w:pPr>
      <w:r w:rsidRPr="00A61195">
        <w:t>„</w:t>
      </w:r>
      <w:r w:rsidRPr="00D3772B">
        <w:rPr>
          <w:i/>
          <w:iCs/>
        </w:rPr>
        <w:t>Frecvența controalelor</w:t>
      </w:r>
    </w:p>
    <w:p w14:paraId="6D604D0F" w14:textId="77777777" w:rsidR="00647D0C" w:rsidRPr="00A61195" w:rsidRDefault="00647D0C" w:rsidP="00A61195">
      <w:pPr>
        <w:pStyle w:val="Text1"/>
      </w:pPr>
      <w:r w:rsidRPr="00A61195">
        <w:t>Controalele operaționale se efectuează în perioadele dintre programele de control de monitorizare, cu o frecvență suficientă pentru a detecta impactul presiunilor în cauză, inclusiv, după caz, al variației sezoniere a utilizării substanțelor și al variațiilor de realimentare pe termen scurt și lung care ar putea afecta parametrii stării chimice, și cu o frecvență de cel puțin o dată pe an, cu excepția cazului în care ar fi justificate intervale mai mari pe baza cunoștințelor tehnice și a avizului experților, în special dacă se poate demonstra că, în ani succesivi, nu a fost detectată nicio depășire sau tendință ascendentă susținută pentru un anumit parametru.”</w:t>
      </w:r>
    </w:p>
    <w:p w14:paraId="227922B3" w14:textId="77777777" w:rsidR="00647D0C" w:rsidRPr="00A61195" w:rsidRDefault="00647D0C" w:rsidP="00647D0C">
      <w:r w:rsidRPr="00A61195">
        <w:br w:type="page"/>
      </w:r>
    </w:p>
    <w:p w14:paraId="1C34F662" w14:textId="35C8681A" w:rsidR="00647D0C" w:rsidRPr="00A61195" w:rsidRDefault="00647D0C" w:rsidP="00A61195">
      <w:pPr>
        <w:pStyle w:val="Point0"/>
      </w:pPr>
      <w:r w:rsidRPr="00A61195">
        <w:lastRenderedPageBreak/>
        <w:t>21.</w:t>
      </w:r>
      <w:r w:rsidRPr="00A61195">
        <w:tab/>
        <w:t>Punctul 2.4.5 se înlocuiește cu următorul text:</w:t>
      </w:r>
    </w:p>
    <w:p w14:paraId="36DCE0C6" w14:textId="77777777" w:rsidR="00647D0C" w:rsidRPr="00A61195" w:rsidRDefault="00647D0C" w:rsidP="00A61195">
      <w:pPr>
        <w:pStyle w:val="Point1"/>
        <w:ind w:left="1985" w:hanging="1134"/>
      </w:pPr>
      <w:r w:rsidRPr="00A61195">
        <w:t>„2.4.5.</w:t>
      </w:r>
      <w:r w:rsidRPr="00A61195">
        <w:tab/>
        <w:t>Interpretarea și prezentarea stării chimice a apelor subterane</w:t>
      </w:r>
    </w:p>
    <w:p w14:paraId="52A7D73B" w14:textId="77777777" w:rsidR="00647D0C" w:rsidRPr="00A61195" w:rsidRDefault="00647D0C" w:rsidP="00A61195">
      <w:pPr>
        <w:pStyle w:val="Text3"/>
      </w:pPr>
      <w:r w:rsidRPr="00A61195">
        <w:t>Pentru evaluarea stării chimice a apelor subterane, rezultatele obținute din punctele individuale de monitorizare dintr-un corp de apă subterană sunt totalizate pentru corp ca întreg. Valoarea medie a rezultatelor monitorizării în fiecare punct din corpul sau grupul de corpuri de apă subterană se calculează pentru următorii parametri:</w:t>
      </w:r>
    </w:p>
    <w:p w14:paraId="0BF8E155" w14:textId="77777777" w:rsidR="00647D0C" w:rsidRPr="00A61195" w:rsidRDefault="00647D0C" w:rsidP="00A61195">
      <w:pPr>
        <w:pStyle w:val="Point3"/>
      </w:pPr>
      <w:r w:rsidRPr="00A61195">
        <w:t>(a)</w:t>
      </w:r>
      <w:r w:rsidRPr="00A61195">
        <w:tab/>
        <w:t>parametrii chimici pentru care au fost stabilite standarde de calitate în anexa I la Directiva 2006/118/CE;</w:t>
      </w:r>
    </w:p>
    <w:p w14:paraId="65E926C2" w14:textId="330D942D" w:rsidR="00647D0C" w:rsidRPr="00A61195" w:rsidRDefault="00647D0C" w:rsidP="00A61195">
      <w:pPr>
        <w:pStyle w:val="Point3"/>
      </w:pPr>
      <w:r w:rsidRPr="00A61195">
        <w:t>(b)</w:t>
      </w:r>
      <w:r w:rsidRPr="00A61195">
        <w:tab/>
        <w:t>parametrii chimici pentru care au fost stabilite valori prag naționale în temeiul articolului 3 alineatul (1) litera (b) din Directiva</w:t>
      </w:r>
      <w:r w:rsidR="003935A6">
        <w:t> </w:t>
      </w:r>
      <w:r w:rsidRPr="00A61195">
        <w:t>2006/118/CE;</w:t>
      </w:r>
    </w:p>
    <w:p w14:paraId="3C80D91D" w14:textId="6078FD13" w:rsidR="00647D0C" w:rsidRPr="00A61195" w:rsidRDefault="00647D0C" w:rsidP="00A61195">
      <w:pPr>
        <w:pStyle w:val="Point3"/>
      </w:pPr>
      <w:r w:rsidRPr="00A61195">
        <w:t>(c)</w:t>
      </w:r>
      <w:r w:rsidRPr="00A61195">
        <w:tab/>
        <w:t>parametrii chimici pentru care au fost stabilite valori prag la nivelul Uniunii în temeiul articolului 8 alineatul (3) din Directiva</w:t>
      </w:r>
      <w:r w:rsidR="003935A6">
        <w:t> </w:t>
      </w:r>
      <w:r w:rsidRPr="00A61195">
        <w:t>2006/118/CE.</w:t>
      </w:r>
    </w:p>
    <w:p w14:paraId="3615F1F2" w14:textId="4C3C9245" w:rsidR="00647D0C" w:rsidRPr="00A61195" w:rsidRDefault="00647D0C" w:rsidP="00A61195">
      <w:pPr>
        <w:pStyle w:val="Text3"/>
      </w:pPr>
      <w:r w:rsidRPr="00A61195">
        <w:t>Valorile medii menționate la primul paragraf se utilizează pentru a se demonstra conformitatea cu o stare chimică bună a apelor subterane, definită prin trimitere la standardele de calitate și la valorile prag menționate la primul paragraf.</w:t>
      </w:r>
    </w:p>
    <w:p w14:paraId="02EFA48A" w14:textId="77777777" w:rsidR="00647D0C" w:rsidRPr="00A61195" w:rsidRDefault="00647D0C" w:rsidP="00A61195">
      <w:pPr>
        <w:spacing w:before="0" w:after="160" w:line="259" w:lineRule="auto"/>
      </w:pPr>
      <w:r w:rsidRPr="00A61195">
        <w:br w:type="page"/>
      </w:r>
    </w:p>
    <w:p w14:paraId="3E87EA85" w14:textId="57BD6509" w:rsidR="00647D0C" w:rsidRPr="00A61195" w:rsidRDefault="00647D0C" w:rsidP="00A61195">
      <w:pPr>
        <w:pStyle w:val="Text3"/>
      </w:pPr>
      <w:r w:rsidRPr="00A61195">
        <w:lastRenderedPageBreak/>
        <w:t>Sub rezerva punctului 2.5, statele membre furnizează o hartă pe care starea chimică a apelor subterane este indicată prin culori, după cum urmează:</w:t>
      </w:r>
    </w:p>
    <w:p w14:paraId="7F3CC67C" w14:textId="63098AF4" w:rsidR="00647D0C" w:rsidRPr="00A61195" w:rsidRDefault="00647D0C" w:rsidP="00A61195">
      <w:pPr>
        <w:pStyle w:val="Text3"/>
      </w:pPr>
      <w:r w:rsidRPr="00A61195">
        <w:t>slabă: roșu</w:t>
      </w:r>
    </w:p>
    <w:p w14:paraId="59976F8B" w14:textId="77777777" w:rsidR="00647D0C" w:rsidRPr="00A61195" w:rsidRDefault="00647D0C" w:rsidP="00A61195">
      <w:pPr>
        <w:pStyle w:val="Text3"/>
      </w:pPr>
      <w:r w:rsidRPr="00A61195">
        <w:t>bună: verde</w:t>
      </w:r>
    </w:p>
    <w:p w14:paraId="219F01F0" w14:textId="4D0DB54B" w:rsidR="00647D0C" w:rsidRPr="00A61195" w:rsidRDefault="00647D0C" w:rsidP="00A61195">
      <w:pPr>
        <w:pStyle w:val="Text3"/>
      </w:pPr>
      <w:r w:rsidRPr="00A61195">
        <w:t>Statele membre pot pune la dispoziție hărți suplimentare care să prezinte informații privind starea chimică pentru una sau mai multe dintre următoarele substanțe separat de informațiile pentru restul substanțelor identificate în Directiva</w:t>
      </w:r>
      <w:r w:rsidR="00D3772B">
        <w:t> </w:t>
      </w:r>
      <w:r w:rsidRPr="00A61195">
        <w:t>2006/118/CE:</w:t>
      </w:r>
    </w:p>
    <w:p w14:paraId="6C1A10E1" w14:textId="6BAB2067" w:rsidR="00647D0C" w:rsidRPr="00A61195" w:rsidRDefault="00647D0C" w:rsidP="00A61195">
      <w:pPr>
        <w:pStyle w:val="Point3"/>
        <w:rPr>
          <w:bCs/>
          <w:iCs/>
        </w:rPr>
      </w:pPr>
      <w:r w:rsidRPr="00A61195">
        <w:t>(a)</w:t>
      </w:r>
      <w:r w:rsidRPr="00A61195">
        <w:tab/>
        <w:t>substanțele nou-identificate cu ocazia ultimei revizuiri efectuate în conformitate cu articolul 8 din Directiva</w:t>
      </w:r>
      <w:r w:rsidR="00D3772B">
        <w:t> </w:t>
      </w:r>
      <w:r w:rsidRPr="00A61195">
        <w:t>2006/118/CE;</w:t>
      </w:r>
      <w:bookmarkStart w:id="31" w:name="DQCErrorScope581592C4F2186FB7B9DC835B1F9"/>
    </w:p>
    <w:bookmarkEnd w:id="31"/>
    <w:p w14:paraId="3F066686" w14:textId="1FBCF911" w:rsidR="00647D0C" w:rsidRPr="00A61195" w:rsidRDefault="00647D0C" w:rsidP="00A61195">
      <w:pPr>
        <w:pStyle w:val="Point3"/>
      </w:pPr>
      <w:r w:rsidRPr="00A61195">
        <w:t>(b)</w:t>
      </w:r>
      <w:r w:rsidRPr="00A61195">
        <w:tab/>
        <w:t>substanțele pentru care se stabilesc standarde de calitate (SC) sau valori prag revizuite și mai stricte în conformitate cu articolul 8 din Directiva</w:t>
      </w:r>
      <w:r w:rsidR="00D3772B">
        <w:t> </w:t>
      </w:r>
      <w:r w:rsidRPr="00A61195">
        <w:t>2006/118/CE.</w:t>
      </w:r>
    </w:p>
    <w:p w14:paraId="7397F3F9" w14:textId="6BB2E6BB" w:rsidR="00647D0C" w:rsidRPr="00A61195" w:rsidRDefault="00647D0C" w:rsidP="00A61195">
      <w:pPr>
        <w:pStyle w:val="Text3"/>
      </w:pPr>
      <w:r w:rsidRPr="00A61195">
        <w:t>Statele membre pot prezenta și amploarea oricărei devieri de la SC-urile sau valorile prag pentru substanțele menționate la literele</w:t>
      </w:r>
      <w:r w:rsidR="00D3772B">
        <w:t> </w:t>
      </w:r>
      <w:r w:rsidRPr="00A61195">
        <w:t>(a) și (b) de la primul paragraf în cadrul planurilor de gestionare a bazinelor hidrografice. Statele membre care pun la dispoziție astfel de hărți suplimentare urmăresc să asigure posibilitatea ca acestea să fie comparate între ele la nivelul bazinului hidrografic și la nivelul Uniunii.</w:t>
      </w:r>
    </w:p>
    <w:p w14:paraId="409648A7" w14:textId="77777777" w:rsidR="00647D0C" w:rsidRPr="00A61195" w:rsidRDefault="00647D0C">
      <w:pPr>
        <w:spacing w:before="0" w:after="160" w:line="259" w:lineRule="auto"/>
      </w:pPr>
      <w:r w:rsidRPr="00A61195">
        <w:br w:type="page"/>
      </w:r>
    </w:p>
    <w:p w14:paraId="27779ABC" w14:textId="6476E75A" w:rsidR="00647D0C" w:rsidRPr="00A61195" w:rsidRDefault="00647D0C" w:rsidP="00A61195">
      <w:pPr>
        <w:pStyle w:val="Text3"/>
      </w:pPr>
      <w:r w:rsidRPr="00A61195">
        <w:lastRenderedPageBreak/>
        <w:t>Statele membre indică, de asemenea, printr-un punct negru pe hartă, corpurile de apă care sunt supuse unei tendințe de creștere semnificativă și durabilă a concentrației oricărui poluant ca urmare a impactului activităților umane. Inversarea unei astfel de tendințe se indică printr-un punct albastru pe hartă.</w:t>
      </w:r>
    </w:p>
    <w:p w14:paraId="3277DAC4" w14:textId="161D37B7" w:rsidR="00647D0C" w:rsidRPr="00A61195" w:rsidRDefault="00647D0C" w:rsidP="00A61195">
      <w:pPr>
        <w:pStyle w:val="Text3"/>
      </w:pPr>
      <w:r w:rsidRPr="00A61195">
        <w:t>Aceste hărți se includ în planurile de gestionare a bazinelor hidrografice.”</w:t>
      </w:r>
    </w:p>
    <w:p w14:paraId="3B105B15" w14:textId="258C4E8A" w:rsidR="00647D0C" w:rsidRPr="00A61195" w:rsidRDefault="00647D0C" w:rsidP="00647D0C">
      <w:pPr>
        <w:pStyle w:val="Lignefinal"/>
      </w:pPr>
    </w:p>
    <w:p w14:paraId="793DB30E" w14:textId="77777777" w:rsidR="00647D0C" w:rsidRPr="00A61195" w:rsidRDefault="00647D0C" w:rsidP="00A61195">
      <w:pPr>
        <w:pStyle w:val="Annexetitre"/>
        <w:sectPr w:rsidR="00647D0C" w:rsidRPr="00A61195" w:rsidSect="00B35CF3">
          <w:headerReference w:type="default" r:id="rId74"/>
          <w:footerReference w:type="default" r:id="rId75"/>
          <w:pgSz w:w="11907" w:h="16839" w:code="9"/>
          <w:pgMar w:top="1134" w:right="1134" w:bottom="1134" w:left="1134" w:header="567" w:footer="567" w:gutter="0"/>
          <w:cols w:space="708"/>
          <w:docGrid w:linePitch="360"/>
        </w:sectPr>
      </w:pPr>
    </w:p>
    <w:p w14:paraId="7D831236" w14:textId="77777777" w:rsidR="00647D0C" w:rsidRPr="00A61195" w:rsidRDefault="00647D0C" w:rsidP="00A61195">
      <w:pPr>
        <w:pStyle w:val="Annexetitre"/>
        <w:rPr>
          <w:bCs/>
        </w:rPr>
      </w:pPr>
      <w:r w:rsidRPr="00A61195">
        <w:lastRenderedPageBreak/>
        <w:t>ANEXA II</w:t>
      </w:r>
    </w:p>
    <w:p w14:paraId="285E9CCD" w14:textId="77777777" w:rsidR="00647D0C" w:rsidRPr="00A61195" w:rsidRDefault="00647D0C" w:rsidP="00647D0C">
      <w:r w:rsidRPr="00A61195">
        <w:t>Anexa VIII la Directiva 2000/60/CE se modifică după cum urmează:</w:t>
      </w:r>
    </w:p>
    <w:p w14:paraId="50B22FA0" w14:textId="77777777" w:rsidR="00647D0C" w:rsidRPr="00A61195" w:rsidRDefault="00647D0C" w:rsidP="00A61195">
      <w:pPr>
        <w:pStyle w:val="Point0"/>
      </w:pPr>
      <w:r w:rsidRPr="00A61195">
        <w:t>1.</w:t>
      </w:r>
      <w:r w:rsidRPr="00A61195">
        <w:tab/>
        <w:t>Punctele 11 și 12 se elimină.</w:t>
      </w:r>
    </w:p>
    <w:p w14:paraId="5ED9EE15" w14:textId="77777777" w:rsidR="00647D0C" w:rsidRPr="00A61195" w:rsidRDefault="00647D0C" w:rsidP="00A61195">
      <w:pPr>
        <w:pStyle w:val="Point0"/>
      </w:pPr>
      <w:r w:rsidRPr="00A61195">
        <w:t>2.</w:t>
      </w:r>
      <w:r w:rsidRPr="00A61195">
        <w:tab/>
        <w:t>Se adaugă următorul punct:</w:t>
      </w:r>
    </w:p>
    <w:p w14:paraId="698F771D" w14:textId="77777777" w:rsidR="00647D0C" w:rsidRPr="00A61195" w:rsidRDefault="00647D0C" w:rsidP="00A61195">
      <w:pPr>
        <w:pStyle w:val="Point1"/>
      </w:pPr>
      <w:r w:rsidRPr="00A61195">
        <w:t>„13.</w:t>
      </w:r>
      <w:r w:rsidRPr="00A61195">
        <w:tab/>
        <w:t xml:space="preserve">Microorganisme, gene sau material genetic care reflectă prezența unor microorganisme rezistente la agenți </w:t>
      </w:r>
      <w:proofErr w:type="spellStart"/>
      <w:r w:rsidRPr="00A61195">
        <w:t>antimicrobieni</w:t>
      </w:r>
      <w:proofErr w:type="spellEnd"/>
      <w:r w:rsidRPr="00A61195">
        <w:t>, în special microorganisme patogene pentru oameni sau animale.”</w:t>
      </w:r>
    </w:p>
    <w:p w14:paraId="3FD98B6C" w14:textId="4F0B0C82" w:rsidR="00647D0C" w:rsidRPr="00A61195" w:rsidRDefault="00647D0C" w:rsidP="00647D0C">
      <w:pPr>
        <w:pStyle w:val="Lignefinal"/>
      </w:pPr>
    </w:p>
    <w:p w14:paraId="22AEA9BA" w14:textId="77777777" w:rsidR="00647D0C" w:rsidRPr="00A61195" w:rsidRDefault="00647D0C" w:rsidP="00A61195">
      <w:pPr>
        <w:pStyle w:val="Annexetitre"/>
        <w:sectPr w:rsidR="00647D0C" w:rsidRPr="00A61195" w:rsidSect="00B35CF3">
          <w:headerReference w:type="default" r:id="rId76"/>
          <w:footerReference w:type="default" r:id="rId77"/>
          <w:pgSz w:w="11907" w:h="16839" w:code="9"/>
          <w:pgMar w:top="1134" w:right="1134" w:bottom="1134" w:left="1134" w:header="567" w:footer="567" w:gutter="0"/>
          <w:pgNumType w:start="1"/>
          <w:cols w:space="708"/>
          <w:docGrid w:linePitch="360"/>
        </w:sectPr>
      </w:pPr>
    </w:p>
    <w:p w14:paraId="17C679B1" w14:textId="77777777" w:rsidR="00647D0C" w:rsidRPr="00A61195" w:rsidRDefault="00647D0C" w:rsidP="00A61195">
      <w:pPr>
        <w:pStyle w:val="Annexetitre"/>
        <w:rPr>
          <w:rFonts w:eastAsia="Calibri"/>
        </w:rPr>
      </w:pPr>
      <w:r w:rsidRPr="00A61195">
        <w:lastRenderedPageBreak/>
        <w:t>ANEXA III</w:t>
      </w:r>
    </w:p>
    <w:p w14:paraId="34372B68" w14:textId="77777777" w:rsidR="00647D0C" w:rsidRPr="00A61195" w:rsidRDefault="00647D0C" w:rsidP="00647D0C">
      <w:pPr>
        <w:rPr>
          <w:rFonts w:eastAsia="Calibri"/>
          <w:b/>
          <w:u w:val="single"/>
        </w:rPr>
      </w:pPr>
      <w:r w:rsidRPr="00A61195">
        <w:t>Anexa I la Directiva 2006/118/CE se înlocuiește cu următorul text:</w:t>
      </w:r>
    </w:p>
    <w:p w14:paraId="4388FFC9" w14:textId="77777777" w:rsidR="00647D0C" w:rsidRPr="00A61195" w:rsidRDefault="00647D0C" w:rsidP="00A61195">
      <w:pPr>
        <w:pStyle w:val="NormalCentered"/>
        <w:rPr>
          <w:rFonts w:eastAsia="Calibri"/>
          <w:bCs/>
        </w:rPr>
      </w:pPr>
      <w:r w:rsidRPr="00A61195">
        <w:t>„ANEXA I</w:t>
      </w:r>
    </w:p>
    <w:p w14:paraId="79C99509" w14:textId="21F0CE1F" w:rsidR="00647D0C" w:rsidRPr="00A61195" w:rsidRDefault="00647D0C" w:rsidP="00A61195">
      <w:pPr>
        <w:pStyle w:val="NormalCentered"/>
        <w:rPr>
          <w:rFonts w:eastAsia="Calibri"/>
          <w:bCs/>
        </w:rPr>
      </w:pPr>
      <w:r w:rsidRPr="00A61195">
        <w:t xml:space="preserve">STANDARDE DE CALITATE (SC) PENTRU POLUANȚII DIN APELE SUBTERANE </w:t>
      </w:r>
      <w:r w:rsidR="00D3772B">
        <w:br/>
      </w:r>
      <w:r w:rsidRPr="00A61195">
        <w:t>ȘI INDICATORII POLUĂRII</w:t>
      </w:r>
    </w:p>
    <w:p w14:paraId="4567845D" w14:textId="6915AE95" w:rsidR="00647D0C" w:rsidRPr="00A61195" w:rsidRDefault="00647D0C" w:rsidP="00647D0C">
      <w:pPr>
        <w:rPr>
          <w:rFonts w:eastAsia="Calibri"/>
        </w:rPr>
      </w:pPr>
      <w:r w:rsidRPr="00A61195">
        <w:rPr>
          <w:rFonts w:eastAsia="Calibri"/>
        </w:rPr>
        <w:t>Atunci când, pentru un anumit corp de apă subterană, se consideră că standardele de calitate a apelor subterane ar putea împiedica realizarea obiectivelor de mediu specificate la articolul 4 din Directiva</w:t>
      </w:r>
      <w:r w:rsidR="00D3772B">
        <w:rPr>
          <w:rFonts w:eastAsia="Calibri"/>
        </w:rPr>
        <w:t> </w:t>
      </w:r>
      <w:r w:rsidRPr="00A61195">
        <w:rPr>
          <w:rFonts w:eastAsia="Calibri"/>
        </w:rPr>
        <w:t>2000/60/CE pentru apele de suprafață asociate sau ar putea determina o deteriorare semnificativă a calității ecologice sau chimice a acestor corpuri de apă, sau daune semnificative ecosistemelor terestre care depind direct de corpul de apă subterană respectiv, se stabilesc valori prag mai stricte în conformitate cu articolul 3 din prezenta directivă și cu anexa</w:t>
      </w:r>
      <w:r w:rsidR="00D3772B">
        <w:rPr>
          <w:rFonts w:eastAsia="Calibri"/>
        </w:rPr>
        <w:t> </w:t>
      </w:r>
      <w:r w:rsidRPr="00A61195">
        <w:rPr>
          <w:rFonts w:eastAsia="Calibri"/>
        </w:rPr>
        <w:t>II la prezenta directivă. Cu condiția să fie disponibilă o metodologie fiabilă de evaluare a prezenței ecosistemelor de apă subterană, se stabilesc, de asemenea, standarde de calitate mai stricte pentru corpurile de apă subterană în care sunt prezente astfel de ecosisteme, cu excepția cazului în care standardele de calitate a apelor subterane au fost stabilite pentru a proteja sănătatea umană și sunt deja suficient de stricte pentru a proteja ecosistemele respective.</w:t>
      </w:r>
    </w:p>
    <w:p w14:paraId="2F4DB4A2" w14:textId="77777777" w:rsidR="00647D0C" w:rsidRPr="00A61195" w:rsidRDefault="00647D0C" w:rsidP="00647D0C">
      <w:pPr>
        <w:rPr>
          <w:rFonts w:eastAsia="Calibri"/>
        </w:rPr>
        <w:sectPr w:rsidR="00647D0C" w:rsidRPr="00A61195" w:rsidSect="00B35CF3">
          <w:headerReference w:type="default" r:id="rId78"/>
          <w:footerReference w:type="default" r:id="rId79"/>
          <w:pgSz w:w="11907" w:h="16839" w:code="9"/>
          <w:pgMar w:top="1134" w:right="1134" w:bottom="1134" w:left="1134" w:header="567" w:footer="567" w:gutter="0"/>
          <w:pgNumType w:start="1"/>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2129"/>
        <w:gridCol w:w="1983"/>
        <w:gridCol w:w="1698"/>
        <w:gridCol w:w="1986"/>
        <w:gridCol w:w="6060"/>
      </w:tblGrid>
      <w:tr w:rsidR="00647D0C" w:rsidRPr="00D3772B" w14:paraId="7981CC7F" w14:textId="77777777" w:rsidTr="00D3772B">
        <w:trPr>
          <w:trHeight w:val="300"/>
          <w:tblHeader/>
        </w:trPr>
        <w:tc>
          <w:tcPr>
            <w:tcW w:w="242" w:type="pct"/>
            <w:shd w:val="clear" w:color="auto" w:fill="auto"/>
            <w:vAlign w:val="center"/>
            <w:hideMark/>
          </w:tcPr>
          <w:p w14:paraId="53178451" w14:textId="77777777" w:rsidR="00647D0C" w:rsidRPr="00D3772B" w:rsidRDefault="00647D0C" w:rsidP="009D20AB">
            <w:pPr>
              <w:spacing w:line="240" w:lineRule="auto"/>
              <w:jc w:val="center"/>
              <w:rPr>
                <w:rFonts w:eastAsia="Calibri"/>
                <w:bCs/>
                <w:color w:val="000000"/>
                <w:szCs w:val="24"/>
              </w:rPr>
            </w:pPr>
            <w:r w:rsidRPr="00D3772B">
              <w:rPr>
                <w:color w:val="000000"/>
                <w:szCs w:val="24"/>
              </w:rPr>
              <w:lastRenderedPageBreak/>
              <w:t>1.</w:t>
            </w:r>
          </w:p>
        </w:tc>
        <w:tc>
          <w:tcPr>
            <w:tcW w:w="731" w:type="pct"/>
            <w:shd w:val="clear" w:color="auto" w:fill="auto"/>
            <w:vAlign w:val="center"/>
            <w:hideMark/>
          </w:tcPr>
          <w:p w14:paraId="483BEC9E" w14:textId="77777777" w:rsidR="00647D0C" w:rsidRPr="00D3772B" w:rsidRDefault="00647D0C" w:rsidP="009D20AB">
            <w:pPr>
              <w:spacing w:line="240" w:lineRule="auto"/>
              <w:jc w:val="center"/>
              <w:rPr>
                <w:rFonts w:eastAsia="Calibri"/>
                <w:bCs/>
                <w:color w:val="000000"/>
                <w:szCs w:val="24"/>
              </w:rPr>
            </w:pPr>
            <w:r w:rsidRPr="00D3772B">
              <w:rPr>
                <w:color w:val="000000"/>
                <w:szCs w:val="24"/>
              </w:rPr>
              <w:t>2.</w:t>
            </w:r>
          </w:p>
        </w:tc>
        <w:tc>
          <w:tcPr>
            <w:tcW w:w="681" w:type="pct"/>
            <w:shd w:val="clear" w:color="auto" w:fill="auto"/>
            <w:vAlign w:val="center"/>
            <w:hideMark/>
          </w:tcPr>
          <w:p w14:paraId="3DF15765" w14:textId="77777777" w:rsidR="00647D0C" w:rsidRPr="00D3772B" w:rsidRDefault="00647D0C" w:rsidP="009D20AB">
            <w:pPr>
              <w:spacing w:line="240" w:lineRule="auto"/>
              <w:jc w:val="center"/>
              <w:rPr>
                <w:rFonts w:eastAsia="Calibri"/>
                <w:bCs/>
                <w:color w:val="000000"/>
                <w:szCs w:val="24"/>
              </w:rPr>
            </w:pPr>
            <w:r w:rsidRPr="00D3772B">
              <w:rPr>
                <w:color w:val="000000"/>
                <w:szCs w:val="24"/>
              </w:rPr>
              <w:t>3.</w:t>
            </w:r>
          </w:p>
        </w:tc>
        <w:tc>
          <w:tcPr>
            <w:tcW w:w="583" w:type="pct"/>
            <w:shd w:val="clear" w:color="auto" w:fill="auto"/>
            <w:vAlign w:val="center"/>
            <w:hideMark/>
          </w:tcPr>
          <w:p w14:paraId="6EB28A0A" w14:textId="77777777" w:rsidR="00647D0C" w:rsidRPr="00D3772B" w:rsidRDefault="00647D0C" w:rsidP="009D20AB">
            <w:pPr>
              <w:spacing w:line="240" w:lineRule="auto"/>
              <w:jc w:val="center"/>
              <w:rPr>
                <w:rFonts w:eastAsia="Calibri"/>
                <w:bCs/>
                <w:color w:val="000000"/>
                <w:szCs w:val="24"/>
              </w:rPr>
            </w:pPr>
            <w:r w:rsidRPr="00D3772B">
              <w:rPr>
                <w:color w:val="000000"/>
                <w:szCs w:val="24"/>
              </w:rPr>
              <w:t>4.</w:t>
            </w:r>
          </w:p>
        </w:tc>
        <w:tc>
          <w:tcPr>
            <w:tcW w:w="682" w:type="pct"/>
            <w:vAlign w:val="center"/>
          </w:tcPr>
          <w:p w14:paraId="5266A55B" w14:textId="77777777" w:rsidR="00647D0C" w:rsidRPr="00D3772B" w:rsidRDefault="00647D0C" w:rsidP="009D20AB">
            <w:pPr>
              <w:spacing w:line="240" w:lineRule="auto"/>
              <w:jc w:val="center"/>
              <w:rPr>
                <w:rFonts w:eastAsia="Calibri"/>
                <w:bCs/>
                <w:color w:val="000000"/>
                <w:szCs w:val="24"/>
              </w:rPr>
            </w:pPr>
            <w:r w:rsidRPr="00D3772B">
              <w:rPr>
                <w:color w:val="000000"/>
                <w:szCs w:val="24"/>
              </w:rPr>
              <w:t>5.</w:t>
            </w:r>
          </w:p>
        </w:tc>
        <w:tc>
          <w:tcPr>
            <w:tcW w:w="2081" w:type="pct"/>
            <w:shd w:val="clear" w:color="auto" w:fill="auto"/>
            <w:vAlign w:val="center"/>
            <w:hideMark/>
          </w:tcPr>
          <w:p w14:paraId="46E27A7C" w14:textId="77777777" w:rsidR="00647D0C" w:rsidRPr="00D3772B" w:rsidRDefault="00647D0C" w:rsidP="009D20AB">
            <w:pPr>
              <w:spacing w:line="240" w:lineRule="auto"/>
              <w:jc w:val="center"/>
              <w:rPr>
                <w:rFonts w:eastAsia="Calibri"/>
                <w:bCs/>
                <w:color w:val="000000"/>
                <w:szCs w:val="24"/>
              </w:rPr>
            </w:pPr>
            <w:r w:rsidRPr="00D3772B">
              <w:rPr>
                <w:color w:val="000000"/>
                <w:szCs w:val="24"/>
              </w:rPr>
              <w:t>6.</w:t>
            </w:r>
          </w:p>
        </w:tc>
      </w:tr>
      <w:tr w:rsidR="00647D0C" w:rsidRPr="00D3772B" w14:paraId="637F0303" w14:textId="77777777" w:rsidTr="00D3772B">
        <w:trPr>
          <w:trHeight w:val="705"/>
          <w:tblHeader/>
        </w:trPr>
        <w:tc>
          <w:tcPr>
            <w:tcW w:w="242" w:type="pct"/>
            <w:shd w:val="clear" w:color="auto" w:fill="auto"/>
            <w:vAlign w:val="center"/>
            <w:hideMark/>
          </w:tcPr>
          <w:p w14:paraId="038F2218" w14:textId="77777777" w:rsidR="00647D0C" w:rsidRPr="00D3772B" w:rsidRDefault="00647D0C" w:rsidP="009D20AB">
            <w:pPr>
              <w:spacing w:line="240" w:lineRule="auto"/>
              <w:jc w:val="center"/>
              <w:rPr>
                <w:rFonts w:eastAsia="Calibri"/>
                <w:bCs/>
                <w:color w:val="000000"/>
                <w:szCs w:val="24"/>
              </w:rPr>
            </w:pPr>
            <w:r w:rsidRPr="00D3772B">
              <w:rPr>
                <w:color w:val="000000"/>
                <w:szCs w:val="24"/>
              </w:rPr>
              <w:t>Nr. crt.</w:t>
            </w:r>
          </w:p>
        </w:tc>
        <w:tc>
          <w:tcPr>
            <w:tcW w:w="731" w:type="pct"/>
            <w:shd w:val="clear" w:color="auto" w:fill="auto"/>
            <w:vAlign w:val="center"/>
            <w:hideMark/>
          </w:tcPr>
          <w:p w14:paraId="251BB33C" w14:textId="77777777" w:rsidR="00647D0C" w:rsidRPr="00D3772B" w:rsidRDefault="00647D0C" w:rsidP="009D20AB">
            <w:pPr>
              <w:spacing w:line="240" w:lineRule="auto"/>
              <w:jc w:val="center"/>
              <w:rPr>
                <w:rFonts w:eastAsia="Calibri"/>
                <w:bCs/>
                <w:color w:val="000000"/>
                <w:szCs w:val="24"/>
              </w:rPr>
            </w:pPr>
            <w:r w:rsidRPr="00D3772B">
              <w:rPr>
                <w:color w:val="000000"/>
                <w:szCs w:val="24"/>
              </w:rPr>
              <w:t>Denumirea substanței</w:t>
            </w:r>
          </w:p>
        </w:tc>
        <w:tc>
          <w:tcPr>
            <w:tcW w:w="681" w:type="pct"/>
            <w:shd w:val="clear" w:color="auto" w:fill="auto"/>
            <w:vAlign w:val="center"/>
            <w:hideMark/>
          </w:tcPr>
          <w:p w14:paraId="32B7C756" w14:textId="77777777" w:rsidR="00647D0C" w:rsidRPr="00D3772B" w:rsidRDefault="00647D0C" w:rsidP="009D20AB">
            <w:pPr>
              <w:spacing w:line="240" w:lineRule="auto"/>
              <w:jc w:val="center"/>
              <w:rPr>
                <w:rFonts w:eastAsia="Calibri"/>
                <w:bCs/>
                <w:color w:val="000000"/>
                <w:szCs w:val="24"/>
              </w:rPr>
            </w:pPr>
            <w:r w:rsidRPr="00D3772B">
              <w:rPr>
                <w:color w:val="000000"/>
                <w:szCs w:val="24"/>
              </w:rPr>
              <w:t>Categoria de substanțe</w:t>
            </w:r>
          </w:p>
        </w:tc>
        <w:tc>
          <w:tcPr>
            <w:tcW w:w="583" w:type="pct"/>
            <w:shd w:val="clear" w:color="auto" w:fill="auto"/>
            <w:vAlign w:val="center"/>
            <w:hideMark/>
          </w:tcPr>
          <w:p w14:paraId="4F66ED1B" w14:textId="6D4B1C6B" w:rsidR="00647D0C" w:rsidRPr="00D3772B" w:rsidRDefault="00647D0C" w:rsidP="009D20AB">
            <w:pPr>
              <w:spacing w:line="240" w:lineRule="auto"/>
              <w:jc w:val="center"/>
              <w:rPr>
                <w:rFonts w:eastAsia="Calibri"/>
                <w:bCs/>
                <w:color w:val="000000"/>
                <w:szCs w:val="24"/>
              </w:rPr>
            </w:pPr>
            <w:r w:rsidRPr="00D3772B">
              <w:rPr>
                <w:szCs w:val="24"/>
              </w:rPr>
              <w:t>Numărul CAS</w:t>
            </w:r>
            <w:r w:rsidR="00D3772B">
              <w:rPr>
                <w:szCs w:val="24"/>
              </w:rPr>
              <w:t> </w:t>
            </w:r>
            <w:r w:rsidRPr="00D3772B">
              <w:rPr>
                <w:szCs w:val="24"/>
              </w:rPr>
              <w:t>(</w:t>
            </w:r>
            <w:r w:rsidRPr="00D3772B">
              <w:rPr>
                <w:b/>
                <w:bCs/>
                <w:szCs w:val="24"/>
                <w:vertAlign w:val="superscript"/>
              </w:rPr>
              <w:t>1</w:t>
            </w:r>
            <w:r w:rsidRPr="00D3772B">
              <w:rPr>
                <w:szCs w:val="24"/>
              </w:rPr>
              <w:t>)</w:t>
            </w:r>
          </w:p>
        </w:tc>
        <w:tc>
          <w:tcPr>
            <w:tcW w:w="682" w:type="pct"/>
            <w:vAlign w:val="center"/>
          </w:tcPr>
          <w:p w14:paraId="3AA30DDC" w14:textId="77777777" w:rsidR="00647D0C" w:rsidRPr="00D3772B" w:rsidRDefault="00647D0C" w:rsidP="009D20AB">
            <w:pPr>
              <w:spacing w:line="240" w:lineRule="auto"/>
              <w:jc w:val="center"/>
              <w:rPr>
                <w:rFonts w:eastAsia="Calibri"/>
                <w:bCs/>
                <w:szCs w:val="24"/>
              </w:rPr>
            </w:pPr>
            <w:r w:rsidRPr="00D3772B">
              <w:rPr>
                <w:szCs w:val="24"/>
              </w:rPr>
              <w:t>Numărul UE (</w:t>
            </w:r>
            <w:r w:rsidRPr="00D3772B">
              <w:rPr>
                <w:b/>
                <w:bCs/>
                <w:szCs w:val="24"/>
                <w:vertAlign w:val="superscript"/>
              </w:rPr>
              <w:t>2</w:t>
            </w:r>
            <w:r w:rsidRPr="00D3772B">
              <w:rPr>
                <w:szCs w:val="24"/>
              </w:rPr>
              <w:t>)</w:t>
            </w:r>
          </w:p>
        </w:tc>
        <w:tc>
          <w:tcPr>
            <w:tcW w:w="2081" w:type="pct"/>
            <w:shd w:val="clear" w:color="auto" w:fill="auto"/>
            <w:vAlign w:val="center"/>
            <w:hideMark/>
          </w:tcPr>
          <w:p w14:paraId="1C577DBA" w14:textId="77777777" w:rsidR="00647D0C" w:rsidRPr="00D3772B" w:rsidRDefault="00647D0C" w:rsidP="009D20AB">
            <w:pPr>
              <w:spacing w:line="240" w:lineRule="auto"/>
              <w:jc w:val="center"/>
              <w:rPr>
                <w:rFonts w:eastAsia="Calibri"/>
                <w:bCs/>
                <w:szCs w:val="24"/>
              </w:rPr>
            </w:pPr>
            <w:r w:rsidRPr="00D3772B">
              <w:rPr>
                <w:szCs w:val="24"/>
              </w:rPr>
              <w:t>Standard de calitate (</w:t>
            </w:r>
            <w:r w:rsidRPr="00D3772B">
              <w:rPr>
                <w:b/>
                <w:bCs/>
                <w:szCs w:val="24"/>
                <w:vertAlign w:val="superscript"/>
              </w:rPr>
              <w:t>3</w:t>
            </w:r>
            <w:r w:rsidRPr="00D3772B">
              <w:rPr>
                <w:szCs w:val="24"/>
              </w:rPr>
              <w:t>) [µg/l, dacă nu se indică altfel]</w:t>
            </w:r>
          </w:p>
        </w:tc>
      </w:tr>
      <w:tr w:rsidR="00647D0C" w:rsidRPr="00D3772B" w14:paraId="69D4773D" w14:textId="77777777" w:rsidTr="00D3772B">
        <w:trPr>
          <w:trHeight w:val="300"/>
        </w:trPr>
        <w:tc>
          <w:tcPr>
            <w:tcW w:w="242" w:type="pct"/>
            <w:shd w:val="clear" w:color="auto" w:fill="auto"/>
            <w:hideMark/>
          </w:tcPr>
          <w:p w14:paraId="1AA37E02" w14:textId="77777777" w:rsidR="00647D0C" w:rsidRPr="00D3772B" w:rsidRDefault="00647D0C" w:rsidP="009D20AB">
            <w:pPr>
              <w:spacing w:line="240" w:lineRule="auto"/>
              <w:rPr>
                <w:rFonts w:eastAsia="Calibri"/>
                <w:color w:val="000000"/>
                <w:szCs w:val="24"/>
              </w:rPr>
            </w:pPr>
            <w:r w:rsidRPr="00D3772B">
              <w:rPr>
                <w:color w:val="000000"/>
                <w:szCs w:val="24"/>
              </w:rPr>
              <w:t>1</w:t>
            </w:r>
          </w:p>
        </w:tc>
        <w:tc>
          <w:tcPr>
            <w:tcW w:w="731" w:type="pct"/>
            <w:shd w:val="clear" w:color="auto" w:fill="auto"/>
            <w:hideMark/>
          </w:tcPr>
          <w:p w14:paraId="0D25C621" w14:textId="77777777" w:rsidR="00647D0C" w:rsidRPr="00D3772B" w:rsidRDefault="00647D0C" w:rsidP="009D20AB">
            <w:pPr>
              <w:spacing w:line="240" w:lineRule="auto"/>
              <w:rPr>
                <w:rFonts w:eastAsia="Calibri"/>
                <w:color w:val="000000"/>
                <w:szCs w:val="24"/>
              </w:rPr>
            </w:pPr>
            <w:r w:rsidRPr="00D3772B">
              <w:rPr>
                <w:color w:val="000000"/>
                <w:szCs w:val="24"/>
              </w:rPr>
              <w:t>Nitrați</w:t>
            </w:r>
          </w:p>
        </w:tc>
        <w:tc>
          <w:tcPr>
            <w:tcW w:w="681" w:type="pct"/>
            <w:shd w:val="clear" w:color="auto" w:fill="auto"/>
            <w:noWrap/>
          </w:tcPr>
          <w:p w14:paraId="7D2EAAB0" w14:textId="77777777" w:rsidR="00647D0C" w:rsidRPr="00D3772B" w:rsidRDefault="00647D0C" w:rsidP="009D20AB">
            <w:pPr>
              <w:spacing w:line="240" w:lineRule="auto"/>
              <w:rPr>
                <w:rFonts w:eastAsia="Calibri"/>
                <w:color w:val="000000"/>
                <w:szCs w:val="24"/>
              </w:rPr>
            </w:pPr>
            <w:proofErr w:type="spellStart"/>
            <w:r w:rsidRPr="00D3772B">
              <w:rPr>
                <w:color w:val="000000"/>
                <w:szCs w:val="24"/>
              </w:rPr>
              <w:t>Nutrienți</w:t>
            </w:r>
            <w:proofErr w:type="spellEnd"/>
          </w:p>
        </w:tc>
        <w:tc>
          <w:tcPr>
            <w:tcW w:w="583" w:type="pct"/>
            <w:shd w:val="clear" w:color="auto" w:fill="auto"/>
            <w:noWrap/>
            <w:hideMark/>
          </w:tcPr>
          <w:p w14:paraId="025725D1" w14:textId="77777777" w:rsidR="00647D0C" w:rsidRPr="00D3772B" w:rsidRDefault="00647D0C" w:rsidP="009D20AB">
            <w:pPr>
              <w:spacing w:line="240" w:lineRule="auto"/>
              <w:rPr>
                <w:rFonts w:eastAsia="Calibri"/>
                <w:color w:val="000000"/>
                <w:szCs w:val="24"/>
              </w:rPr>
            </w:pPr>
            <w:r w:rsidRPr="00D3772B">
              <w:rPr>
                <w:color w:val="000000"/>
                <w:szCs w:val="24"/>
              </w:rPr>
              <w:t>Nu se aplică</w:t>
            </w:r>
          </w:p>
        </w:tc>
        <w:tc>
          <w:tcPr>
            <w:tcW w:w="682" w:type="pct"/>
          </w:tcPr>
          <w:p w14:paraId="64526A69" w14:textId="77777777" w:rsidR="00647D0C" w:rsidRPr="00D3772B" w:rsidRDefault="00647D0C" w:rsidP="009D20AB">
            <w:pPr>
              <w:spacing w:line="240" w:lineRule="auto"/>
              <w:rPr>
                <w:rFonts w:eastAsia="Calibri"/>
                <w:color w:val="000000"/>
                <w:szCs w:val="24"/>
              </w:rPr>
            </w:pPr>
            <w:r w:rsidRPr="00D3772B">
              <w:rPr>
                <w:color w:val="000000"/>
                <w:szCs w:val="24"/>
              </w:rPr>
              <w:t>Nu se aplică</w:t>
            </w:r>
          </w:p>
        </w:tc>
        <w:tc>
          <w:tcPr>
            <w:tcW w:w="2081" w:type="pct"/>
            <w:shd w:val="clear" w:color="auto" w:fill="auto"/>
            <w:noWrap/>
            <w:hideMark/>
          </w:tcPr>
          <w:p w14:paraId="48C933C9" w14:textId="77777777" w:rsidR="00647D0C" w:rsidRPr="00D3772B" w:rsidRDefault="00647D0C" w:rsidP="009D20AB">
            <w:pPr>
              <w:spacing w:line="240" w:lineRule="auto"/>
              <w:rPr>
                <w:rFonts w:eastAsia="Calibri"/>
                <w:color w:val="000000"/>
                <w:szCs w:val="24"/>
              </w:rPr>
            </w:pPr>
            <w:r w:rsidRPr="00D3772B">
              <w:rPr>
                <w:color w:val="000000"/>
                <w:szCs w:val="24"/>
              </w:rPr>
              <w:t>50 mg/l</w:t>
            </w:r>
          </w:p>
        </w:tc>
      </w:tr>
      <w:tr w:rsidR="00647D0C" w:rsidRPr="00D3772B" w14:paraId="11153080" w14:textId="77777777" w:rsidTr="00D3772B">
        <w:trPr>
          <w:trHeight w:val="1058"/>
        </w:trPr>
        <w:tc>
          <w:tcPr>
            <w:tcW w:w="242" w:type="pct"/>
            <w:vMerge w:val="restart"/>
            <w:shd w:val="clear" w:color="auto" w:fill="auto"/>
            <w:hideMark/>
          </w:tcPr>
          <w:p w14:paraId="16EF5B78" w14:textId="77777777" w:rsidR="00647D0C" w:rsidRPr="00D3772B" w:rsidRDefault="00647D0C" w:rsidP="009D20AB">
            <w:pPr>
              <w:spacing w:line="240" w:lineRule="auto"/>
              <w:rPr>
                <w:rFonts w:eastAsia="Calibri"/>
                <w:color w:val="000000"/>
                <w:szCs w:val="24"/>
              </w:rPr>
            </w:pPr>
            <w:r w:rsidRPr="00D3772B">
              <w:rPr>
                <w:color w:val="000000"/>
                <w:szCs w:val="24"/>
              </w:rPr>
              <w:t>2</w:t>
            </w:r>
          </w:p>
        </w:tc>
        <w:tc>
          <w:tcPr>
            <w:tcW w:w="731" w:type="pct"/>
            <w:vMerge w:val="restart"/>
            <w:shd w:val="clear" w:color="auto" w:fill="auto"/>
            <w:hideMark/>
          </w:tcPr>
          <w:p w14:paraId="7794CB2E" w14:textId="77777777" w:rsidR="00647D0C" w:rsidRPr="00D3772B" w:rsidRDefault="00647D0C" w:rsidP="009D20AB">
            <w:pPr>
              <w:spacing w:line="240" w:lineRule="auto"/>
              <w:rPr>
                <w:rFonts w:eastAsia="Calibri"/>
                <w:color w:val="000000"/>
                <w:szCs w:val="24"/>
              </w:rPr>
            </w:pPr>
            <w:r w:rsidRPr="00D3772B">
              <w:rPr>
                <w:szCs w:val="24"/>
              </w:rPr>
              <w:t>Substanțe active din pesticide, inclusiv metaboliții, produșii de degradare și produșii de reacție relevanți (</w:t>
            </w:r>
            <w:r w:rsidRPr="00D3772B">
              <w:rPr>
                <w:b/>
                <w:bCs/>
                <w:szCs w:val="24"/>
                <w:vertAlign w:val="superscript"/>
              </w:rPr>
              <w:t>4</w:t>
            </w:r>
            <w:r w:rsidRPr="00D3772B">
              <w:rPr>
                <w:szCs w:val="24"/>
              </w:rPr>
              <w:t>)</w:t>
            </w:r>
          </w:p>
        </w:tc>
        <w:tc>
          <w:tcPr>
            <w:tcW w:w="681" w:type="pct"/>
            <w:vMerge w:val="restart"/>
            <w:shd w:val="clear" w:color="auto" w:fill="auto"/>
            <w:noWrap/>
            <w:hideMark/>
          </w:tcPr>
          <w:p w14:paraId="22439395" w14:textId="77777777" w:rsidR="00647D0C" w:rsidRPr="00D3772B" w:rsidRDefault="00647D0C" w:rsidP="009D20AB">
            <w:pPr>
              <w:spacing w:line="240" w:lineRule="auto"/>
              <w:rPr>
                <w:rFonts w:eastAsia="Calibri"/>
                <w:color w:val="000000"/>
                <w:szCs w:val="24"/>
              </w:rPr>
            </w:pPr>
            <w:r w:rsidRPr="00D3772B">
              <w:rPr>
                <w:color w:val="000000"/>
                <w:szCs w:val="24"/>
              </w:rPr>
              <w:t>Pesticide</w:t>
            </w:r>
          </w:p>
        </w:tc>
        <w:tc>
          <w:tcPr>
            <w:tcW w:w="583" w:type="pct"/>
            <w:vMerge w:val="restart"/>
            <w:shd w:val="clear" w:color="auto" w:fill="auto"/>
            <w:noWrap/>
            <w:hideMark/>
          </w:tcPr>
          <w:p w14:paraId="158175F3" w14:textId="77777777" w:rsidR="00647D0C" w:rsidRPr="00D3772B" w:rsidRDefault="00647D0C" w:rsidP="009D20AB">
            <w:pPr>
              <w:spacing w:line="240" w:lineRule="auto"/>
              <w:rPr>
                <w:rFonts w:eastAsia="Calibri"/>
                <w:color w:val="000000"/>
                <w:szCs w:val="24"/>
              </w:rPr>
            </w:pPr>
            <w:r w:rsidRPr="00D3772B">
              <w:rPr>
                <w:color w:val="000000"/>
                <w:szCs w:val="24"/>
              </w:rPr>
              <w:t>Nu se aplică</w:t>
            </w:r>
          </w:p>
        </w:tc>
        <w:tc>
          <w:tcPr>
            <w:tcW w:w="682" w:type="pct"/>
            <w:vMerge w:val="restart"/>
          </w:tcPr>
          <w:p w14:paraId="2296B54F" w14:textId="77777777" w:rsidR="00647D0C" w:rsidRPr="00D3772B" w:rsidRDefault="00647D0C" w:rsidP="009D20AB">
            <w:pPr>
              <w:spacing w:line="240" w:lineRule="auto"/>
              <w:rPr>
                <w:rFonts w:eastAsia="Calibri"/>
                <w:color w:val="000000"/>
                <w:szCs w:val="24"/>
              </w:rPr>
            </w:pPr>
            <w:r w:rsidRPr="00D3772B">
              <w:rPr>
                <w:color w:val="000000"/>
                <w:szCs w:val="24"/>
              </w:rPr>
              <w:t>Nu se aplică</w:t>
            </w:r>
          </w:p>
        </w:tc>
        <w:tc>
          <w:tcPr>
            <w:tcW w:w="2081" w:type="pct"/>
            <w:shd w:val="clear" w:color="auto" w:fill="auto"/>
            <w:hideMark/>
          </w:tcPr>
          <w:p w14:paraId="0AB65CDD" w14:textId="77777777" w:rsidR="00647D0C" w:rsidRPr="00D3772B" w:rsidRDefault="00647D0C" w:rsidP="009D20AB">
            <w:pPr>
              <w:spacing w:line="240" w:lineRule="auto"/>
              <w:rPr>
                <w:rFonts w:eastAsia="Calibri"/>
                <w:color w:val="000000"/>
                <w:szCs w:val="24"/>
              </w:rPr>
            </w:pPr>
            <w:r w:rsidRPr="00D3772B">
              <w:rPr>
                <w:color w:val="000000"/>
                <w:szCs w:val="24"/>
              </w:rPr>
              <w:t>0,1 (individual)</w:t>
            </w:r>
          </w:p>
        </w:tc>
      </w:tr>
      <w:tr w:rsidR="00647D0C" w:rsidRPr="00D3772B" w14:paraId="0569BBE3" w14:textId="77777777" w:rsidTr="00D3772B">
        <w:trPr>
          <w:trHeight w:val="1058"/>
        </w:trPr>
        <w:tc>
          <w:tcPr>
            <w:tcW w:w="242" w:type="pct"/>
            <w:vMerge/>
            <w:shd w:val="clear" w:color="auto" w:fill="auto"/>
          </w:tcPr>
          <w:p w14:paraId="74F26A66" w14:textId="77777777" w:rsidR="00647D0C" w:rsidRPr="00D3772B" w:rsidRDefault="00647D0C" w:rsidP="009D20AB">
            <w:pPr>
              <w:spacing w:line="240" w:lineRule="auto"/>
              <w:rPr>
                <w:rFonts w:eastAsia="Calibri"/>
                <w:color w:val="000000"/>
                <w:szCs w:val="24"/>
              </w:rPr>
            </w:pPr>
          </w:p>
        </w:tc>
        <w:tc>
          <w:tcPr>
            <w:tcW w:w="731" w:type="pct"/>
            <w:vMerge/>
            <w:shd w:val="clear" w:color="auto" w:fill="auto"/>
          </w:tcPr>
          <w:p w14:paraId="12E8CB56" w14:textId="77777777" w:rsidR="00647D0C" w:rsidRPr="00D3772B" w:rsidRDefault="00647D0C" w:rsidP="009D20AB">
            <w:pPr>
              <w:spacing w:line="240" w:lineRule="auto"/>
              <w:rPr>
                <w:rFonts w:eastAsia="Calibri"/>
                <w:color w:val="000000"/>
                <w:szCs w:val="24"/>
              </w:rPr>
            </w:pPr>
          </w:p>
        </w:tc>
        <w:tc>
          <w:tcPr>
            <w:tcW w:w="681" w:type="pct"/>
            <w:vMerge/>
            <w:shd w:val="clear" w:color="auto" w:fill="auto"/>
            <w:noWrap/>
          </w:tcPr>
          <w:p w14:paraId="07CD5486" w14:textId="77777777" w:rsidR="00647D0C" w:rsidRPr="00D3772B" w:rsidRDefault="00647D0C" w:rsidP="009D20AB">
            <w:pPr>
              <w:spacing w:line="240" w:lineRule="auto"/>
              <w:rPr>
                <w:rFonts w:eastAsia="Calibri"/>
                <w:color w:val="000000"/>
                <w:szCs w:val="24"/>
              </w:rPr>
            </w:pPr>
          </w:p>
        </w:tc>
        <w:tc>
          <w:tcPr>
            <w:tcW w:w="583" w:type="pct"/>
            <w:vMerge/>
            <w:shd w:val="clear" w:color="auto" w:fill="auto"/>
            <w:noWrap/>
          </w:tcPr>
          <w:p w14:paraId="6B304795" w14:textId="77777777" w:rsidR="00647D0C" w:rsidRPr="00D3772B" w:rsidRDefault="00647D0C" w:rsidP="009D20AB">
            <w:pPr>
              <w:spacing w:line="240" w:lineRule="auto"/>
              <w:rPr>
                <w:rFonts w:eastAsia="Calibri"/>
                <w:color w:val="000000"/>
                <w:szCs w:val="24"/>
              </w:rPr>
            </w:pPr>
          </w:p>
        </w:tc>
        <w:tc>
          <w:tcPr>
            <w:tcW w:w="682" w:type="pct"/>
            <w:vMerge/>
          </w:tcPr>
          <w:p w14:paraId="36371418" w14:textId="77777777" w:rsidR="00647D0C" w:rsidRPr="00D3772B" w:rsidRDefault="00647D0C" w:rsidP="009D20AB">
            <w:pPr>
              <w:spacing w:line="240" w:lineRule="auto"/>
              <w:rPr>
                <w:rFonts w:eastAsia="Calibri"/>
                <w:color w:val="000000"/>
                <w:szCs w:val="24"/>
              </w:rPr>
            </w:pPr>
          </w:p>
        </w:tc>
        <w:tc>
          <w:tcPr>
            <w:tcW w:w="2081" w:type="pct"/>
            <w:shd w:val="clear" w:color="auto" w:fill="auto"/>
          </w:tcPr>
          <w:p w14:paraId="7A0AA505" w14:textId="77777777" w:rsidR="00647D0C" w:rsidRPr="00D3772B" w:rsidRDefault="00647D0C" w:rsidP="009D20AB">
            <w:pPr>
              <w:spacing w:line="240" w:lineRule="auto"/>
              <w:rPr>
                <w:rFonts w:eastAsia="Calibri"/>
                <w:color w:val="000000"/>
                <w:szCs w:val="24"/>
              </w:rPr>
            </w:pPr>
            <w:r w:rsidRPr="00D3772B">
              <w:rPr>
                <w:szCs w:val="24"/>
              </w:rPr>
              <w:t>0,5 (total) (</w:t>
            </w:r>
            <w:r w:rsidRPr="00D3772B">
              <w:rPr>
                <w:b/>
                <w:bCs/>
                <w:szCs w:val="24"/>
                <w:vertAlign w:val="superscript"/>
              </w:rPr>
              <w:t>5</w:t>
            </w:r>
            <w:r w:rsidRPr="00D3772B">
              <w:rPr>
                <w:szCs w:val="24"/>
              </w:rPr>
              <w:t>)</w:t>
            </w:r>
          </w:p>
        </w:tc>
      </w:tr>
      <w:tr w:rsidR="00647D0C" w:rsidRPr="00D3772B" w14:paraId="3CA00F8A" w14:textId="77777777" w:rsidTr="00D3772B">
        <w:trPr>
          <w:trHeight w:val="300"/>
        </w:trPr>
        <w:tc>
          <w:tcPr>
            <w:tcW w:w="242" w:type="pct"/>
            <w:shd w:val="clear" w:color="auto" w:fill="auto"/>
          </w:tcPr>
          <w:p w14:paraId="4459ABBC" w14:textId="77777777" w:rsidR="00647D0C" w:rsidRPr="00D3772B" w:rsidRDefault="00647D0C" w:rsidP="00647D0C">
            <w:pPr>
              <w:spacing w:line="240" w:lineRule="auto"/>
              <w:rPr>
                <w:rFonts w:eastAsia="Calibri"/>
                <w:color w:val="000000"/>
                <w:szCs w:val="24"/>
              </w:rPr>
            </w:pPr>
            <w:r w:rsidRPr="00D3772B">
              <w:rPr>
                <w:color w:val="000000"/>
                <w:szCs w:val="24"/>
              </w:rPr>
              <w:t>3</w:t>
            </w:r>
          </w:p>
        </w:tc>
        <w:tc>
          <w:tcPr>
            <w:tcW w:w="731" w:type="pct"/>
            <w:shd w:val="clear" w:color="auto" w:fill="auto"/>
          </w:tcPr>
          <w:p w14:paraId="3F1E34F2" w14:textId="77777777" w:rsidR="00647D0C" w:rsidRPr="00D3772B" w:rsidRDefault="00647D0C" w:rsidP="009D20AB">
            <w:pPr>
              <w:spacing w:line="240" w:lineRule="auto"/>
              <w:rPr>
                <w:rFonts w:eastAsia="Calibri"/>
                <w:color w:val="000000"/>
                <w:szCs w:val="24"/>
              </w:rPr>
            </w:pPr>
            <w:r w:rsidRPr="00D3772B">
              <w:rPr>
                <w:color w:val="000000"/>
                <w:szCs w:val="24"/>
              </w:rPr>
              <w:t>PFAS</w:t>
            </w:r>
          </w:p>
        </w:tc>
        <w:tc>
          <w:tcPr>
            <w:tcW w:w="681" w:type="pct"/>
            <w:shd w:val="clear" w:color="auto" w:fill="auto"/>
            <w:noWrap/>
          </w:tcPr>
          <w:p w14:paraId="04E2061A" w14:textId="77777777" w:rsidR="00647D0C" w:rsidRPr="00D3772B" w:rsidRDefault="00647D0C" w:rsidP="009D20AB">
            <w:pPr>
              <w:spacing w:line="240" w:lineRule="auto"/>
              <w:rPr>
                <w:rFonts w:eastAsia="Calibri"/>
                <w:color w:val="000000"/>
                <w:szCs w:val="24"/>
              </w:rPr>
            </w:pPr>
          </w:p>
        </w:tc>
        <w:tc>
          <w:tcPr>
            <w:tcW w:w="583" w:type="pct"/>
            <w:shd w:val="clear" w:color="auto" w:fill="auto"/>
            <w:noWrap/>
          </w:tcPr>
          <w:p w14:paraId="6E10D348" w14:textId="77777777" w:rsidR="00647D0C" w:rsidRPr="00D3772B" w:rsidRDefault="00647D0C" w:rsidP="009D20AB">
            <w:pPr>
              <w:spacing w:line="240" w:lineRule="auto"/>
              <w:rPr>
                <w:rFonts w:eastAsia="Calibri"/>
                <w:color w:val="000000"/>
                <w:szCs w:val="24"/>
              </w:rPr>
            </w:pPr>
          </w:p>
        </w:tc>
        <w:tc>
          <w:tcPr>
            <w:tcW w:w="682" w:type="pct"/>
          </w:tcPr>
          <w:p w14:paraId="16866812" w14:textId="77777777" w:rsidR="00647D0C" w:rsidRPr="00D3772B" w:rsidRDefault="00647D0C" w:rsidP="009D20AB">
            <w:pPr>
              <w:spacing w:line="240" w:lineRule="auto"/>
              <w:rPr>
                <w:rFonts w:eastAsia="Calibri"/>
                <w:color w:val="000000"/>
                <w:szCs w:val="24"/>
              </w:rPr>
            </w:pPr>
          </w:p>
        </w:tc>
        <w:tc>
          <w:tcPr>
            <w:tcW w:w="2081" w:type="pct"/>
            <w:shd w:val="clear" w:color="auto" w:fill="auto"/>
            <w:noWrap/>
          </w:tcPr>
          <w:p w14:paraId="3D533835" w14:textId="77777777" w:rsidR="00647D0C" w:rsidRPr="00D3772B" w:rsidRDefault="00647D0C" w:rsidP="009D20AB">
            <w:pPr>
              <w:spacing w:line="240" w:lineRule="auto"/>
              <w:rPr>
                <w:rFonts w:eastAsia="Calibri"/>
                <w:color w:val="000000"/>
                <w:szCs w:val="24"/>
              </w:rPr>
            </w:pPr>
          </w:p>
        </w:tc>
      </w:tr>
      <w:tr w:rsidR="00647D0C" w:rsidRPr="00D3772B" w14:paraId="1AEF0951" w14:textId="77777777" w:rsidTr="00D3772B">
        <w:trPr>
          <w:trHeight w:val="300"/>
        </w:trPr>
        <w:tc>
          <w:tcPr>
            <w:tcW w:w="242" w:type="pct"/>
            <w:shd w:val="clear" w:color="auto" w:fill="auto"/>
            <w:hideMark/>
          </w:tcPr>
          <w:p w14:paraId="6380E325" w14:textId="77777777" w:rsidR="00647D0C" w:rsidRPr="00D3772B" w:rsidRDefault="00647D0C" w:rsidP="009D20AB">
            <w:pPr>
              <w:spacing w:line="240" w:lineRule="auto"/>
              <w:rPr>
                <w:rFonts w:eastAsia="Calibri"/>
                <w:color w:val="000000"/>
                <w:szCs w:val="24"/>
              </w:rPr>
            </w:pPr>
            <w:r w:rsidRPr="00D3772B">
              <w:rPr>
                <w:color w:val="000000"/>
                <w:szCs w:val="24"/>
              </w:rPr>
              <w:t>3.1</w:t>
            </w:r>
          </w:p>
        </w:tc>
        <w:tc>
          <w:tcPr>
            <w:tcW w:w="731" w:type="pct"/>
            <w:shd w:val="clear" w:color="auto" w:fill="auto"/>
            <w:hideMark/>
          </w:tcPr>
          <w:p w14:paraId="6296DD41" w14:textId="77777777" w:rsidR="00647D0C" w:rsidRPr="00D3772B" w:rsidRDefault="00647D0C" w:rsidP="009D20AB">
            <w:pPr>
              <w:spacing w:line="240" w:lineRule="auto"/>
              <w:rPr>
                <w:rFonts w:eastAsia="Calibri"/>
                <w:color w:val="000000"/>
                <w:szCs w:val="24"/>
              </w:rPr>
            </w:pPr>
            <w:r w:rsidRPr="00D3772B">
              <w:rPr>
                <w:color w:val="000000"/>
                <w:szCs w:val="24"/>
              </w:rPr>
              <w:t>Suma PFAS</w:t>
            </w:r>
          </w:p>
        </w:tc>
        <w:tc>
          <w:tcPr>
            <w:tcW w:w="681" w:type="pct"/>
            <w:shd w:val="clear" w:color="auto" w:fill="auto"/>
            <w:noWrap/>
            <w:hideMark/>
          </w:tcPr>
          <w:p w14:paraId="50B2E625" w14:textId="77777777" w:rsidR="00647D0C" w:rsidRPr="00D3772B" w:rsidRDefault="00647D0C" w:rsidP="009D20AB">
            <w:pPr>
              <w:spacing w:line="240" w:lineRule="auto"/>
              <w:rPr>
                <w:rFonts w:eastAsia="Calibri"/>
                <w:color w:val="000000"/>
                <w:szCs w:val="24"/>
              </w:rPr>
            </w:pPr>
            <w:r w:rsidRPr="00D3772B">
              <w:rPr>
                <w:color w:val="000000"/>
                <w:szCs w:val="24"/>
              </w:rPr>
              <w:t>Substanțe industriale</w:t>
            </w:r>
          </w:p>
        </w:tc>
        <w:tc>
          <w:tcPr>
            <w:tcW w:w="583" w:type="pct"/>
            <w:shd w:val="clear" w:color="auto" w:fill="auto"/>
            <w:noWrap/>
            <w:hideMark/>
          </w:tcPr>
          <w:p w14:paraId="7A3409FB" w14:textId="77777777" w:rsidR="00647D0C" w:rsidRPr="00D3772B" w:rsidRDefault="00647D0C" w:rsidP="009D20AB">
            <w:pPr>
              <w:spacing w:line="240" w:lineRule="auto"/>
              <w:rPr>
                <w:rFonts w:eastAsia="Calibri"/>
                <w:color w:val="000000"/>
                <w:szCs w:val="24"/>
              </w:rPr>
            </w:pPr>
            <w:r w:rsidRPr="00D3772B">
              <w:rPr>
                <w:color w:val="000000"/>
                <w:szCs w:val="24"/>
              </w:rPr>
              <w:t>A se vedea nota de tabel 6</w:t>
            </w:r>
          </w:p>
        </w:tc>
        <w:tc>
          <w:tcPr>
            <w:tcW w:w="682" w:type="pct"/>
          </w:tcPr>
          <w:p w14:paraId="396FDBA5" w14:textId="77777777" w:rsidR="00647D0C" w:rsidRPr="00D3772B" w:rsidRDefault="00647D0C" w:rsidP="009D20AB">
            <w:pPr>
              <w:spacing w:line="240" w:lineRule="auto"/>
              <w:rPr>
                <w:rFonts w:eastAsia="Calibri"/>
                <w:color w:val="000000"/>
                <w:szCs w:val="24"/>
              </w:rPr>
            </w:pPr>
            <w:r w:rsidRPr="00D3772B">
              <w:rPr>
                <w:color w:val="000000"/>
                <w:szCs w:val="24"/>
              </w:rPr>
              <w:t>A se vedea nota de tabel 6</w:t>
            </w:r>
          </w:p>
        </w:tc>
        <w:tc>
          <w:tcPr>
            <w:tcW w:w="2081" w:type="pct"/>
            <w:shd w:val="clear" w:color="auto" w:fill="auto"/>
            <w:noWrap/>
            <w:hideMark/>
          </w:tcPr>
          <w:p w14:paraId="134A0D5B" w14:textId="13D780EC" w:rsidR="00647D0C" w:rsidRPr="00D3772B" w:rsidRDefault="00647D0C" w:rsidP="009D20AB">
            <w:pPr>
              <w:spacing w:line="240" w:lineRule="auto"/>
              <w:rPr>
                <w:rFonts w:eastAsia="Calibri"/>
                <w:color w:val="000000"/>
                <w:szCs w:val="24"/>
              </w:rPr>
            </w:pPr>
            <w:r w:rsidRPr="00D3772B">
              <w:rPr>
                <w:szCs w:val="24"/>
              </w:rPr>
              <w:t>Parametrul valoric astfel cum este definit în partea B din anexa I la Directiva (UE) 2020/2184 (</w:t>
            </w:r>
            <w:r w:rsidRPr="00D3772B">
              <w:rPr>
                <w:b/>
                <w:bCs/>
                <w:szCs w:val="24"/>
                <w:vertAlign w:val="superscript"/>
              </w:rPr>
              <w:t>6</w:t>
            </w:r>
            <w:r w:rsidRPr="00D3772B">
              <w:rPr>
                <w:szCs w:val="24"/>
              </w:rPr>
              <w:t>)</w:t>
            </w:r>
          </w:p>
        </w:tc>
      </w:tr>
      <w:tr w:rsidR="00647D0C" w:rsidRPr="00D3772B" w14:paraId="380EFA3B" w14:textId="77777777" w:rsidTr="00D3772B">
        <w:trPr>
          <w:trHeight w:val="300"/>
        </w:trPr>
        <w:tc>
          <w:tcPr>
            <w:tcW w:w="242" w:type="pct"/>
            <w:shd w:val="clear" w:color="auto" w:fill="auto"/>
          </w:tcPr>
          <w:p w14:paraId="5F45372D" w14:textId="77777777" w:rsidR="00647D0C" w:rsidRPr="00D3772B" w:rsidRDefault="00647D0C" w:rsidP="009D20AB">
            <w:pPr>
              <w:spacing w:line="240" w:lineRule="auto"/>
              <w:rPr>
                <w:rFonts w:eastAsia="Calibri"/>
                <w:color w:val="000000"/>
                <w:szCs w:val="24"/>
              </w:rPr>
            </w:pPr>
            <w:r w:rsidRPr="00D3772B">
              <w:rPr>
                <w:color w:val="000000"/>
                <w:szCs w:val="24"/>
              </w:rPr>
              <w:t>3.2</w:t>
            </w:r>
          </w:p>
        </w:tc>
        <w:tc>
          <w:tcPr>
            <w:tcW w:w="731" w:type="pct"/>
            <w:shd w:val="clear" w:color="auto" w:fill="auto"/>
          </w:tcPr>
          <w:p w14:paraId="7D628F83" w14:textId="77777777" w:rsidR="00647D0C" w:rsidRPr="00D3772B" w:rsidRDefault="00647D0C" w:rsidP="009D20AB">
            <w:pPr>
              <w:pBdr>
                <w:top w:val="none" w:sz="4" w:space="0" w:color="000000"/>
                <w:left w:val="none" w:sz="4" w:space="0" w:color="000000"/>
                <w:bottom w:val="none" w:sz="4" w:space="0" w:color="000000"/>
                <w:right w:val="none" w:sz="4" w:space="0" w:color="000000"/>
                <w:between w:val="none" w:sz="4" w:space="0" w:color="000000"/>
              </w:pBdr>
              <w:spacing w:before="0" w:after="0"/>
              <w:rPr>
                <w:rFonts w:eastAsia="Calibri"/>
                <w:color w:val="000000"/>
                <w:szCs w:val="24"/>
              </w:rPr>
            </w:pPr>
            <w:r w:rsidRPr="00D3772B">
              <w:rPr>
                <w:color w:val="000000"/>
                <w:szCs w:val="24"/>
              </w:rPr>
              <w:t>Suma a 4 PFAS (</w:t>
            </w:r>
            <w:r w:rsidRPr="00D3772B">
              <w:rPr>
                <w:b/>
                <w:bCs/>
                <w:color w:val="000000"/>
                <w:szCs w:val="24"/>
                <w:vertAlign w:val="superscript"/>
              </w:rPr>
              <w:t>7</w:t>
            </w:r>
            <w:r w:rsidRPr="00D3772B">
              <w:rPr>
                <w:color w:val="000000"/>
                <w:szCs w:val="24"/>
              </w:rPr>
              <w:t>)</w:t>
            </w:r>
          </w:p>
        </w:tc>
        <w:tc>
          <w:tcPr>
            <w:tcW w:w="681" w:type="pct"/>
            <w:shd w:val="clear" w:color="auto" w:fill="auto"/>
            <w:noWrap/>
          </w:tcPr>
          <w:p w14:paraId="49289072" w14:textId="77777777" w:rsidR="00647D0C" w:rsidRPr="00D3772B" w:rsidRDefault="00647D0C" w:rsidP="009D20AB">
            <w:pPr>
              <w:spacing w:line="240" w:lineRule="auto"/>
              <w:rPr>
                <w:rFonts w:eastAsia="Calibri"/>
                <w:color w:val="000000"/>
                <w:szCs w:val="24"/>
              </w:rPr>
            </w:pPr>
            <w:r w:rsidRPr="00D3772B">
              <w:rPr>
                <w:color w:val="000000"/>
                <w:szCs w:val="24"/>
              </w:rPr>
              <w:t>Substanțe industriale</w:t>
            </w:r>
          </w:p>
        </w:tc>
        <w:tc>
          <w:tcPr>
            <w:tcW w:w="583" w:type="pct"/>
            <w:shd w:val="clear" w:color="auto" w:fill="auto"/>
            <w:noWrap/>
          </w:tcPr>
          <w:p w14:paraId="343A48FF" w14:textId="77777777" w:rsidR="00647D0C" w:rsidRPr="00D3772B" w:rsidRDefault="00647D0C" w:rsidP="009D20AB">
            <w:pPr>
              <w:spacing w:line="240" w:lineRule="auto"/>
              <w:rPr>
                <w:rFonts w:eastAsia="Calibri"/>
                <w:color w:val="000000"/>
                <w:szCs w:val="24"/>
              </w:rPr>
            </w:pPr>
            <w:r w:rsidRPr="00D3772B">
              <w:rPr>
                <w:color w:val="000000"/>
                <w:szCs w:val="24"/>
              </w:rPr>
              <w:t>A se vedea nota de tabel 7</w:t>
            </w:r>
          </w:p>
        </w:tc>
        <w:tc>
          <w:tcPr>
            <w:tcW w:w="682" w:type="pct"/>
          </w:tcPr>
          <w:p w14:paraId="3B0F2179" w14:textId="77777777" w:rsidR="00647D0C" w:rsidRPr="00D3772B" w:rsidRDefault="00647D0C" w:rsidP="009D20AB">
            <w:pPr>
              <w:spacing w:line="240" w:lineRule="auto"/>
              <w:rPr>
                <w:rFonts w:eastAsia="Calibri"/>
                <w:color w:val="000000"/>
                <w:szCs w:val="24"/>
              </w:rPr>
            </w:pPr>
            <w:r w:rsidRPr="00D3772B">
              <w:rPr>
                <w:color w:val="000000"/>
                <w:szCs w:val="24"/>
              </w:rPr>
              <w:t>A se vedea nota de tabel 7</w:t>
            </w:r>
          </w:p>
        </w:tc>
        <w:tc>
          <w:tcPr>
            <w:tcW w:w="2081" w:type="pct"/>
            <w:shd w:val="clear" w:color="auto" w:fill="auto"/>
            <w:noWrap/>
          </w:tcPr>
          <w:p w14:paraId="4E83F9B2" w14:textId="758E2E07" w:rsidR="00647D0C" w:rsidRPr="00D3772B" w:rsidRDefault="00647D0C" w:rsidP="009D20AB">
            <w:pPr>
              <w:pBdr>
                <w:top w:val="none" w:sz="4" w:space="0" w:color="000000"/>
                <w:left w:val="none" w:sz="4" w:space="0" w:color="000000"/>
                <w:bottom w:val="none" w:sz="4" w:space="0" w:color="000000"/>
                <w:right w:val="none" w:sz="4" w:space="0" w:color="000000"/>
                <w:between w:val="none" w:sz="4" w:space="0" w:color="000000"/>
              </w:pBdr>
              <w:spacing w:before="0" w:after="0"/>
              <w:rPr>
                <w:rFonts w:eastAsia="Calibri"/>
                <w:strike/>
                <w:color w:val="000000"/>
                <w:szCs w:val="24"/>
              </w:rPr>
            </w:pPr>
            <w:r w:rsidRPr="00D3772B">
              <w:rPr>
                <w:color w:val="000000"/>
                <w:szCs w:val="24"/>
              </w:rPr>
              <w:t>0,0044</w:t>
            </w:r>
            <w:r w:rsidR="00D3772B">
              <w:rPr>
                <w:color w:val="000000"/>
                <w:szCs w:val="24"/>
              </w:rPr>
              <w:t xml:space="preserve"> </w:t>
            </w:r>
            <w:r w:rsidRPr="00D3772B">
              <w:rPr>
                <w:color w:val="000000"/>
                <w:szCs w:val="24"/>
              </w:rPr>
              <w:t>(</w:t>
            </w:r>
            <w:r w:rsidRPr="00D3772B">
              <w:rPr>
                <w:b/>
                <w:bCs/>
                <w:color w:val="000000"/>
                <w:szCs w:val="24"/>
                <w:vertAlign w:val="superscript"/>
              </w:rPr>
              <w:t>7</w:t>
            </w:r>
            <w:r w:rsidRPr="00D3772B">
              <w:rPr>
                <w:color w:val="000000"/>
                <w:szCs w:val="24"/>
              </w:rPr>
              <w:t>)</w:t>
            </w:r>
          </w:p>
        </w:tc>
      </w:tr>
      <w:tr w:rsidR="00647D0C" w:rsidRPr="00D3772B" w14:paraId="003D224D" w14:textId="77777777" w:rsidTr="00D3772B">
        <w:trPr>
          <w:trHeight w:val="300"/>
        </w:trPr>
        <w:tc>
          <w:tcPr>
            <w:tcW w:w="242" w:type="pct"/>
            <w:shd w:val="clear" w:color="auto" w:fill="auto"/>
            <w:hideMark/>
          </w:tcPr>
          <w:p w14:paraId="31A277BC" w14:textId="77777777" w:rsidR="00647D0C" w:rsidRPr="00D3772B" w:rsidRDefault="00647D0C" w:rsidP="00647D0C">
            <w:pPr>
              <w:pageBreakBefore/>
              <w:spacing w:line="240" w:lineRule="auto"/>
              <w:rPr>
                <w:rFonts w:eastAsia="Calibri"/>
                <w:color w:val="000000"/>
                <w:szCs w:val="24"/>
              </w:rPr>
            </w:pPr>
            <w:r w:rsidRPr="00D3772B">
              <w:rPr>
                <w:color w:val="000000"/>
                <w:szCs w:val="24"/>
              </w:rPr>
              <w:lastRenderedPageBreak/>
              <w:t>4</w:t>
            </w:r>
          </w:p>
        </w:tc>
        <w:tc>
          <w:tcPr>
            <w:tcW w:w="731" w:type="pct"/>
            <w:shd w:val="clear" w:color="auto" w:fill="auto"/>
            <w:hideMark/>
          </w:tcPr>
          <w:p w14:paraId="40D83A05" w14:textId="77777777" w:rsidR="00647D0C" w:rsidRPr="00D3772B" w:rsidRDefault="00647D0C" w:rsidP="009D20AB">
            <w:pPr>
              <w:spacing w:line="240" w:lineRule="auto"/>
              <w:rPr>
                <w:rFonts w:eastAsia="Calibri"/>
                <w:color w:val="000000"/>
                <w:szCs w:val="24"/>
              </w:rPr>
            </w:pPr>
            <w:proofErr w:type="spellStart"/>
            <w:r w:rsidRPr="00D3772B">
              <w:rPr>
                <w:color w:val="000000"/>
                <w:szCs w:val="24"/>
              </w:rPr>
              <w:t>Carbamazepină</w:t>
            </w:r>
            <w:proofErr w:type="spellEnd"/>
          </w:p>
        </w:tc>
        <w:tc>
          <w:tcPr>
            <w:tcW w:w="681" w:type="pct"/>
            <w:shd w:val="clear" w:color="auto" w:fill="auto"/>
            <w:noWrap/>
            <w:hideMark/>
          </w:tcPr>
          <w:p w14:paraId="423699AC" w14:textId="77777777" w:rsidR="00647D0C" w:rsidRPr="00D3772B" w:rsidRDefault="00647D0C" w:rsidP="009D20AB">
            <w:pPr>
              <w:spacing w:line="240" w:lineRule="auto"/>
              <w:rPr>
                <w:rFonts w:eastAsia="Calibri"/>
                <w:color w:val="000000"/>
                <w:szCs w:val="24"/>
              </w:rPr>
            </w:pPr>
            <w:r w:rsidRPr="00D3772B">
              <w:rPr>
                <w:color w:val="000000"/>
                <w:szCs w:val="24"/>
              </w:rPr>
              <w:t>Produse farmaceutice</w:t>
            </w:r>
          </w:p>
        </w:tc>
        <w:tc>
          <w:tcPr>
            <w:tcW w:w="583" w:type="pct"/>
            <w:shd w:val="clear" w:color="auto" w:fill="auto"/>
            <w:noWrap/>
            <w:hideMark/>
          </w:tcPr>
          <w:p w14:paraId="43B23CBE" w14:textId="77777777" w:rsidR="00647D0C" w:rsidRPr="00D3772B" w:rsidRDefault="00647D0C" w:rsidP="009D20AB">
            <w:pPr>
              <w:spacing w:line="240" w:lineRule="auto"/>
              <w:rPr>
                <w:rFonts w:eastAsia="Calibri"/>
                <w:color w:val="000000"/>
                <w:szCs w:val="24"/>
              </w:rPr>
            </w:pPr>
            <w:r w:rsidRPr="00D3772B">
              <w:rPr>
                <w:color w:val="000000"/>
                <w:szCs w:val="24"/>
              </w:rPr>
              <w:t>298-46-4</w:t>
            </w:r>
          </w:p>
        </w:tc>
        <w:tc>
          <w:tcPr>
            <w:tcW w:w="682" w:type="pct"/>
          </w:tcPr>
          <w:p w14:paraId="27D11606" w14:textId="77777777" w:rsidR="00647D0C" w:rsidRPr="00D3772B" w:rsidRDefault="00647D0C" w:rsidP="009D20AB">
            <w:pPr>
              <w:spacing w:line="240" w:lineRule="auto"/>
              <w:rPr>
                <w:rFonts w:eastAsia="Calibri"/>
                <w:color w:val="000000"/>
                <w:szCs w:val="24"/>
              </w:rPr>
            </w:pPr>
            <w:r w:rsidRPr="00D3772B">
              <w:rPr>
                <w:color w:val="000000"/>
                <w:szCs w:val="24"/>
              </w:rPr>
              <w:t>Nu se aplică</w:t>
            </w:r>
          </w:p>
        </w:tc>
        <w:tc>
          <w:tcPr>
            <w:tcW w:w="2081" w:type="pct"/>
            <w:shd w:val="clear" w:color="auto" w:fill="auto"/>
            <w:noWrap/>
            <w:hideMark/>
          </w:tcPr>
          <w:p w14:paraId="1B46A538" w14:textId="034A6C9B" w:rsidR="00647D0C" w:rsidRPr="00D3772B" w:rsidRDefault="00647D0C" w:rsidP="009D20AB">
            <w:pPr>
              <w:spacing w:line="240" w:lineRule="auto"/>
              <w:rPr>
                <w:rFonts w:eastAsia="Calibri"/>
                <w:strike/>
                <w:color w:val="000000"/>
                <w:szCs w:val="24"/>
              </w:rPr>
            </w:pPr>
            <w:r w:rsidRPr="00D3772B">
              <w:rPr>
                <w:color w:val="000000"/>
                <w:szCs w:val="24"/>
              </w:rPr>
              <w:t>2,5</w:t>
            </w:r>
            <w:r w:rsidR="00D3772B">
              <w:rPr>
                <w:color w:val="000000"/>
                <w:szCs w:val="24"/>
              </w:rPr>
              <w:t xml:space="preserve"> </w:t>
            </w:r>
            <w:r w:rsidRPr="00D3772B">
              <w:rPr>
                <w:bCs/>
                <w:color w:val="000000"/>
                <w:szCs w:val="24"/>
              </w:rPr>
              <w:t>(</w:t>
            </w:r>
            <w:r w:rsidRPr="00D3772B">
              <w:rPr>
                <w:b/>
                <w:color w:val="000000"/>
                <w:szCs w:val="24"/>
                <w:vertAlign w:val="superscript"/>
              </w:rPr>
              <w:t>13</w:t>
            </w:r>
            <w:r w:rsidRPr="00D3772B">
              <w:rPr>
                <w:bCs/>
                <w:color w:val="000000"/>
                <w:szCs w:val="24"/>
              </w:rPr>
              <w:t>)</w:t>
            </w:r>
          </w:p>
        </w:tc>
      </w:tr>
      <w:tr w:rsidR="00647D0C" w:rsidRPr="00D3772B" w14:paraId="691DE555" w14:textId="77777777" w:rsidTr="00D3772B">
        <w:trPr>
          <w:trHeight w:val="300"/>
        </w:trPr>
        <w:tc>
          <w:tcPr>
            <w:tcW w:w="242" w:type="pct"/>
            <w:shd w:val="clear" w:color="auto" w:fill="auto"/>
            <w:hideMark/>
          </w:tcPr>
          <w:p w14:paraId="445985FD" w14:textId="77777777" w:rsidR="00647D0C" w:rsidRPr="00D3772B" w:rsidRDefault="00647D0C" w:rsidP="009D20AB">
            <w:pPr>
              <w:spacing w:line="240" w:lineRule="auto"/>
              <w:rPr>
                <w:rFonts w:eastAsia="Calibri"/>
                <w:color w:val="000000"/>
                <w:szCs w:val="24"/>
              </w:rPr>
            </w:pPr>
            <w:r w:rsidRPr="00D3772B">
              <w:rPr>
                <w:color w:val="000000"/>
                <w:szCs w:val="24"/>
              </w:rPr>
              <w:t>5</w:t>
            </w:r>
          </w:p>
        </w:tc>
        <w:tc>
          <w:tcPr>
            <w:tcW w:w="731" w:type="pct"/>
            <w:shd w:val="clear" w:color="auto" w:fill="auto"/>
            <w:hideMark/>
          </w:tcPr>
          <w:p w14:paraId="39762696" w14:textId="77777777" w:rsidR="00647D0C" w:rsidRPr="00D3772B" w:rsidRDefault="00647D0C" w:rsidP="009D20AB">
            <w:pPr>
              <w:spacing w:line="240" w:lineRule="auto"/>
              <w:rPr>
                <w:rFonts w:eastAsia="Calibri"/>
                <w:color w:val="000000"/>
                <w:szCs w:val="24"/>
              </w:rPr>
            </w:pPr>
            <w:proofErr w:type="spellStart"/>
            <w:r w:rsidRPr="00D3772B">
              <w:rPr>
                <w:color w:val="000000"/>
                <w:szCs w:val="24"/>
              </w:rPr>
              <w:t>Sulfametoxazol</w:t>
            </w:r>
            <w:proofErr w:type="spellEnd"/>
          </w:p>
        </w:tc>
        <w:tc>
          <w:tcPr>
            <w:tcW w:w="681" w:type="pct"/>
            <w:shd w:val="clear" w:color="auto" w:fill="auto"/>
            <w:noWrap/>
            <w:hideMark/>
          </w:tcPr>
          <w:p w14:paraId="04B30B08" w14:textId="77777777" w:rsidR="00647D0C" w:rsidRPr="00D3772B" w:rsidRDefault="00647D0C" w:rsidP="009D20AB">
            <w:pPr>
              <w:spacing w:line="240" w:lineRule="auto"/>
              <w:rPr>
                <w:rFonts w:eastAsia="Calibri"/>
                <w:color w:val="000000"/>
                <w:szCs w:val="24"/>
              </w:rPr>
            </w:pPr>
            <w:r w:rsidRPr="00D3772B">
              <w:rPr>
                <w:color w:val="000000"/>
                <w:szCs w:val="24"/>
              </w:rPr>
              <w:t>Produse farmaceutice</w:t>
            </w:r>
          </w:p>
        </w:tc>
        <w:tc>
          <w:tcPr>
            <w:tcW w:w="583" w:type="pct"/>
            <w:shd w:val="clear" w:color="auto" w:fill="auto"/>
            <w:noWrap/>
            <w:hideMark/>
          </w:tcPr>
          <w:p w14:paraId="63BAF0C5" w14:textId="77777777" w:rsidR="00647D0C" w:rsidRPr="00D3772B" w:rsidRDefault="00647D0C" w:rsidP="009D20AB">
            <w:pPr>
              <w:spacing w:line="240" w:lineRule="auto"/>
              <w:rPr>
                <w:rFonts w:eastAsia="Calibri"/>
                <w:color w:val="000000"/>
                <w:szCs w:val="24"/>
              </w:rPr>
            </w:pPr>
            <w:r w:rsidRPr="00D3772B">
              <w:rPr>
                <w:color w:val="000000"/>
                <w:szCs w:val="24"/>
              </w:rPr>
              <w:t>723-46-6</w:t>
            </w:r>
          </w:p>
        </w:tc>
        <w:tc>
          <w:tcPr>
            <w:tcW w:w="682" w:type="pct"/>
          </w:tcPr>
          <w:p w14:paraId="15B39E9E" w14:textId="77777777" w:rsidR="00647D0C" w:rsidRPr="00D3772B" w:rsidRDefault="00647D0C" w:rsidP="009D20AB">
            <w:pPr>
              <w:spacing w:line="240" w:lineRule="auto"/>
              <w:rPr>
                <w:rFonts w:eastAsia="Calibri"/>
                <w:color w:val="000000"/>
                <w:szCs w:val="24"/>
              </w:rPr>
            </w:pPr>
            <w:r w:rsidRPr="00D3772B">
              <w:rPr>
                <w:color w:val="000000"/>
                <w:szCs w:val="24"/>
              </w:rPr>
              <w:t>Nu se aplică</w:t>
            </w:r>
          </w:p>
        </w:tc>
        <w:tc>
          <w:tcPr>
            <w:tcW w:w="2081" w:type="pct"/>
            <w:shd w:val="clear" w:color="auto" w:fill="auto"/>
            <w:noWrap/>
            <w:hideMark/>
          </w:tcPr>
          <w:p w14:paraId="26D8E034" w14:textId="59353912" w:rsidR="00647D0C" w:rsidRPr="00D3772B" w:rsidRDefault="00647D0C" w:rsidP="009D20AB">
            <w:pPr>
              <w:spacing w:line="240" w:lineRule="auto"/>
              <w:rPr>
                <w:rFonts w:eastAsia="Calibri"/>
                <w:color w:val="000000"/>
                <w:szCs w:val="24"/>
                <w:vertAlign w:val="superscript"/>
              </w:rPr>
            </w:pPr>
            <w:r w:rsidRPr="00D3772B">
              <w:rPr>
                <w:color w:val="000000"/>
                <w:szCs w:val="24"/>
              </w:rPr>
              <w:t>0,1</w:t>
            </w:r>
            <w:r w:rsidR="00D3772B">
              <w:rPr>
                <w:color w:val="000000"/>
                <w:szCs w:val="24"/>
              </w:rPr>
              <w:t xml:space="preserve"> </w:t>
            </w:r>
            <w:r w:rsidRPr="00D3772B">
              <w:rPr>
                <w:color w:val="000000"/>
                <w:szCs w:val="24"/>
              </w:rPr>
              <w:t>(</w:t>
            </w:r>
            <w:r w:rsidRPr="00D3772B">
              <w:rPr>
                <w:b/>
                <w:bCs/>
                <w:color w:val="000000"/>
                <w:szCs w:val="24"/>
                <w:vertAlign w:val="superscript"/>
              </w:rPr>
              <w:t>13</w:t>
            </w:r>
            <w:r w:rsidRPr="00D3772B">
              <w:rPr>
                <w:color w:val="000000"/>
                <w:szCs w:val="24"/>
              </w:rPr>
              <w:t>)</w:t>
            </w:r>
          </w:p>
        </w:tc>
      </w:tr>
      <w:tr w:rsidR="00647D0C" w:rsidRPr="00D3772B" w14:paraId="32B43F1E" w14:textId="77777777" w:rsidTr="00D3772B">
        <w:trPr>
          <w:trHeight w:val="300"/>
        </w:trPr>
        <w:tc>
          <w:tcPr>
            <w:tcW w:w="242" w:type="pct"/>
            <w:shd w:val="clear" w:color="auto" w:fill="auto"/>
          </w:tcPr>
          <w:p w14:paraId="3AF3E1CB" w14:textId="77777777" w:rsidR="00647D0C" w:rsidRPr="00D3772B" w:rsidRDefault="00647D0C" w:rsidP="009D20AB">
            <w:pPr>
              <w:spacing w:line="240" w:lineRule="auto"/>
              <w:rPr>
                <w:rFonts w:eastAsia="Calibri"/>
                <w:color w:val="000000"/>
                <w:szCs w:val="24"/>
              </w:rPr>
            </w:pPr>
            <w:r w:rsidRPr="00D3772B">
              <w:rPr>
                <w:color w:val="000000"/>
                <w:szCs w:val="24"/>
              </w:rPr>
              <w:t>6</w:t>
            </w:r>
          </w:p>
        </w:tc>
        <w:tc>
          <w:tcPr>
            <w:tcW w:w="731" w:type="pct"/>
            <w:shd w:val="clear" w:color="auto" w:fill="auto"/>
          </w:tcPr>
          <w:p w14:paraId="392A0283" w14:textId="77777777" w:rsidR="00647D0C" w:rsidRPr="00D3772B" w:rsidRDefault="00647D0C" w:rsidP="009D20AB">
            <w:pPr>
              <w:spacing w:line="240" w:lineRule="auto"/>
              <w:rPr>
                <w:rFonts w:eastAsia="Calibri"/>
                <w:color w:val="000000"/>
                <w:szCs w:val="24"/>
              </w:rPr>
            </w:pPr>
            <w:proofErr w:type="spellStart"/>
            <w:r w:rsidRPr="00D3772B">
              <w:rPr>
                <w:color w:val="000000"/>
                <w:szCs w:val="24"/>
              </w:rPr>
              <w:t>Primidonă</w:t>
            </w:r>
            <w:proofErr w:type="spellEnd"/>
          </w:p>
        </w:tc>
        <w:tc>
          <w:tcPr>
            <w:tcW w:w="681" w:type="pct"/>
            <w:shd w:val="clear" w:color="auto" w:fill="auto"/>
            <w:noWrap/>
          </w:tcPr>
          <w:p w14:paraId="1BAF264C" w14:textId="77777777" w:rsidR="00647D0C" w:rsidRPr="00D3772B" w:rsidRDefault="00647D0C" w:rsidP="009D20AB">
            <w:pPr>
              <w:spacing w:line="240" w:lineRule="auto"/>
              <w:rPr>
                <w:rFonts w:eastAsia="Calibri"/>
                <w:color w:val="000000"/>
                <w:szCs w:val="24"/>
              </w:rPr>
            </w:pPr>
            <w:r w:rsidRPr="00D3772B">
              <w:rPr>
                <w:color w:val="000000"/>
                <w:szCs w:val="24"/>
              </w:rPr>
              <w:t>Produse farmaceutice</w:t>
            </w:r>
          </w:p>
        </w:tc>
        <w:tc>
          <w:tcPr>
            <w:tcW w:w="583" w:type="pct"/>
            <w:shd w:val="clear" w:color="auto" w:fill="auto"/>
            <w:noWrap/>
          </w:tcPr>
          <w:p w14:paraId="295CE8C2" w14:textId="77777777" w:rsidR="00647D0C" w:rsidRPr="00D3772B" w:rsidRDefault="00647D0C" w:rsidP="009D20AB">
            <w:pPr>
              <w:spacing w:line="240" w:lineRule="auto"/>
              <w:rPr>
                <w:rFonts w:eastAsia="Calibri"/>
                <w:color w:val="000000"/>
                <w:szCs w:val="24"/>
              </w:rPr>
            </w:pPr>
            <w:r w:rsidRPr="00D3772B">
              <w:rPr>
                <w:color w:val="000000"/>
                <w:szCs w:val="24"/>
              </w:rPr>
              <w:t>125-33-7</w:t>
            </w:r>
          </w:p>
        </w:tc>
        <w:tc>
          <w:tcPr>
            <w:tcW w:w="682" w:type="pct"/>
          </w:tcPr>
          <w:p w14:paraId="6C5A2853" w14:textId="77777777" w:rsidR="00647D0C" w:rsidRPr="00D3772B" w:rsidRDefault="00647D0C" w:rsidP="009D20AB">
            <w:pPr>
              <w:spacing w:line="240" w:lineRule="auto"/>
              <w:rPr>
                <w:rFonts w:eastAsia="Calibri"/>
                <w:color w:val="000000"/>
                <w:szCs w:val="24"/>
              </w:rPr>
            </w:pPr>
          </w:p>
        </w:tc>
        <w:tc>
          <w:tcPr>
            <w:tcW w:w="2081" w:type="pct"/>
            <w:shd w:val="clear" w:color="auto" w:fill="auto"/>
            <w:noWrap/>
          </w:tcPr>
          <w:p w14:paraId="59C9EDCA" w14:textId="69DB3B4F" w:rsidR="00647D0C" w:rsidRPr="00D3772B" w:rsidRDefault="00647D0C" w:rsidP="009D20AB">
            <w:pPr>
              <w:spacing w:line="240" w:lineRule="auto"/>
              <w:rPr>
                <w:rFonts w:eastAsia="Calibri"/>
                <w:color w:val="000000"/>
                <w:szCs w:val="24"/>
              </w:rPr>
            </w:pPr>
            <w:r w:rsidRPr="00D3772B">
              <w:rPr>
                <w:color w:val="000000"/>
                <w:szCs w:val="24"/>
              </w:rPr>
              <w:t>2,5</w:t>
            </w:r>
            <w:r w:rsidR="00D3772B">
              <w:rPr>
                <w:color w:val="000000"/>
                <w:szCs w:val="24"/>
              </w:rPr>
              <w:t xml:space="preserve"> </w:t>
            </w:r>
            <w:r w:rsidRPr="00D3772B">
              <w:rPr>
                <w:color w:val="000000"/>
                <w:szCs w:val="24"/>
              </w:rPr>
              <w:t>(</w:t>
            </w:r>
            <w:r w:rsidRPr="00D3772B">
              <w:rPr>
                <w:b/>
                <w:bCs/>
                <w:color w:val="000000"/>
                <w:szCs w:val="24"/>
                <w:vertAlign w:val="superscript"/>
              </w:rPr>
              <w:t>13</w:t>
            </w:r>
            <w:r w:rsidRPr="00D3772B">
              <w:rPr>
                <w:color w:val="000000"/>
                <w:szCs w:val="24"/>
              </w:rPr>
              <w:t>)</w:t>
            </w:r>
          </w:p>
        </w:tc>
      </w:tr>
      <w:tr w:rsidR="00647D0C" w:rsidRPr="00D3772B" w14:paraId="57348602" w14:textId="77777777" w:rsidTr="00D3772B">
        <w:trPr>
          <w:trHeight w:val="255"/>
        </w:trPr>
        <w:tc>
          <w:tcPr>
            <w:tcW w:w="242" w:type="pct"/>
            <w:vMerge w:val="restart"/>
            <w:shd w:val="clear" w:color="auto" w:fill="auto"/>
          </w:tcPr>
          <w:p w14:paraId="47E6287B" w14:textId="77777777" w:rsidR="00647D0C" w:rsidRPr="00D3772B" w:rsidRDefault="00647D0C" w:rsidP="00647D0C">
            <w:pPr>
              <w:spacing w:line="240" w:lineRule="auto"/>
              <w:rPr>
                <w:rFonts w:eastAsia="Calibri"/>
                <w:color w:val="000000"/>
                <w:szCs w:val="24"/>
              </w:rPr>
            </w:pPr>
            <w:r w:rsidRPr="00D3772B">
              <w:rPr>
                <w:color w:val="000000"/>
                <w:szCs w:val="24"/>
              </w:rPr>
              <w:t>7</w:t>
            </w:r>
          </w:p>
        </w:tc>
        <w:tc>
          <w:tcPr>
            <w:tcW w:w="731" w:type="pct"/>
            <w:vMerge w:val="restart"/>
            <w:shd w:val="clear" w:color="auto" w:fill="auto"/>
          </w:tcPr>
          <w:p w14:paraId="63ABD491" w14:textId="1C91B25F" w:rsidR="00647D0C" w:rsidRPr="00D3772B" w:rsidRDefault="00647D0C" w:rsidP="009D20AB">
            <w:pPr>
              <w:spacing w:line="240" w:lineRule="auto"/>
              <w:rPr>
                <w:rFonts w:eastAsia="Times New Roman"/>
                <w:color w:val="000000"/>
                <w:szCs w:val="24"/>
              </w:rPr>
            </w:pPr>
            <w:r w:rsidRPr="00D3772B">
              <w:rPr>
                <w:color w:val="000000"/>
                <w:szCs w:val="24"/>
              </w:rPr>
              <w:t>Metaboliți nerelevanți ai pesticidelor (</w:t>
            </w:r>
            <w:proofErr w:type="spellStart"/>
            <w:r w:rsidRPr="00D3772B">
              <w:rPr>
                <w:color w:val="000000"/>
                <w:szCs w:val="24"/>
              </w:rPr>
              <w:t>Mnr</w:t>
            </w:r>
            <w:r w:rsidR="00D3772B">
              <w:rPr>
                <w:color w:val="000000"/>
                <w:szCs w:val="24"/>
              </w:rPr>
              <w:t>­</w:t>
            </w:r>
            <w:r w:rsidRPr="00D3772B">
              <w:rPr>
                <w:color w:val="000000"/>
                <w:szCs w:val="24"/>
              </w:rPr>
              <w:t>uri</w:t>
            </w:r>
            <w:proofErr w:type="spellEnd"/>
            <w:r w:rsidRPr="00D3772B">
              <w:rPr>
                <w:color w:val="000000"/>
                <w:szCs w:val="24"/>
              </w:rPr>
              <w:t>)</w:t>
            </w:r>
            <w:r w:rsidR="003935A6">
              <w:rPr>
                <w:color w:val="000000"/>
                <w:szCs w:val="24"/>
              </w:rPr>
              <w:t xml:space="preserve"> </w:t>
            </w:r>
            <w:r w:rsidRPr="00D3772B">
              <w:rPr>
                <w:color w:val="000000"/>
                <w:szCs w:val="24"/>
              </w:rPr>
              <w:t>(</w:t>
            </w:r>
            <w:r w:rsidRPr="00D3772B">
              <w:rPr>
                <w:b/>
                <w:bCs/>
                <w:color w:val="000000"/>
                <w:szCs w:val="24"/>
                <w:vertAlign w:val="superscript"/>
              </w:rPr>
              <w:t>4</w:t>
            </w:r>
            <w:r w:rsidRPr="00D3772B">
              <w:rPr>
                <w:color w:val="000000"/>
                <w:szCs w:val="24"/>
              </w:rPr>
              <w:t>)</w:t>
            </w:r>
          </w:p>
        </w:tc>
        <w:tc>
          <w:tcPr>
            <w:tcW w:w="681" w:type="pct"/>
            <w:vMerge w:val="restart"/>
            <w:shd w:val="clear" w:color="auto" w:fill="auto"/>
            <w:noWrap/>
          </w:tcPr>
          <w:p w14:paraId="5206AF5E" w14:textId="77777777" w:rsidR="00647D0C" w:rsidRPr="00D3772B" w:rsidRDefault="00647D0C" w:rsidP="009D20AB">
            <w:pPr>
              <w:spacing w:line="240" w:lineRule="auto"/>
              <w:rPr>
                <w:rFonts w:eastAsia="Calibri"/>
                <w:color w:val="000000"/>
                <w:szCs w:val="24"/>
              </w:rPr>
            </w:pPr>
            <w:r w:rsidRPr="00D3772B">
              <w:rPr>
                <w:color w:val="000000"/>
                <w:szCs w:val="24"/>
              </w:rPr>
              <w:t>Pesticide</w:t>
            </w:r>
          </w:p>
        </w:tc>
        <w:tc>
          <w:tcPr>
            <w:tcW w:w="583" w:type="pct"/>
            <w:vMerge w:val="restart"/>
            <w:shd w:val="clear" w:color="auto" w:fill="auto"/>
            <w:noWrap/>
          </w:tcPr>
          <w:p w14:paraId="65828A2E" w14:textId="77777777" w:rsidR="00647D0C" w:rsidRPr="00D3772B" w:rsidRDefault="00647D0C" w:rsidP="009D20AB">
            <w:pPr>
              <w:spacing w:line="240" w:lineRule="auto"/>
              <w:rPr>
                <w:rFonts w:eastAsia="Times New Roman"/>
                <w:color w:val="000000"/>
                <w:szCs w:val="24"/>
              </w:rPr>
            </w:pPr>
            <w:r w:rsidRPr="00D3772B">
              <w:rPr>
                <w:color w:val="000000"/>
                <w:szCs w:val="24"/>
              </w:rPr>
              <w:t>Nu se aplică</w:t>
            </w:r>
          </w:p>
        </w:tc>
        <w:tc>
          <w:tcPr>
            <w:tcW w:w="682" w:type="pct"/>
            <w:vMerge w:val="restart"/>
          </w:tcPr>
          <w:p w14:paraId="5BFBE92A" w14:textId="77777777" w:rsidR="00647D0C" w:rsidRPr="00D3772B" w:rsidRDefault="00647D0C" w:rsidP="009D20AB">
            <w:pPr>
              <w:spacing w:line="240" w:lineRule="auto"/>
              <w:rPr>
                <w:rFonts w:eastAsia="Calibri"/>
                <w:color w:val="000000"/>
                <w:szCs w:val="24"/>
              </w:rPr>
            </w:pPr>
            <w:r w:rsidRPr="00D3772B">
              <w:rPr>
                <w:color w:val="000000"/>
                <w:szCs w:val="24"/>
              </w:rPr>
              <w:t>Nu se aplică</w:t>
            </w:r>
          </w:p>
        </w:tc>
        <w:tc>
          <w:tcPr>
            <w:tcW w:w="2081" w:type="pct"/>
            <w:shd w:val="clear" w:color="auto" w:fill="auto"/>
            <w:noWrap/>
          </w:tcPr>
          <w:p w14:paraId="6A2CE405" w14:textId="7C206EDF" w:rsidR="00647D0C" w:rsidRPr="00D3772B" w:rsidRDefault="00647D0C" w:rsidP="009D20AB">
            <w:pPr>
              <w:spacing w:line="240" w:lineRule="auto"/>
              <w:rPr>
                <w:rFonts w:eastAsia="Times New Roman"/>
                <w:color w:val="000000"/>
                <w:szCs w:val="24"/>
              </w:rPr>
            </w:pPr>
            <w:r w:rsidRPr="00D3772B">
              <w:rPr>
                <w:szCs w:val="24"/>
              </w:rPr>
              <w:t>1 sau până la 5</w:t>
            </w:r>
            <w:r w:rsidR="00D3772B">
              <w:rPr>
                <w:szCs w:val="24"/>
              </w:rPr>
              <w:t xml:space="preserve"> </w:t>
            </w:r>
            <w:r w:rsidRPr="00D3772B">
              <w:rPr>
                <w:szCs w:val="24"/>
              </w:rPr>
              <w:t>(</w:t>
            </w:r>
            <w:r w:rsidRPr="00D3772B">
              <w:rPr>
                <w:b/>
                <w:bCs/>
                <w:szCs w:val="24"/>
                <w:vertAlign w:val="superscript"/>
              </w:rPr>
              <w:t>9</w:t>
            </w:r>
            <w:r w:rsidRPr="00D3772B">
              <w:rPr>
                <w:szCs w:val="24"/>
              </w:rPr>
              <w:t>) (individual)</w:t>
            </w:r>
          </w:p>
        </w:tc>
      </w:tr>
      <w:tr w:rsidR="00647D0C" w:rsidRPr="00D3772B" w14:paraId="35FA8C32" w14:textId="77777777" w:rsidTr="00D3772B">
        <w:trPr>
          <w:trHeight w:val="255"/>
        </w:trPr>
        <w:tc>
          <w:tcPr>
            <w:tcW w:w="242" w:type="pct"/>
            <w:vMerge/>
            <w:shd w:val="clear" w:color="auto" w:fill="auto"/>
          </w:tcPr>
          <w:p w14:paraId="1505CDAD" w14:textId="77777777" w:rsidR="00647D0C" w:rsidRPr="00D3772B" w:rsidRDefault="00647D0C" w:rsidP="009D20AB">
            <w:pPr>
              <w:spacing w:line="240" w:lineRule="auto"/>
              <w:rPr>
                <w:rFonts w:eastAsia="Calibri"/>
                <w:color w:val="000000"/>
                <w:szCs w:val="24"/>
              </w:rPr>
            </w:pPr>
          </w:p>
        </w:tc>
        <w:tc>
          <w:tcPr>
            <w:tcW w:w="731" w:type="pct"/>
            <w:vMerge/>
            <w:shd w:val="clear" w:color="auto" w:fill="auto"/>
          </w:tcPr>
          <w:p w14:paraId="1AB01C40" w14:textId="77777777" w:rsidR="00647D0C" w:rsidRPr="00D3772B" w:rsidRDefault="00647D0C" w:rsidP="009D20AB">
            <w:pPr>
              <w:spacing w:line="240" w:lineRule="auto"/>
              <w:rPr>
                <w:rFonts w:eastAsia="Times New Roman"/>
                <w:color w:val="000000"/>
                <w:szCs w:val="24"/>
              </w:rPr>
            </w:pPr>
          </w:p>
        </w:tc>
        <w:tc>
          <w:tcPr>
            <w:tcW w:w="681" w:type="pct"/>
            <w:vMerge/>
            <w:shd w:val="clear" w:color="auto" w:fill="auto"/>
            <w:noWrap/>
          </w:tcPr>
          <w:p w14:paraId="713871C7" w14:textId="77777777" w:rsidR="00647D0C" w:rsidRPr="00D3772B" w:rsidRDefault="00647D0C" w:rsidP="009D20AB">
            <w:pPr>
              <w:spacing w:line="240" w:lineRule="auto"/>
              <w:rPr>
                <w:rFonts w:eastAsia="Calibri"/>
                <w:color w:val="000000"/>
                <w:szCs w:val="24"/>
              </w:rPr>
            </w:pPr>
          </w:p>
        </w:tc>
        <w:tc>
          <w:tcPr>
            <w:tcW w:w="583" w:type="pct"/>
            <w:vMerge/>
            <w:shd w:val="clear" w:color="auto" w:fill="auto"/>
            <w:noWrap/>
          </w:tcPr>
          <w:p w14:paraId="1D71D7C8" w14:textId="77777777" w:rsidR="00647D0C" w:rsidRPr="00D3772B" w:rsidRDefault="00647D0C" w:rsidP="009D20AB">
            <w:pPr>
              <w:spacing w:line="240" w:lineRule="auto"/>
              <w:rPr>
                <w:rFonts w:eastAsia="Times New Roman"/>
                <w:color w:val="000000"/>
                <w:szCs w:val="24"/>
              </w:rPr>
            </w:pPr>
          </w:p>
        </w:tc>
        <w:tc>
          <w:tcPr>
            <w:tcW w:w="682" w:type="pct"/>
            <w:vMerge/>
          </w:tcPr>
          <w:p w14:paraId="336FCA21" w14:textId="77777777" w:rsidR="00647D0C" w:rsidRPr="00D3772B" w:rsidRDefault="00647D0C" w:rsidP="009D20AB">
            <w:pPr>
              <w:spacing w:line="240" w:lineRule="auto"/>
              <w:rPr>
                <w:rFonts w:eastAsia="Calibri"/>
                <w:color w:val="000000"/>
                <w:szCs w:val="24"/>
              </w:rPr>
            </w:pPr>
          </w:p>
        </w:tc>
        <w:tc>
          <w:tcPr>
            <w:tcW w:w="2081" w:type="pct"/>
            <w:shd w:val="clear" w:color="auto" w:fill="auto"/>
            <w:noWrap/>
          </w:tcPr>
          <w:p w14:paraId="62AA2FD9" w14:textId="77777777" w:rsidR="00647D0C" w:rsidRPr="00D3772B" w:rsidRDefault="00647D0C" w:rsidP="009D20AB">
            <w:pPr>
              <w:spacing w:line="240" w:lineRule="auto"/>
              <w:rPr>
                <w:rFonts w:eastAsia="Times New Roman"/>
                <w:color w:val="000000"/>
                <w:szCs w:val="24"/>
              </w:rPr>
            </w:pPr>
            <w:r w:rsidRPr="00D3772B">
              <w:rPr>
                <w:color w:val="000000"/>
                <w:szCs w:val="24"/>
              </w:rPr>
              <w:t>5 (</w:t>
            </w:r>
            <w:r w:rsidRPr="00D3772B">
              <w:rPr>
                <w:b/>
                <w:bCs/>
                <w:color w:val="000000"/>
                <w:szCs w:val="24"/>
                <w:vertAlign w:val="superscript"/>
              </w:rPr>
              <w:t>10</w:t>
            </w:r>
            <w:r w:rsidRPr="00D3772B">
              <w:rPr>
                <w:color w:val="000000"/>
                <w:szCs w:val="24"/>
              </w:rPr>
              <w:t>) sau 12,5 (</w:t>
            </w:r>
            <w:r w:rsidRPr="00D3772B">
              <w:rPr>
                <w:b/>
                <w:bCs/>
                <w:color w:val="000000"/>
                <w:szCs w:val="24"/>
                <w:vertAlign w:val="superscript"/>
              </w:rPr>
              <w:t>11</w:t>
            </w:r>
            <w:r w:rsidRPr="00D3772B">
              <w:rPr>
                <w:color w:val="000000"/>
                <w:szCs w:val="24"/>
              </w:rPr>
              <w:t>) (total) (</w:t>
            </w:r>
            <w:r w:rsidRPr="00D3772B">
              <w:rPr>
                <w:b/>
                <w:bCs/>
                <w:color w:val="000000"/>
                <w:szCs w:val="24"/>
                <w:vertAlign w:val="superscript"/>
              </w:rPr>
              <w:t>12</w:t>
            </w:r>
            <w:r w:rsidRPr="00D3772B">
              <w:rPr>
                <w:color w:val="000000"/>
                <w:szCs w:val="24"/>
              </w:rPr>
              <w:t>)</w:t>
            </w:r>
          </w:p>
        </w:tc>
      </w:tr>
      <w:tr w:rsidR="00647D0C" w:rsidRPr="00D3772B" w14:paraId="3E3CB34B" w14:textId="77777777" w:rsidTr="00D3772B">
        <w:trPr>
          <w:trHeight w:val="300"/>
        </w:trPr>
        <w:tc>
          <w:tcPr>
            <w:tcW w:w="242" w:type="pct"/>
            <w:shd w:val="clear" w:color="auto" w:fill="auto"/>
          </w:tcPr>
          <w:p w14:paraId="67E1375F" w14:textId="77777777" w:rsidR="00647D0C" w:rsidRPr="00D3772B" w:rsidRDefault="00647D0C" w:rsidP="009D20AB">
            <w:pPr>
              <w:spacing w:line="240" w:lineRule="auto"/>
              <w:rPr>
                <w:rFonts w:eastAsia="Calibri"/>
                <w:color w:val="000000"/>
                <w:szCs w:val="24"/>
              </w:rPr>
            </w:pPr>
            <w:r w:rsidRPr="00D3772B">
              <w:rPr>
                <w:color w:val="000000"/>
                <w:szCs w:val="24"/>
              </w:rPr>
              <w:t>8</w:t>
            </w:r>
          </w:p>
        </w:tc>
        <w:tc>
          <w:tcPr>
            <w:tcW w:w="731" w:type="pct"/>
            <w:shd w:val="clear" w:color="auto" w:fill="auto"/>
          </w:tcPr>
          <w:p w14:paraId="46163637" w14:textId="77777777" w:rsidR="00647D0C" w:rsidRPr="00D3772B" w:rsidRDefault="00647D0C" w:rsidP="009D20AB">
            <w:pPr>
              <w:spacing w:line="240" w:lineRule="auto"/>
              <w:rPr>
                <w:rFonts w:eastAsia="Times New Roman"/>
                <w:color w:val="000000"/>
                <w:szCs w:val="24"/>
              </w:rPr>
            </w:pPr>
            <w:r w:rsidRPr="00D3772B">
              <w:rPr>
                <w:szCs w:val="24"/>
              </w:rPr>
              <w:t xml:space="preserve">Tricloretilenă și </w:t>
            </w:r>
            <w:proofErr w:type="spellStart"/>
            <w:r w:rsidRPr="00D3772B">
              <w:rPr>
                <w:szCs w:val="24"/>
              </w:rPr>
              <w:t>tetracloretilenă</w:t>
            </w:r>
            <w:proofErr w:type="spellEnd"/>
            <w:r w:rsidRPr="00D3772B">
              <w:rPr>
                <w:szCs w:val="24"/>
              </w:rPr>
              <w:t xml:space="preserve"> (suma celor două)</w:t>
            </w:r>
          </w:p>
        </w:tc>
        <w:tc>
          <w:tcPr>
            <w:tcW w:w="681" w:type="pct"/>
            <w:shd w:val="clear" w:color="auto" w:fill="auto"/>
            <w:noWrap/>
          </w:tcPr>
          <w:p w14:paraId="5D2ABBBD" w14:textId="77777777" w:rsidR="00647D0C" w:rsidRPr="00D3772B" w:rsidRDefault="00647D0C" w:rsidP="009D20AB">
            <w:pPr>
              <w:spacing w:line="240" w:lineRule="auto"/>
              <w:rPr>
                <w:rFonts w:eastAsia="Calibri"/>
                <w:color w:val="000000"/>
                <w:szCs w:val="24"/>
              </w:rPr>
            </w:pPr>
            <w:r w:rsidRPr="00D3772B">
              <w:rPr>
                <w:szCs w:val="24"/>
              </w:rPr>
              <w:t>Substanțe industriale</w:t>
            </w:r>
          </w:p>
        </w:tc>
        <w:tc>
          <w:tcPr>
            <w:tcW w:w="583" w:type="pct"/>
            <w:shd w:val="clear" w:color="auto" w:fill="auto"/>
            <w:noWrap/>
          </w:tcPr>
          <w:p w14:paraId="4B7120BE" w14:textId="6DE81953" w:rsidR="00647D0C" w:rsidRPr="00D3772B" w:rsidRDefault="00647D0C" w:rsidP="009D20AB">
            <w:pPr>
              <w:spacing w:line="240" w:lineRule="auto"/>
              <w:rPr>
                <w:rFonts w:eastAsia="Times New Roman"/>
                <w:color w:val="000000"/>
                <w:szCs w:val="24"/>
              </w:rPr>
            </w:pPr>
            <w:r w:rsidRPr="00D3772B">
              <w:rPr>
                <w:szCs w:val="24"/>
              </w:rPr>
              <w:t>79-01-6 și 127</w:t>
            </w:r>
            <w:r w:rsidR="00D3772B">
              <w:rPr>
                <w:szCs w:val="24"/>
              </w:rPr>
              <w:t>­</w:t>
            </w:r>
            <w:r w:rsidRPr="00D3772B">
              <w:rPr>
                <w:szCs w:val="24"/>
              </w:rPr>
              <w:t>18-4</w:t>
            </w:r>
          </w:p>
        </w:tc>
        <w:tc>
          <w:tcPr>
            <w:tcW w:w="682" w:type="pct"/>
          </w:tcPr>
          <w:p w14:paraId="4E02061E" w14:textId="1DC97631" w:rsidR="00647D0C" w:rsidRPr="00D3772B" w:rsidRDefault="00647D0C" w:rsidP="009D20AB">
            <w:pPr>
              <w:spacing w:line="240" w:lineRule="auto"/>
              <w:rPr>
                <w:rFonts w:eastAsia="Calibri"/>
                <w:color w:val="000000"/>
                <w:szCs w:val="24"/>
              </w:rPr>
            </w:pPr>
            <w:r w:rsidRPr="00D3772B">
              <w:rPr>
                <w:szCs w:val="24"/>
              </w:rPr>
              <w:t>201-167-4 și</w:t>
            </w:r>
            <w:r w:rsidR="00D3772B">
              <w:rPr>
                <w:szCs w:val="24"/>
              </w:rPr>
              <w:t xml:space="preserve"> </w:t>
            </w:r>
            <w:r w:rsidRPr="00D3772B">
              <w:rPr>
                <w:szCs w:val="24"/>
              </w:rPr>
              <w:t>204</w:t>
            </w:r>
            <w:r w:rsidR="00D3772B">
              <w:rPr>
                <w:szCs w:val="24"/>
              </w:rPr>
              <w:t>­</w:t>
            </w:r>
            <w:r w:rsidRPr="00D3772B">
              <w:rPr>
                <w:szCs w:val="24"/>
              </w:rPr>
              <w:t>825-9</w:t>
            </w:r>
          </w:p>
        </w:tc>
        <w:tc>
          <w:tcPr>
            <w:tcW w:w="2081" w:type="pct"/>
            <w:shd w:val="clear" w:color="auto" w:fill="auto"/>
            <w:noWrap/>
          </w:tcPr>
          <w:p w14:paraId="3EB198B8" w14:textId="77777777" w:rsidR="00647D0C" w:rsidRPr="00D3772B" w:rsidRDefault="00647D0C" w:rsidP="009D20AB">
            <w:pPr>
              <w:spacing w:line="240" w:lineRule="auto"/>
              <w:rPr>
                <w:rFonts w:eastAsia="Times New Roman"/>
                <w:color w:val="000000"/>
                <w:szCs w:val="24"/>
              </w:rPr>
            </w:pPr>
            <w:r w:rsidRPr="00D3772B">
              <w:rPr>
                <w:szCs w:val="24"/>
              </w:rPr>
              <w:t>10 (total) (</w:t>
            </w:r>
            <w:r w:rsidRPr="00D3772B">
              <w:rPr>
                <w:b/>
                <w:bCs/>
                <w:szCs w:val="24"/>
                <w:vertAlign w:val="superscript"/>
              </w:rPr>
              <w:t>14</w:t>
            </w:r>
            <w:r w:rsidRPr="00D3772B">
              <w:rPr>
                <w:szCs w:val="24"/>
              </w:rPr>
              <w:t>)</w:t>
            </w:r>
          </w:p>
        </w:tc>
      </w:tr>
    </w:tbl>
    <w:p w14:paraId="39B72607" w14:textId="77777777" w:rsidR="00647D0C" w:rsidRPr="00A61195" w:rsidRDefault="00647D0C" w:rsidP="00647D0C">
      <w:pPr>
        <w:spacing w:before="0" w:after="160" w:line="259" w:lineRule="auto"/>
      </w:pPr>
      <w:r w:rsidRPr="00A61195">
        <w:br w:type="page"/>
      </w:r>
    </w:p>
    <w:p w14:paraId="423AB5F5" w14:textId="14A60D88" w:rsidR="00647D0C" w:rsidRPr="00A61195" w:rsidRDefault="00D3772B" w:rsidP="00647D0C">
      <w:r>
        <w:lastRenderedPageBreak/>
        <w:t>________________</w:t>
      </w:r>
    </w:p>
    <w:p w14:paraId="6163428E" w14:textId="77777777" w:rsidR="00647D0C" w:rsidRPr="00A61195" w:rsidRDefault="00647D0C" w:rsidP="00A61195">
      <w:pPr>
        <w:pStyle w:val="Point0"/>
        <w:spacing w:before="0" w:after="0" w:line="240" w:lineRule="auto"/>
        <w:ind w:left="851"/>
        <w:rPr>
          <w:rFonts w:eastAsia="Calibri"/>
          <w:szCs w:val="24"/>
        </w:rPr>
      </w:pPr>
      <w:r w:rsidRPr="00A61195">
        <w:t>(</w:t>
      </w:r>
      <w:r w:rsidRPr="00D3772B">
        <w:rPr>
          <w:b/>
          <w:bCs/>
          <w:vertAlign w:val="superscript"/>
        </w:rPr>
        <w:t>1</w:t>
      </w:r>
      <w:r w:rsidRPr="00A61195">
        <w:t>)</w:t>
      </w:r>
      <w:r w:rsidRPr="00A61195">
        <w:tab/>
        <w:t>CAS: serviciul de catalogare a substanțelor chimice (</w:t>
      </w:r>
      <w:proofErr w:type="spellStart"/>
      <w:r w:rsidRPr="00D3772B">
        <w:rPr>
          <w:i/>
          <w:iCs/>
        </w:rPr>
        <w:t>Chemical</w:t>
      </w:r>
      <w:proofErr w:type="spellEnd"/>
      <w:r w:rsidRPr="00D3772B">
        <w:rPr>
          <w:i/>
          <w:iCs/>
        </w:rPr>
        <w:t xml:space="preserve"> Abstract Service</w:t>
      </w:r>
      <w:r w:rsidRPr="00A61195">
        <w:t>).</w:t>
      </w:r>
    </w:p>
    <w:p w14:paraId="37FD3786" w14:textId="77777777" w:rsidR="00647D0C" w:rsidRPr="00A61195" w:rsidRDefault="00647D0C" w:rsidP="00A61195">
      <w:pPr>
        <w:pStyle w:val="Point0"/>
        <w:spacing w:before="0" w:after="0" w:line="240" w:lineRule="auto"/>
        <w:ind w:left="851"/>
        <w:rPr>
          <w:rFonts w:eastAsia="Calibri"/>
          <w:szCs w:val="24"/>
        </w:rPr>
      </w:pPr>
      <w:r w:rsidRPr="00A61195">
        <w:t>(</w:t>
      </w:r>
      <w:r w:rsidRPr="00D3772B">
        <w:rPr>
          <w:b/>
          <w:bCs/>
          <w:vertAlign w:val="superscript"/>
        </w:rPr>
        <w:t>2</w:t>
      </w:r>
      <w:r w:rsidRPr="00A61195">
        <w:t>)</w:t>
      </w:r>
      <w:r w:rsidRPr="00A61195">
        <w:tab/>
        <w:t>Numărul UE: Inventarul european al substanțelor chimice existente introduse pe piață (EINECS) sau Lista europeană a substanțelor chimice notificate (ELINCS).</w:t>
      </w:r>
    </w:p>
    <w:p w14:paraId="0847E5C7" w14:textId="77777777" w:rsidR="00647D0C" w:rsidRPr="00A61195" w:rsidRDefault="00647D0C" w:rsidP="00A61195">
      <w:pPr>
        <w:pStyle w:val="Point0"/>
        <w:spacing w:before="0" w:after="0" w:line="240" w:lineRule="auto"/>
        <w:ind w:left="851"/>
        <w:rPr>
          <w:rFonts w:eastAsia="Calibri" w:cs="Arial"/>
          <w:szCs w:val="24"/>
        </w:rPr>
      </w:pPr>
      <w:r w:rsidRPr="00A61195">
        <w:t>(</w:t>
      </w:r>
      <w:r w:rsidRPr="00D3772B">
        <w:rPr>
          <w:b/>
          <w:bCs/>
          <w:vertAlign w:val="superscript"/>
        </w:rPr>
        <w:t>3</w:t>
      </w:r>
      <w:r w:rsidRPr="00A61195">
        <w:t>)</w:t>
      </w:r>
      <w:r w:rsidRPr="00A61195">
        <w:tab/>
        <w:t>Acest parametru reprezintă SC exprimat ca valoare medie anuală. Dacă nu se specifică altfel, acesta se aplică concentrației totale a tuturor substanțelor și izomerilor.</w:t>
      </w:r>
    </w:p>
    <w:p w14:paraId="4946AB74" w14:textId="77777777" w:rsidR="00647D0C" w:rsidRPr="00A61195" w:rsidRDefault="00647D0C" w:rsidP="00A61195">
      <w:pPr>
        <w:pStyle w:val="Point0"/>
        <w:spacing w:before="0" w:after="0" w:line="240" w:lineRule="auto"/>
        <w:ind w:left="851"/>
        <w:rPr>
          <w:rFonts w:eastAsia="Calibri" w:cs="Arial"/>
          <w:szCs w:val="24"/>
        </w:rPr>
      </w:pPr>
      <w:r w:rsidRPr="00A61195">
        <w:t>(</w:t>
      </w:r>
      <w:r w:rsidRPr="00D3772B">
        <w:rPr>
          <w:b/>
          <w:bCs/>
          <w:vertAlign w:val="superscript"/>
        </w:rPr>
        <w:t>4</w:t>
      </w:r>
      <w:r w:rsidRPr="00A61195">
        <w:t>)</w:t>
      </w:r>
      <w:r w:rsidRPr="00A61195">
        <w:tab/>
        <w:t xml:space="preserve">«Pesticide» înseamnă produsele fitosanitare și, respectiv, produsele </w:t>
      </w:r>
      <w:proofErr w:type="spellStart"/>
      <w:r w:rsidRPr="00A61195">
        <w:t>biocide</w:t>
      </w:r>
      <w:proofErr w:type="spellEnd"/>
      <w:r w:rsidRPr="00A61195">
        <w:t>, astfel cum sunt menționate la articolul 2 din Regulamentul (CE) nr. 1107/2009 și, respectiv, la articolul 3 din Regulamentul (UE) nr. 528/2012.</w:t>
      </w:r>
    </w:p>
    <w:p w14:paraId="372C68C4" w14:textId="348A45A9" w:rsidR="00647D0C" w:rsidRPr="00A61195" w:rsidRDefault="00647D0C" w:rsidP="00A61195">
      <w:pPr>
        <w:pStyle w:val="Text1"/>
        <w:spacing w:before="0" w:after="0" w:line="240" w:lineRule="auto"/>
        <w:ind w:left="851"/>
        <w:rPr>
          <w:rFonts w:eastAsia="Calibri" w:cs="Arial"/>
          <w:szCs w:val="24"/>
        </w:rPr>
      </w:pPr>
      <w:r w:rsidRPr="00A61195">
        <w:t>Pentru parametrul respectiv, statele membre monitorizează substanțele active prezente în produsele pesticide utilizate în prezent sau anterior pe teritoriul lor și orice substanțe constatate a fi prezente ca urmare a poluării transfrontaliere, precum și metaboliții și produșii lor de degradare și de reacție relevanți și nerelevanți, pe baza listei care urmează să fie stabilită în conformitate cu articolul 4 alineatul (2a) din prezenta directivă, atunci când această listă este disponibilă. Statele membre pot înceta monitorizarea anumitor substanțe active și a metaboliților acestora în cazul în care acestea nu mai sunt utilizate pe teritoriul lor, cu condiția ca monitorizarea anterioară să fi demonstrat în mod constant că substanțele și metaboliții respectivi nu sunt prezenți în corpul de apă subterană.</w:t>
      </w:r>
    </w:p>
    <w:p w14:paraId="3DBC090F" w14:textId="77777777" w:rsidR="00647D0C" w:rsidRPr="00A61195" w:rsidRDefault="00647D0C" w:rsidP="00A61195">
      <w:pPr>
        <w:pStyle w:val="Text1"/>
        <w:spacing w:before="0" w:after="0" w:line="240" w:lineRule="auto"/>
        <w:ind w:left="851"/>
        <w:rPr>
          <w:rFonts w:eastAsia="Calibri" w:cs="Arial"/>
          <w:szCs w:val="24"/>
        </w:rPr>
      </w:pPr>
      <w:r w:rsidRPr="00A61195">
        <w:t>Un metabolit al unui pesticid este considerat relevant dacă există motive să se considere că acesta are proprietăți intrinseci comparabile cu cele ale substanței-mamă active din punctul de vedere al toxicității sale pentru dăunătorul vizat sau că fie acesta, fie produsele sale de transformare generează un risc de sănătate pentru consumatori sau pentru mediu.</w:t>
      </w:r>
    </w:p>
    <w:p w14:paraId="71B466D4" w14:textId="77777777" w:rsidR="00647D0C" w:rsidRPr="00A61195" w:rsidRDefault="00647D0C" w:rsidP="00A61195">
      <w:pPr>
        <w:pStyle w:val="Point0"/>
        <w:spacing w:before="0" w:after="0" w:line="240" w:lineRule="auto"/>
        <w:ind w:left="851"/>
      </w:pPr>
      <w:r w:rsidRPr="00A61195">
        <w:t>(</w:t>
      </w:r>
      <w:r w:rsidRPr="00D3772B">
        <w:rPr>
          <w:b/>
          <w:bCs/>
          <w:vertAlign w:val="superscript"/>
        </w:rPr>
        <w:t>5</w:t>
      </w:r>
      <w:r w:rsidRPr="00A61195">
        <w:t>)</w:t>
      </w:r>
      <w:r w:rsidRPr="00A61195">
        <w:tab/>
        <w:t>«Total» înseamnă suma tuturor pesticidelor individuale detectate și cuantificate în cadrul procedurii de monitorizare, inclusiv metaboliții, produșii de degradare și produșii de reacție relevanți ai respectivelor pesticide.</w:t>
      </w:r>
    </w:p>
    <w:p w14:paraId="2CA05E83" w14:textId="77777777" w:rsidR="00647D0C" w:rsidRPr="00A61195" w:rsidRDefault="00647D0C" w:rsidP="00A61195">
      <w:pPr>
        <w:pStyle w:val="Point0"/>
        <w:spacing w:before="0" w:after="0" w:line="240" w:lineRule="auto"/>
        <w:ind w:left="851"/>
      </w:pPr>
      <w:r w:rsidRPr="00A61195">
        <w:t>(</w:t>
      </w:r>
      <w:r w:rsidRPr="00D3772B">
        <w:rPr>
          <w:b/>
          <w:bCs/>
          <w:vertAlign w:val="superscript"/>
        </w:rPr>
        <w:t>6</w:t>
      </w:r>
      <w:r w:rsidRPr="00D3772B">
        <w:t>)</w:t>
      </w:r>
      <w:r w:rsidRPr="00A61195">
        <w:tab/>
        <w:t>Acesta se referă la PFAS enumerate în partea B punctul 3 din anexa III la Directiva (UE) 2020/2184. Parametrul și standardul de calitate se actualizează în conformitate cu modificările aduse directivei respective.</w:t>
      </w:r>
    </w:p>
    <w:p w14:paraId="0B09469D" w14:textId="77777777" w:rsidR="00647D0C" w:rsidRPr="00A61195" w:rsidRDefault="00647D0C">
      <w:pPr>
        <w:spacing w:before="0" w:after="160" w:line="259" w:lineRule="auto"/>
        <w:rPr>
          <w:rFonts w:eastAsia="Calibri" w:cs="Arial"/>
          <w:bCs/>
          <w:szCs w:val="24"/>
        </w:rPr>
      </w:pPr>
      <w:r w:rsidRPr="00A61195">
        <w:rPr>
          <w:rFonts w:eastAsia="Calibri" w:cs="Arial"/>
          <w:bCs/>
          <w:szCs w:val="24"/>
        </w:rPr>
        <w:br w:type="page"/>
      </w:r>
    </w:p>
    <w:p w14:paraId="1F569A2A" w14:textId="5C3AD929" w:rsidR="00647D0C" w:rsidRPr="00A61195" w:rsidRDefault="00647D0C" w:rsidP="00A61195">
      <w:pPr>
        <w:pStyle w:val="Point0"/>
        <w:spacing w:before="0" w:after="0" w:line="240" w:lineRule="auto"/>
        <w:ind w:left="851"/>
      </w:pPr>
      <w:r w:rsidRPr="00A61195">
        <w:lastRenderedPageBreak/>
        <w:t>(</w:t>
      </w:r>
      <w:r w:rsidRPr="00D3772B">
        <w:rPr>
          <w:b/>
          <w:bCs/>
          <w:vertAlign w:val="superscript"/>
        </w:rPr>
        <w:t>7</w:t>
      </w:r>
      <w:r w:rsidRPr="00A61195">
        <w:t>)</w:t>
      </w:r>
      <w:r w:rsidRPr="00A61195">
        <w:tab/>
        <w:t xml:space="preserve">Sunt vizați următorii compuși, enumerați alături de numărul CAS și numărul UE: acid </w:t>
      </w:r>
      <w:proofErr w:type="spellStart"/>
      <w:r w:rsidRPr="00A61195">
        <w:t>perfluorohexansulfonic</w:t>
      </w:r>
      <w:proofErr w:type="spellEnd"/>
      <w:r w:rsidRPr="00A61195">
        <w:t xml:space="preserve"> (</w:t>
      </w:r>
      <w:proofErr w:type="spellStart"/>
      <w:r w:rsidRPr="00A61195">
        <w:t>PFHxS</w:t>
      </w:r>
      <w:proofErr w:type="spellEnd"/>
      <w:r w:rsidRPr="00A61195">
        <w:t>), (CAS 355-46-4, UE</w:t>
      </w:r>
      <w:r w:rsidR="00D3772B">
        <w:t> </w:t>
      </w:r>
      <w:r w:rsidRPr="00A61195">
        <w:t xml:space="preserve">206-587-1); acid </w:t>
      </w:r>
      <w:proofErr w:type="spellStart"/>
      <w:r w:rsidRPr="00A61195">
        <w:t>perfluorooctansulfonic</w:t>
      </w:r>
      <w:proofErr w:type="spellEnd"/>
      <w:r w:rsidRPr="00A61195">
        <w:t xml:space="preserve"> (PFOS) (CAS 1763-23-1, UE 217-179-8); acid </w:t>
      </w:r>
      <w:proofErr w:type="spellStart"/>
      <w:r w:rsidRPr="00A61195">
        <w:t>perfluorooctanoic</w:t>
      </w:r>
      <w:proofErr w:type="spellEnd"/>
      <w:r w:rsidRPr="00A61195">
        <w:t xml:space="preserve"> (PFOA) (CAS 335-67-1, UE</w:t>
      </w:r>
      <w:r w:rsidR="00D3772B">
        <w:t> </w:t>
      </w:r>
      <w:r w:rsidRPr="00A61195">
        <w:t xml:space="preserve">206-397-9); acid </w:t>
      </w:r>
      <w:proofErr w:type="spellStart"/>
      <w:r w:rsidRPr="00A61195">
        <w:t>perfluorononanoic</w:t>
      </w:r>
      <w:proofErr w:type="spellEnd"/>
      <w:r w:rsidRPr="00A61195">
        <w:t xml:space="preserve"> (PFNA) (CAS 375-95-1, UE 206-801-3). Pentru suma celor 4 PFAS, numerele CAS enumerate se referă numai la forma </w:t>
      </w:r>
      <w:proofErr w:type="spellStart"/>
      <w:r w:rsidRPr="00A61195">
        <w:t>protonată</w:t>
      </w:r>
      <w:proofErr w:type="spellEnd"/>
      <w:r w:rsidRPr="00A61195">
        <w:t xml:space="preserve"> a PFAS individuale, dar suma se aplică concentrației totale a substanțelor dizolvate, inclusiv a formelor </w:t>
      </w:r>
      <w:proofErr w:type="spellStart"/>
      <w:r w:rsidRPr="00A61195">
        <w:t>protonate</w:t>
      </w:r>
      <w:proofErr w:type="spellEnd"/>
      <w:r w:rsidRPr="00A61195">
        <w:t xml:space="preserve"> și </w:t>
      </w:r>
      <w:proofErr w:type="spellStart"/>
      <w:r w:rsidRPr="00A61195">
        <w:t>deprotonate</w:t>
      </w:r>
      <w:proofErr w:type="spellEnd"/>
      <w:r w:rsidRPr="00A61195">
        <w:t xml:space="preserve"> și a izomerilor liniari și ramificați ai acestora.</w:t>
      </w:r>
    </w:p>
    <w:p w14:paraId="5864F72D" w14:textId="77777777" w:rsidR="00647D0C" w:rsidRPr="00A61195" w:rsidRDefault="00647D0C" w:rsidP="00A61195">
      <w:pPr>
        <w:pStyle w:val="Point0"/>
        <w:spacing w:before="0" w:after="0" w:line="240" w:lineRule="auto"/>
        <w:ind w:left="851"/>
        <w:rPr>
          <w:bCs/>
        </w:rPr>
      </w:pPr>
      <w:r w:rsidRPr="00A61195">
        <w:t>(</w:t>
      </w:r>
      <w:r w:rsidRPr="00D3772B">
        <w:rPr>
          <w:b/>
          <w:bCs/>
          <w:vertAlign w:val="superscript"/>
        </w:rPr>
        <w:t>9</w:t>
      </w:r>
      <w:r w:rsidRPr="00A61195">
        <w:t>)</w:t>
      </w:r>
      <w:r w:rsidRPr="00A61195">
        <w:tab/>
        <w:t>Statele membre aplică un standard de calitate implicit de 1 </w:t>
      </w:r>
      <w:proofErr w:type="spellStart"/>
      <w:r w:rsidRPr="00A61195">
        <w:t>μg</w:t>
      </w:r>
      <w:proofErr w:type="spellEnd"/>
      <w:r w:rsidRPr="00A61195">
        <w:t>/l, cu excepția cazului în care furnizează dovezi fiabile, inclusiv în urma testelor de toxicitate acută și cronică asupra grupului taxonomic despre care se estimează cu încredere că este cel mai sensibil, conform cărora se justifică un standard mai strict sau mai puțin strict, caz în care aplică standardul respectiv, până la valoarea maximă de 5 </w:t>
      </w:r>
      <w:proofErr w:type="spellStart"/>
      <w:r w:rsidRPr="00A61195">
        <w:t>μg</w:t>
      </w:r>
      <w:proofErr w:type="spellEnd"/>
      <w:r w:rsidRPr="00A61195">
        <w:t>/l.</w:t>
      </w:r>
    </w:p>
    <w:p w14:paraId="346B62D9" w14:textId="77777777" w:rsidR="00647D0C" w:rsidRPr="00A61195" w:rsidRDefault="00647D0C" w:rsidP="00A61195">
      <w:pPr>
        <w:pStyle w:val="Point0"/>
        <w:spacing w:before="0" w:after="0" w:line="240" w:lineRule="auto"/>
        <w:ind w:left="851"/>
      </w:pPr>
      <w:r w:rsidRPr="00A61195">
        <w:t>(</w:t>
      </w:r>
      <w:r w:rsidRPr="00D3772B">
        <w:rPr>
          <w:b/>
          <w:bCs/>
          <w:vertAlign w:val="superscript"/>
        </w:rPr>
        <w:t>10</w:t>
      </w:r>
      <w:r w:rsidRPr="00A61195">
        <w:t>)</w:t>
      </w:r>
      <w:r w:rsidRPr="00A61195">
        <w:tab/>
        <w:t xml:space="preserve">Concentrația totală a </w:t>
      </w:r>
      <w:proofErr w:type="spellStart"/>
      <w:r w:rsidRPr="00A61195">
        <w:t>Mnr-urilor</w:t>
      </w:r>
      <w:proofErr w:type="spellEnd"/>
      <w:r w:rsidRPr="00A61195">
        <w:t xml:space="preserve"> pentru care se aplică standardul de calitate implicit de 1 </w:t>
      </w:r>
      <w:proofErr w:type="spellStart"/>
      <w:r w:rsidRPr="00A61195">
        <w:t>μg</w:t>
      </w:r>
      <w:proofErr w:type="spellEnd"/>
      <w:r w:rsidRPr="00A61195">
        <w:t xml:space="preserve">/l pentru </w:t>
      </w:r>
      <w:proofErr w:type="spellStart"/>
      <w:r w:rsidRPr="00A61195">
        <w:t>Mnr-uri</w:t>
      </w:r>
      <w:proofErr w:type="spellEnd"/>
      <w:r w:rsidRPr="00A61195">
        <w:t xml:space="preserve"> individuale sau un standard mai strict nu trebuie să depășească 5 </w:t>
      </w:r>
      <w:proofErr w:type="spellStart"/>
      <w:r w:rsidRPr="00A61195">
        <w:t>μg</w:t>
      </w:r>
      <w:proofErr w:type="spellEnd"/>
      <w:r w:rsidRPr="00A61195">
        <w:t>/l.</w:t>
      </w:r>
    </w:p>
    <w:p w14:paraId="16BBEF15" w14:textId="77777777" w:rsidR="00647D0C" w:rsidRPr="00A61195" w:rsidRDefault="00647D0C" w:rsidP="00A61195">
      <w:pPr>
        <w:pStyle w:val="Point0"/>
        <w:spacing w:before="0" w:after="0" w:line="240" w:lineRule="auto"/>
        <w:ind w:left="851"/>
      </w:pPr>
      <w:r w:rsidRPr="00A61195">
        <w:t>(</w:t>
      </w:r>
      <w:r w:rsidRPr="00D3772B">
        <w:rPr>
          <w:b/>
          <w:bCs/>
          <w:vertAlign w:val="superscript"/>
        </w:rPr>
        <w:t>11</w:t>
      </w:r>
      <w:r w:rsidRPr="00A61195">
        <w:t>)</w:t>
      </w:r>
      <w:r w:rsidRPr="00A61195">
        <w:tab/>
        <w:t xml:space="preserve">Concentrația totală a </w:t>
      </w:r>
      <w:proofErr w:type="spellStart"/>
      <w:r w:rsidRPr="00A61195">
        <w:t>Mnr-urilor</w:t>
      </w:r>
      <w:proofErr w:type="spellEnd"/>
      <w:r w:rsidRPr="00A61195">
        <w:t xml:space="preserve"> pentru care se aplică standarde de peste 1 și de până la 5 </w:t>
      </w:r>
      <w:proofErr w:type="spellStart"/>
      <w:r w:rsidRPr="00A61195">
        <w:t>μg</w:t>
      </w:r>
      <w:proofErr w:type="spellEnd"/>
      <w:r w:rsidRPr="00A61195">
        <w:t xml:space="preserve">/l pentru </w:t>
      </w:r>
      <w:proofErr w:type="spellStart"/>
      <w:r w:rsidRPr="00A61195">
        <w:t>Mnr-uri</w:t>
      </w:r>
      <w:proofErr w:type="spellEnd"/>
      <w:r w:rsidRPr="00A61195">
        <w:t xml:space="preserve"> individuale nu trebuie să depășească 12,5 </w:t>
      </w:r>
      <w:proofErr w:type="spellStart"/>
      <w:r w:rsidRPr="00A61195">
        <w:t>μg</w:t>
      </w:r>
      <w:proofErr w:type="spellEnd"/>
      <w:r w:rsidRPr="00A61195">
        <w:t>/l.</w:t>
      </w:r>
    </w:p>
    <w:p w14:paraId="42CFC0B6" w14:textId="77777777" w:rsidR="00647D0C" w:rsidRPr="00A61195" w:rsidRDefault="00647D0C" w:rsidP="00A61195">
      <w:pPr>
        <w:pStyle w:val="Point0"/>
        <w:spacing w:before="0" w:after="0" w:line="240" w:lineRule="auto"/>
        <w:ind w:left="851"/>
      </w:pPr>
      <w:r w:rsidRPr="00A61195">
        <w:t>(</w:t>
      </w:r>
      <w:r w:rsidRPr="00D3772B">
        <w:rPr>
          <w:b/>
          <w:bCs/>
          <w:vertAlign w:val="superscript"/>
        </w:rPr>
        <w:t>12</w:t>
      </w:r>
      <w:r w:rsidRPr="00A61195">
        <w:t>)</w:t>
      </w:r>
      <w:r w:rsidRPr="00A61195">
        <w:tab/>
        <w:t xml:space="preserve">«Total» înseamnă suma tuturor </w:t>
      </w:r>
      <w:proofErr w:type="spellStart"/>
      <w:r w:rsidRPr="00A61195">
        <w:t>Mnr-urilor</w:t>
      </w:r>
      <w:proofErr w:type="spellEnd"/>
      <w:r w:rsidRPr="00A61195">
        <w:t xml:space="preserve"> individuale din fiecare categorie individuală de standarde de calitate detectate și cuantificate în cadrul procedurii de monitorizare, care ar trebui să acopere cel puțin </w:t>
      </w:r>
      <w:proofErr w:type="spellStart"/>
      <w:r w:rsidRPr="00A61195">
        <w:t>Mnr-urile</w:t>
      </w:r>
      <w:proofErr w:type="spellEnd"/>
      <w:r w:rsidRPr="00A61195">
        <w:t xml:space="preserve"> enumerate în conformitate cu articolul 4 alineatul (2a).</w:t>
      </w:r>
    </w:p>
    <w:p w14:paraId="3720D5EB" w14:textId="379F34CB" w:rsidR="00647D0C" w:rsidRPr="00A61195" w:rsidRDefault="00647D0C" w:rsidP="00A61195">
      <w:pPr>
        <w:pStyle w:val="Point0"/>
        <w:spacing w:before="0" w:after="0" w:line="240" w:lineRule="auto"/>
        <w:ind w:left="851"/>
      </w:pPr>
      <w:r w:rsidRPr="00A61195">
        <w:t>(</w:t>
      </w:r>
      <w:r w:rsidRPr="00D3772B">
        <w:rPr>
          <w:b/>
          <w:bCs/>
          <w:vertAlign w:val="superscript"/>
        </w:rPr>
        <w:t>13</w:t>
      </w:r>
      <w:r w:rsidRPr="00A61195">
        <w:t>)</w:t>
      </w:r>
      <w:r w:rsidRPr="00A61195">
        <w:tab/>
        <w:t>Atunci când este disponibilă o metodologie fiabilă, statele membre evaluează prezența ecosistemelor de apă subterană în corpurile de apă subterană ale căror caracteristici ar putea susține existența acestora și stabilesc, în cazul prezenței unor astfel de ecosisteme și în conformitate cu articolul 3 alineatul (1) litera (b), o valoare prag mai strictă pentru această substanță, care să fie adecvată pentru protejarea ecosistemelor respective.</w:t>
      </w:r>
    </w:p>
    <w:p w14:paraId="01BB5D02" w14:textId="71B925C3" w:rsidR="00647D0C" w:rsidRPr="00A61195" w:rsidRDefault="00647D0C" w:rsidP="00A61195">
      <w:pPr>
        <w:pStyle w:val="Point0"/>
        <w:spacing w:before="0" w:after="0" w:line="240" w:lineRule="auto"/>
        <w:ind w:left="851"/>
      </w:pPr>
      <w:r w:rsidRPr="00A61195">
        <w:t>(</w:t>
      </w:r>
      <w:r w:rsidRPr="00D3772B">
        <w:rPr>
          <w:b/>
          <w:bCs/>
          <w:vertAlign w:val="superscript"/>
        </w:rPr>
        <w:t>14</w:t>
      </w:r>
      <w:r w:rsidRPr="00A61195">
        <w:t>)</w:t>
      </w:r>
      <w:r w:rsidRPr="00A61195">
        <w:tab/>
        <w:t xml:space="preserve">«Total» înseamnă suma concentrațiilor de tricloretilenă și </w:t>
      </w:r>
      <w:proofErr w:type="spellStart"/>
      <w:r w:rsidRPr="00A61195">
        <w:t>tetracloroetilenă</w:t>
      </w:r>
      <w:proofErr w:type="spellEnd"/>
      <w:r w:rsidRPr="00A61195">
        <w:t>.”</w:t>
      </w:r>
    </w:p>
    <w:p w14:paraId="4731ABBE" w14:textId="77777777" w:rsidR="00647D0C" w:rsidRPr="00A61195" w:rsidRDefault="00647D0C" w:rsidP="00647D0C">
      <w:pPr>
        <w:pStyle w:val="LignefinalLandscape"/>
      </w:pPr>
    </w:p>
    <w:p w14:paraId="0BEBD7E4" w14:textId="77777777" w:rsidR="00647D0C" w:rsidRPr="00A61195" w:rsidRDefault="00647D0C" w:rsidP="00A61195">
      <w:pPr>
        <w:rPr>
          <w:rFonts w:eastAsia="Calibri" w:cs="Arial"/>
          <w:szCs w:val="24"/>
        </w:rPr>
        <w:sectPr w:rsidR="00647D0C" w:rsidRPr="00A61195" w:rsidSect="00B35CF3">
          <w:headerReference w:type="default" r:id="rId80"/>
          <w:footerReference w:type="default" r:id="rId81"/>
          <w:pgSz w:w="16839" w:h="11907" w:orient="landscape" w:code="9"/>
          <w:pgMar w:top="1134" w:right="1134" w:bottom="1134" w:left="1134" w:header="567" w:footer="567" w:gutter="0"/>
          <w:cols w:space="708"/>
          <w:docGrid w:linePitch="360"/>
        </w:sectPr>
      </w:pPr>
    </w:p>
    <w:p w14:paraId="71C60837" w14:textId="77777777" w:rsidR="00647D0C" w:rsidRPr="00A61195" w:rsidRDefault="00647D0C" w:rsidP="00A61195">
      <w:pPr>
        <w:pStyle w:val="Annexetitre"/>
        <w:rPr>
          <w:bCs/>
        </w:rPr>
      </w:pPr>
      <w:r w:rsidRPr="00A61195">
        <w:lastRenderedPageBreak/>
        <w:t>ANEXA IV</w:t>
      </w:r>
    </w:p>
    <w:p w14:paraId="55361444" w14:textId="77777777" w:rsidR="00647D0C" w:rsidRPr="00A61195" w:rsidRDefault="00647D0C" w:rsidP="00647D0C">
      <w:r w:rsidRPr="00A61195">
        <w:t>Anexa II la Directiva 2006/118/CE se modifică după cum urmează:</w:t>
      </w:r>
    </w:p>
    <w:p w14:paraId="16B44DCC" w14:textId="77777777" w:rsidR="00647D0C" w:rsidRPr="00A61195" w:rsidRDefault="00647D0C" w:rsidP="00A61195">
      <w:pPr>
        <w:pStyle w:val="Point0"/>
      </w:pPr>
      <w:r w:rsidRPr="00A61195">
        <w:t>1.</w:t>
      </w:r>
      <w:r w:rsidRPr="00A61195">
        <w:tab/>
        <w:t>În partea A, după primul paragraf se introduce următorul paragraf:</w:t>
      </w:r>
    </w:p>
    <w:p w14:paraId="1E193D77" w14:textId="66EA97C2" w:rsidR="00647D0C" w:rsidRPr="00A61195" w:rsidRDefault="00647D0C" w:rsidP="00A61195">
      <w:pPr>
        <w:pStyle w:val="Text1"/>
      </w:pPr>
      <w:r w:rsidRPr="00A61195">
        <w:t>„În conformitate cu articolul 15 din Directiva 2000/60/CE, statele membre se asigură că autoritățile competente informează Comisia cu privire la valorile prag pentru poluanți și pentru indicatorii poluării.”</w:t>
      </w:r>
    </w:p>
    <w:p w14:paraId="4957B41B" w14:textId="77777777" w:rsidR="00647D0C" w:rsidRPr="00A61195" w:rsidRDefault="00647D0C" w:rsidP="00A61195">
      <w:pPr>
        <w:pStyle w:val="Point0"/>
      </w:pPr>
      <w:r w:rsidRPr="00A61195">
        <w:t>2.</w:t>
      </w:r>
      <w:r w:rsidRPr="00A61195">
        <w:tab/>
        <w:t>În partea B, punctul 2 se înlocuiește cu următorul text:</w:t>
      </w:r>
    </w:p>
    <w:p w14:paraId="44A53A4A" w14:textId="77777777" w:rsidR="00647D0C" w:rsidRPr="00A61195" w:rsidRDefault="00647D0C" w:rsidP="00A61195">
      <w:pPr>
        <w:pStyle w:val="Point1"/>
      </w:pPr>
      <w:r w:rsidRPr="00A61195">
        <w:t>„2.</w:t>
      </w:r>
      <w:r w:rsidRPr="00A61195">
        <w:tab/>
        <w:t>Substanțe sintetice artificiale</w:t>
      </w:r>
      <w:r w:rsidRPr="00D3772B">
        <w:rPr>
          <w:b/>
          <w:bCs/>
          <w:vertAlign w:val="superscript"/>
        </w:rPr>
        <w:t>*</w:t>
      </w:r>
    </w:p>
    <w:p w14:paraId="11B9F17E" w14:textId="50CCD94C" w:rsidR="00647D0C" w:rsidRPr="00A61195" w:rsidRDefault="00647D0C" w:rsidP="00A61195">
      <w:pPr>
        <w:pStyle w:val="Text2"/>
      </w:pPr>
      <w:r w:rsidRPr="00A61195">
        <w:t>Tricloretilenă</w:t>
      </w:r>
    </w:p>
    <w:p w14:paraId="257222A0" w14:textId="5DB9210F" w:rsidR="00647D0C" w:rsidRPr="00A61195" w:rsidRDefault="00647D0C" w:rsidP="00A61195">
      <w:pPr>
        <w:pStyle w:val="Text2"/>
      </w:pPr>
      <w:proofErr w:type="spellStart"/>
      <w:r w:rsidRPr="00A61195">
        <w:t>Tetraclorotilenă</w:t>
      </w:r>
      <w:proofErr w:type="spellEnd"/>
    </w:p>
    <w:p w14:paraId="26A72247" w14:textId="229D069C" w:rsidR="00647D0C" w:rsidRPr="00A61195" w:rsidRDefault="00D3772B" w:rsidP="00A61195">
      <w:pPr>
        <w:pStyle w:val="Text2"/>
      </w:pPr>
      <w:r>
        <w:t>_________________</w:t>
      </w:r>
    </w:p>
    <w:p w14:paraId="15B031B2" w14:textId="58A9E544" w:rsidR="00647D0C" w:rsidRPr="00A61195" w:rsidRDefault="00647D0C" w:rsidP="00A61195">
      <w:pPr>
        <w:pStyle w:val="Point2"/>
        <w:spacing w:before="0" w:line="240" w:lineRule="auto"/>
        <w:ind w:left="1985"/>
      </w:pPr>
      <w:r w:rsidRPr="00D3772B">
        <w:rPr>
          <w:b/>
          <w:bCs/>
          <w:vertAlign w:val="superscript"/>
        </w:rPr>
        <w:t>*</w:t>
      </w:r>
      <w:r w:rsidRPr="00A61195">
        <w:tab/>
        <w:t>inclusiv substanțe sintetice cu omologi naturali identici care pot fi prezente în apele subterane, dar în cazul cărora orice concentrație a fondului natural este, cel mult, scăzută.”</w:t>
      </w:r>
    </w:p>
    <w:p w14:paraId="74DAC293" w14:textId="7DE6AE0D" w:rsidR="00647D0C" w:rsidRPr="00A61195" w:rsidRDefault="00647D0C" w:rsidP="00A61195">
      <w:r w:rsidRPr="00A61195">
        <w:br w:type="page"/>
      </w:r>
    </w:p>
    <w:p w14:paraId="076777DE" w14:textId="4A167EAE" w:rsidR="00647D0C" w:rsidRPr="00A61195" w:rsidRDefault="00A61195" w:rsidP="00A61195">
      <w:pPr>
        <w:pStyle w:val="Point0"/>
      </w:pPr>
      <w:r w:rsidRPr="00A61195">
        <w:lastRenderedPageBreak/>
        <w:t>3</w:t>
      </w:r>
      <w:r w:rsidR="00647D0C" w:rsidRPr="00A61195">
        <w:t>.</w:t>
      </w:r>
      <w:r w:rsidR="00647D0C" w:rsidRPr="00A61195">
        <w:tab/>
        <w:t>În partea C, titlul se înlocuiește cu următorul text:</w:t>
      </w:r>
    </w:p>
    <w:p w14:paraId="276E39DF" w14:textId="5D1E8762" w:rsidR="00647D0C" w:rsidRPr="00A61195" w:rsidRDefault="00647D0C" w:rsidP="00A61195">
      <w:pPr>
        <w:pStyle w:val="Text1"/>
      </w:pPr>
      <w:r w:rsidRPr="00A61195">
        <w:t>„Informații care trebuie furnizate de către statele membre cu privire la poluanții și indicatorii poluării pentru care s-au stabilit valori prag de către statele membre”.</w:t>
      </w:r>
    </w:p>
    <w:p w14:paraId="4AAED8A8" w14:textId="0A295337" w:rsidR="00647D0C" w:rsidRPr="00A61195" w:rsidRDefault="00A61195" w:rsidP="00A61195">
      <w:pPr>
        <w:pStyle w:val="Point0"/>
      </w:pPr>
      <w:r w:rsidRPr="00A61195">
        <w:t>4</w:t>
      </w:r>
      <w:r w:rsidR="00647D0C" w:rsidRPr="00A61195">
        <w:t>.</w:t>
      </w:r>
      <w:r w:rsidR="00647D0C" w:rsidRPr="00A61195">
        <w:tab/>
        <w:t>Se adaugă următoarea parte:</w:t>
      </w:r>
    </w:p>
    <w:p w14:paraId="30BA8B29" w14:textId="77777777" w:rsidR="00647D0C" w:rsidRPr="00A61195" w:rsidRDefault="00647D0C" w:rsidP="00A61195">
      <w:pPr>
        <w:pStyle w:val="Text1"/>
        <w:rPr>
          <w:bCs/>
        </w:rPr>
      </w:pPr>
      <w:r w:rsidRPr="00A61195">
        <w:t>„Partea D</w:t>
      </w:r>
    </w:p>
    <w:p w14:paraId="7F796D78" w14:textId="6E4D7439" w:rsidR="00647D0C" w:rsidRPr="00A61195" w:rsidRDefault="00647D0C" w:rsidP="00A61195">
      <w:pPr>
        <w:pStyle w:val="Text1"/>
        <w:rPr>
          <w:bCs/>
        </w:rPr>
      </w:pPr>
      <w:r w:rsidRPr="00A61195">
        <w:t>Registrul cu valori prag armonizate pentru substanțele sintetice artificiale</w:t>
      </w:r>
      <w:r w:rsidRPr="00D3772B">
        <w:rPr>
          <w:b/>
          <w:bCs/>
          <w:vertAlign w:val="superscript"/>
        </w:rPr>
        <w:t>*</w:t>
      </w:r>
      <w:r w:rsidRPr="00A61195">
        <w:t xml:space="preserve"> din apele subterane care prezintă motive de îngrijorare la nivel național, regional sau local</w:t>
      </w:r>
    </w:p>
    <w:p w14:paraId="7069A308" w14:textId="63762AE1" w:rsidR="00647D0C" w:rsidRPr="00A61195" w:rsidRDefault="00D3772B" w:rsidP="00A61195">
      <w:pPr>
        <w:pStyle w:val="Text1"/>
        <w:rPr>
          <w:bCs/>
        </w:rPr>
      </w:pPr>
      <w:r>
        <w:t>_________________</w:t>
      </w:r>
    </w:p>
    <w:p w14:paraId="1FA04F49" w14:textId="2C70A3AC" w:rsidR="00647D0C" w:rsidRPr="00A61195" w:rsidRDefault="00647D0C" w:rsidP="00A61195">
      <w:pPr>
        <w:pStyle w:val="Point1"/>
        <w:spacing w:before="0" w:line="240" w:lineRule="auto"/>
        <w:ind w:left="1418"/>
        <w:rPr>
          <w:bCs/>
        </w:rPr>
      </w:pPr>
      <w:r w:rsidRPr="00A61195">
        <w:rPr>
          <w:b/>
          <w:vertAlign w:val="superscript"/>
        </w:rPr>
        <w:t>*</w:t>
      </w:r>
      <w:r w:rsidRPr="00A61195">
        <w:tab/>
        <w:t>inclusiv substanțe sintetice cu omologi naturali identici care pot fi prezente în apele subterane, dar în cazul cărora orice concentrație a fondului natural este, cel mult, scăzută.</w:t>
      </w:r>
    </w:p>
    <w:p w14:paraId="640E7437" w14:textId="77777777" w:rsidR="00647D0C" w:rsidRPr="00A61195" w:rsidRDefault="00647D0C" w:rsidP="00647D0C">
      <w:pPr>
        <w:spacing w:before="0" w:after="0" w:line="240" w:lineRule="auto"/>
        <w:ind w:left="1418" w:hanging="567"/>
        <w:rPr>
          <w:bCs/>
        </w:rPr>
        <w:sectPr w:rsidR="00647D0C" w:rsidRPr="00A61195" w:rsidSect="00B35CF3">
          <w:headerReference w:type="even" r:id="rId82"/>
          <w:headerReference w:type="default" r:id="rId83"/>
          <w:footerReference w:type="even" r:id="rId84"/>
          <w:footerReference w:type="default" r:id="rId85"/>
          <w:headerReference w:type="first" r:id="rId86"/>
          <w:footerReference w:type="first" r:id="rId87"/>
          <w:footnotePr>
            <w:numRestart w:val="eachSect"/>
          </w:footnotePr>
          <w:pgSz w:w="11907" w:h="16839" w:code="9"/>
          <w:pgMar w:top="1134" w:right="1134" w:bottom="1134" w:left="1134" w:header="567" w:footer="567" w:gutter="0"/>
          <w:pgNumType w:start="1"/>
          <w:cols w:space="720"/>
          <w:docGrid w:linePitch="360"/>
        </w:sectPr>
      </w:pPr>
    </w:p>
    <w:tbl>
      <w:tblPr>
        <w:tblStyle w:val="TableGrid"/>
        <w:tblpPr w:leftFromText="180" w:rightFromText="180" w:vertAnchor="text" w:horzAnchor="margin" w:tblpXSpec="center" w:tblpY="35"/>
        <w:tblW w:w="5000" w:type="pct"/>
        <w:tblLayout w:type="fixed"/>
        <w:tblLook w:val="04A0" w:firstRow="1" w:lastRow="0" w:firstColumn="1" w:lastColumn="0" w:noHBand="0" w:noVBand="1"/>
      </w:tblPr>
      <w:tblGrid>
        <w:gridCol w:w="1494"/>
        <w:gridCol w:w="3110"/>
        <w:gridCol w:w="2906"/>
        <w:gridCol w:w="1995"/>
        <w:gridCol w:w="1867"/>
        <w:gridCol w:w="3189"/>
      </w:tblGrid>
      <w:tr w:rsidR="00647D0C" w:rsidRPr="00A61195" w14:paraId="2C577156" w14:textId="77777777" w:rsidTr="00D3772B">
        <w:tc>
          <w:tcPr>
            <w:tcW w:w="513" w:type="pct"/>
          </w:tcPr>
          <w:p w14:paraId="198D53E0" w14:textId="77777777" w:rsidR="00647D0C" w:rsidRPr="00A61195" w:rsidRDefault="00647D0C" w:rsidP="009D20AB">
            <w:pPr>
              <w:numPr>
                <w:ilvl w:val="2"/>
                <w:numId w:val="0"/>
              </w:numPr>
              <w:spacing w:before="60" w:after="60" w:line="240" w:lineRule="auto"/>
              <w:jc w:val="center"/>
              <w:rPr>
                <w:rFonts w:eastAsia="Calibri"/>
              </w:rPr>
            </w:pPr>
            <w:r w:rsidRPr="00A61195">
              <w:lastRenderedPageBreak/>
              <w:t>(1)</w:t>
            </w:r>
          </w:p>
        </w:tc>
        <w:tc>
          <w:tcPr>
            <w:tcW w:w="1068" w:type="pct"/>
          </w:tcPr>
          <w:p w14:paraId="5DD76F72" w14:textId="77777777" w:rsidR="00647D0C" w:rsidRPr="00A61195" w:rsidRDefault="00647D0C" w:rsidP="009D20AB">
            <w:pPr>
              <w:numPr>
                <w:ilvl w:val="2"/>
                <w:numId w:val="0"/>
              </w:numPr>
              <w:spacing w:before="60" w:after="60" w:line="240" w:lineRule="auto"/>
              <w:jc w:val="center"/>
              <w:rPr>
                <w:rFonts w:eastAsia="Calibri"/>
              </w:rPr>
            </w:pPr>
            <w:r w:rsidRPr="00A61195">
              <w:t>(2)</w:t>
            </w:r>
          </w:p>
        </w:tc>
        <w:tc>
          <w:tcPr>
            <w:tcW w:w="998" w:type="pct"/>
          </w:tcPr>
          <w:p w14:paraId="2CDB55A9" w14:textId="77777777" w:rsidR="00647D0C" w:rsidRPr="00A61195" w:rsidRDefault="00647D0C" w:rsidP="009D20AB">
            <w:pPr>
              <w:numPr>
                <w:ilvl w:val="2"/>
                <w:numId w:val="0"/>
              </w:numPr>
              <w:spacing w:before="60" w:after="60" w:line="240" w:lineRule="auto"/>
              <w:jc w:val="center"/>
              <w:rPr>
                <w:rFonts w:eastAsia="Calibri"/>
              </w:rPr>
            </w:pPr>
            <w:r w:rsidRPr="00A61195">
              <w:t>(3)</w:t>
            </w:r>
          </w:p>
        </w:tc>
        <w:tc>
          <w:tcPr>
            <w:tcW w:w="685" w:type="pct"/>
          </w:tcPr>
          <w:p w14:paraId="757207C9" w14:textId="77777777" w:rsidR="00647D0C" w:rsidRPr="00A61195" w:rsidRDefault="00647D0C" w:rsidP="009D20AB">
            <w:pPr>
              <w:numPr>
                <w:ilvl w:val="2"/>
                <w:numId w:val="0"/>
              </w:numPr>
              <w:spacing w:before="60" w:after="60" w:line="240" w:lineRule="auto"/>
              <w:jc w:val="center"/>
              <w:rPr>
                <w:rFonts w:eastAsia="Calibri"/>
              </w:rPr>
            </w:pPr>
            <w:r w:rsidRPr="00A61195">
              <w:t>(4)</w:t>
            </w:r>
          </w:p>
        </w:tc>
        <w:tc>
          <w:tcPr>
            <w:tcW w:w="641" w:type="pct"/>
          </w:tcPr>
          <w:p w14:paraId="32A1B098" w14:textId="77777777" w:rsidR="00647D0C" w:rsidRPr="00A61195" w:rsidRDefault="00647D0C" w:rsidP="009D20AB">
            <w:pPr>
              <w:numPr>
                <w:ilvl w:val="2"/>
                <w:numId w:val="0"/>
              </w:numPr>
              <w:spacing w:before="60" w:after="60" w:line="240" w:lineRule="auto"/>
              <w:jc w:val="center"/>
              <w:rPr>
                <w:rFonts w:eastAsia="Calibri"/>
              </w:rPr>
            </w:pPr>
            <w:r w:rsidRPr="00A61195">
              <w:t>(5)</w:t>
            </w:r>
          </w:p>
        </w:tc>
        <w:tc>
          <w:tcPr>
            <w:tcW w:w="1096" w:type="pct"/>
          </w:tcPr>
          <w:p w14:paraId="00007364" w14:textId="77777777" w:rsidR="00647D0C" w:rsidRPr="00A61195" w:rsidRDefault="00647D0C" w:rsidP="009D20AB">
            <w:pPr>
              <w:numPr>
                <w:ilvl w:val="2"/>
                <w:numId w:val="0"/>
              </w:numPr>
              <w:spacing w:before="60" w:after="60" w:line="240" w:lineRule="auto"/>
              <w:jc w:val="center"/>
              <w:rPr>
                <w:rFonts w:eastAsia="Calibri"/>
              </w:rPr>
            </w:pPr>
            <w:r w:rsidRPr="00A61195">
              <w:t>(6)</w:t>
            </w:r>
          </w:p>
        </w:tc>
      </w:tr>
      <w:tr w:rsidR="00647D0C" w:rsidRPr="00A61195" w14:paraId="44856C2E" w14:textId="77777777" w:rsidTr="00D3772B">
        <w:tc>
          <w:tcPr>
            <w:tcW w:w="513" w:type="pct"/>
            <w:vAlign w:val="center"/>
          </w:tcPr>
          <w:p w14:paraId="31A3B7F3" w14:textId="77777777" w:rsidR="00647D0C" w:rsidRPr="00A61195" w:rsidRDefault="00647D0C" w:rsidP="00D3772B">
            <w:pPr>
              <w:numPr>
                <w:ilvl w:val="2"/>
                <w:numId w:val="0"/>
              </w:numPr>
              <w:spacing w:before="60" w:after="60" w:line="240" w:lineRule="auto"/>
              <w:jc w:val="center"/>
              <w:rPr>
                <w:rFonts w:eastAsia="Calibri"/>
              </w:rPr>
            </w:pPr>
            <w:r w:rsidRPr="00A61195">
              <w:t>Nr. crt.</w:t>
            </w:r>
          </w:p>
        </w:tc>
        <w:tc>
          <w:tcPr>
            <w:tcW w:w="1068" w:type="pct"/>
            <w:vAlign w:val="center"/>
          </w:tcPr>
          <w:p w14:paraId="70D4C662" w14:textId="77777777" w:rsidR="00647D0C" w:rsidRPr="00A61195" w:rsidRDefault="00647D0C" w:rsidP="00D3772B">
            <w:pPr>
              <w:numPr>
                <w:ilvl w:val="2"/>
                <w:numId w:val="0"/>
              </w:numPr>
              <w:spacing w:before="60" w:after="60" w:line="240" w:lineRule="auto"/>
              <w:jc w:val="center"/>
              <w:rPr>
                <w:rFonts w:eastAsia="Calibri"/>
              </w:rPr>
            </w:pPr>
            <w:r w:rsidRPr="00A61195">
              <w:t>Denumirea substanței</w:t>
            </w:r>
          </w:p>
        </w:tc>
        <w:tc>
          <w:tcPr>
            <w:tcW w:w="998" w:type="pct"/>
            <w:vAlign w:val="center"/>
          </w:tcPr>
          <w:p w14:paraId="2DCB8707" w14:textId="77777777" w:rsidR="00647D0C" w:rsidRPr="00A61195" w:rsidRDefault="00647D0C" w:rsidP="00D3772B">
            <w:pPr>
              <w:numPr>
                <w:ilvl w:val="2"/>
                <w:numId w:val="0"/>
              </w:numPr>
              <w:spacing w:before="60" w:after="60" w:line="240" w:lineRule="auto"/>
              <w:jc w:val="center"/>
              <w:rPr>
                <w:rFonts w:eastAsia="Calibri"/>
              </w:rPr>
            </w:pPr>
            <w:r w:rsidRPr="00A61195">
              <w:t>Categoria de substanțe</w:t>
            </w:r>
          </w:p>
        </w:tc>
        <w:tc>
          <w:tcPr>
            <w:tcW w:w="685" w:type="pct"/>
            <w:vAlign w:val="center"/>
          </w:tcPr>
          <w:p w14:paraId="7407E0E5" w14:textId="3A44FEB9" w:rsidR="00647D0C" w:rsidRPr="00A61195" w:rsidRDefault="00647D0C" w:rsidP="00D3772B">
            <w:pPr>
              <w:numPr>
                <w:ilvl w:val="2"/>
                <w:numId w:val="0"/>
              </w:numPr>
              <w:spacing w:before="60" w:after="60" w:line="240" w:lineRule="auto"/>
              <w:jc w:val="center"/>
              <w:rPr>
                <w:rFonts w:eastAsia="Calibri"/>
              </w:rPr>
            </w:pPr>
            <w:r w:rsidRPr="00A61195">
              <w:t>Numărul CAS</w:t>
            </w:r>
            <w:r w:rsidR="00D3772B">
              <w:t> </w:t>
            </w:r>
            <w:r w:rsidRPr="00D3772B">
              <w:t>(</w:t>
            </w:r>
            <w:r w:rsidRPr="00D3772B">
              <w:rPr>
                <w:b/>
                <w:bCs/>
                <w:vertAlign w:val="superscript"/>
              </w:rPr>
              <w:t>1</w:t>
            </w:r>
            <w:r w:rsidRPr="00D3772B">
              <w:t>)</w:t>
            </w:r>
          </w:p>
        </w:tc>
        <w:tc>
          <w:tcPr>
            <w:tcW w:w="641" w:type="pct"/>
            <w:vAlign w:val="center"/>
          </w:tcPr>
          <w:p w14:paraId="6D4BAAB9" w14:textId="77777777" w:rsidR="00647D0C" w:rsidRPr="00A61195" w:rsidRDefault="00647D0C" w:rsidP="00D3772B">
            <w:pPr>
              <w:numPr>
                <w:ilvl w:val="2"/>
                <w:numId w:val="0"/>
              </w:numPr>
              <w:spacing w:before="60" w:after="60" w:line="240" w:lineRule="auto"/>
              <w:jc w:val="center"/>
              <w:rPr>
                <w:rFonts w:eastAsia="Calibri"/>
              </w:rPr>
            </w:pPr>
            <w:r w:rsidRPr="00A61195">
              <w:t xml:space="preserve">Numărul UE </w:t>
            </w:r>
            <w:r w:rsidRPr="00D3772B">
              <w:t>(</w:t>
            </w:r>
            <w:r w:rsidRPr="00D3772B">
              <w:rPr>
                <w:b/>
                <w:bCs/>
                <w:vertAlign w:val="superscript"/>
              </w:rPr>
              <w:t>2</w:t>
            </w:r>
            <w:r w:rsidRPr="00D3772B">
              <w:t>)</w:t>
            </w:r>
          </w:p>
        </w:tc>
        <w:tc>
          <w:tcPr>
            <w:tcW w:w="1096" w:type="pct"/>
            <w:vAlign w:val="center"/>
          </w:tcPr>
          <w:p w14:paraId="0AE16D07" w14:textId="7843C5C9" w:rsidR="00647D0C" w:rsidRPr="00A61195" w:rsidRDefault="00647D0C" w:rsidP="00D3772B">
            <w:pPr>
              <w:numPr>
                <w:ilvl w:val="2"/>
                <w:numId w:val="0"/>
              </w:numPr>
              <w:spacing w:before="60" w:after="60" w:line="240" w:lineRule="auto"/>
              <w:jc w:val="center"/>
              <w:rPr>
                <w:rFonts w:eastAsia="Calibri"/>
              </w:rPr>
            </w:pPr>
            <w:r w:rsidRPr="00A61195">
              <w:t>Valoarea prag</w:t>
            </w:r>
          </w:p>
          <w:p w14:paraId="052055BA" w14:textId="77777777" w:rsidR="00647D0C" w:rsidRPr="00A61195" w:rsidRDefault="00647D0C" w:rsidP="00D3772B">
            <w:pPr>
              <w:numPr>
                <w:ilvl w:val="2"/>
                <w:numId w:val="0"/>
              </w:numPr>
              <w:spacing w:before="60" w:after="60" w:line="240" w:lineRule="auto"/>
              <w:jc w:val="center"/>
              <w:rPr>
                <w:rFonts w:eastAsia="Calibri"/>
              </w:rPr>
            </w:pPr>
            <w:r w:rsidRPr="00A61195">
              <w:t>[µg/l, dacă nu se indică altfel]</w:t>
            </w:r>
          </w:p>
        </w:tc>
      </w:tr>
      <w:tr w:rsidR="00647D0C" w:rsidRPr="00A61195" w14:paraId="50447977" w14:textId="77777777" w:rsidTr="00D3772B">
        <w:tc>
          <w:tcPr>
            <w:tcW w:w="513" w:type="pct"/>
          </w:tcPr>
          <w:p w14:paraId="4D93EF9C" w14:textId="77777777" w:rsidR="00647D0C" w:rsidRPr="00A61195" w:rsidRDefault="00647D0C" w:rsidP="009D20AB">
            <w:pPr>
              <w:numPr>
                <w:ilvl w:val="2"/>
                <w:numId w:val="0"/>
              </w:numPr>
              <w:spacing w:before="60" w:after="60" w:line="240" w:lineRule="auto"/>
              <w:rPr>
                <w:rFonts w:eastAsia="Calibri"/>
              </w:rPr>
            </w:pPr>
          </w:p>
        </w:tc>
        <w:tc>
          <w:tcPr>
            <w:tcW w:w="1068" w:type="pct"/>
          </w:tcPr>
          <w:p w14:paraId="3F5C17C7" w14:textId="457BC965" w:rsidR="00647D0C" w:rsidRPr="00A61195" w:rsidRDefault="00647D0C" w:rsidP="009D20AB">
            <w:pPr>
              <w:numPr>
                <w:ilvl w:val="2"/>
                <w:numId w:val="0"/>
              </w:numPr>
              <w:spacing w:before="60" w:after="60" w:line="240" w:lineRule="auto"/>
              <w:rPr>
                <w:rFonts w:eastAsia="Calibri"/>
              </w:rPr>
            </w:pPr>
            <w:r w:rsidRPr="00A61195">
              <w:t>Substanțe active farmaceutice individuale</w:t>
            </w:r>
            <w:r w:rsidR="00D3772B">
              <w:t xml:space="preserve"> </w:t>
            </w:r>
            <w:r w:rsidRPr="00D3772B">
              <w:t>(</w:t>
            </w:r>
            <w:r w:rsidRPr="00D3772B">
              <w:rPr>
                <w:b/>
                <w:bCs/>
                <w:vertAlign w:val="superscript"/>
              </w:rPr>
              <w:t>3</w:t>
            </w:r>
            <w:r w:rsidRPr="00D3772B">
              <w:t>)</w:t>
            </w:r>
          </w:p>
        </w:tc>
        <w:tc>
          <w:tcPr>
            <w:tcW w:w="998" w:type="pct"/>
          </w:tcPr>
          <w:p w14:paraId="4B08FA8B" w14:textId="77777777" w:rsidR="00647D0C" w:rsidRPr="00A61195" w:rsidRDefault="00647D0C" w:rsidP="009D20AB">
            <w:pPr>
              <w:numPr>
                <w:ilvl w:val="2"/>
                <w:numId w:val="0"/>
              </w:numPr>
              <w:spacing w:before="60" w:after="60" w:line="240" w:lineRule="auto"/>
              <w:rPr>
                <w:rFonts w:eastAsia="Calibri"/>
              </w:rPr>
            </w:pPr>
            <w:r w:rsidRPr="00A61195">
              <w:t>Produse farmaceutice</w:t>
            </w:r>
          </w:p>
        </w:tc>
        <w:tc>
          <w:tcPr>
            <w:tcW w:w="685" w:type="pct"/>
          </w:tcPr>
          <w:p w14:paraId="32808AC0" w14:textId="77777777" w:rsidR="00647D0C" w:rsidRPr="00A61195" w:rsidRDefault="00647D0C" w:rsidP="009D20AB">
            <w:pPr>
              <w:numPr>
                <w:ilvl w:val="2"/>
                <w:numId w:val="0"/>
              </w:numPr>
              <w:spacing w:before="60" w:after="60" w:line="240" w:lineRule="auto"/>
              <w:rPr>
                <w:rFonts w:eastAsia="Calibri"/>
              </w:rPr>
            </w:pPr>
          </w:p>
        </w:tc>
        <w:tc>
          <w:tcPr>
            <w:tcW w:w="641" w:type="pct"/>
          </w:tcPr>
          <w:p w14:paraId="0857C2F1" w14:textId="77777777" w:rsidR="00647D0C" w:rsidRPr="00A61195" w:rsidRDefault="00647D0C" w:rsidP="009D20AB">
            <w:pPr>
              <w:numPr>
                <w:ilvl w:val="2"/>
                <w:numId w:val="0"/>
              </w:numPr>
              <w:spacing w:before="60" w:after="60" w:line="240" w:lineRule="auto"/>
              <w:rPr>
                <w:rFonts w:eastAsia="Calibri"/>
              </w:rPr>
            </w:pPr>
          </w:p>
        </w:tc>
        <w:tc>
          <w:tcPr>
            <w:tcW w:w="1096" w:type="pct"/>
          </w:tcPr>
          <w:p w14:paraId="29DE4D33" w14:textId="38EA0DD2" w:rsidR="00647D0C" w:rsidRPr="00A61195" w:rsidRDefault="00647D0C" w:rsidP="009D20AB">
            <w:pPr>
              <w:numPr>
                <w:ilvl w:val="2"/>
                <w:numId w:val="0"/>
              </w:numPr>
              <w:spacing w:before="60" w:after="60" w:line="240" w:lineRule="auto"/>
              <w:rPr>
                <w:rFonts w:eastAsia="Calibri"/>
              </w:rPr>
            </w:pPr>
            <w:r w:rsidRPr="00A61195">
              <w:t>2,5</w:t>
            </w:r>
            <w:r w:rsidR="00D3772B">
              <w:t xml:space="preserve"> </w:t>
            </w:r>
            <w:r w:rsidRPr="00A61195">
              <w:t>(</w:t>
            </w:r>
            <w:r w:rsidRPr="00D3772B">
              <w:rPr>
                <w:b/>
                <w:bCs/>
                <w:vertAlign w:val="superscript"/>
              </w:rPr>
              <w:t>4</w:t>
            </w:r>
            <w:r w:rsidRPr="00A61195">
              <w:t>)</w:t>
            </w:r>
          </w:p>
        </w:tc>
      </w:tr>
    </w:tbl>
    <w:p w14:paraId="642C9219" w14:textId="752B72C4" w:rsidR="00D10615" w:rsidRPr="00A61195" w:rsidRDefault="00D10615" w:rsidP="00A61195">
      <w:r w:rsidRPr="00A61195">
        <w:t>________________</w:t>
      </w:r>
    </w:p>
    <w:p w14:paraId="6DF49F32" w14:textId="702F5DC0" w:rsidR="00647D0C" w:rsidRPr="00A61195" w:rsidRDefault="00647D0C" w:rsidP="00A61195">
      <w:pPr>
        <w:pStyle w:val="Point0"/>
        <w:spacing w:before="0" w:after="0" w:line="240" w:lineRule="auto"/>
        <w:ind w:left="851" w:hanging="851"/>
        <w:rPr>
          <w:rFonts w:eastAsia="Calibri" w:cs="Arial"/>
          <w:szCs w:val="24"/>
        </w:rPr>
      </w:pPr>
      <w:r w:rsidRPr="00A61195">
        <w:t>(</w:t>
      </w:r>
      <w:r w:rsidRPr="00D3772B">
        <w:rPr>
          <w:b/>
          <w:bCs/>
          <w:vertAlign w:val="superscript"/>
        </w:rPr>
        <w:t>1</w:t>
      </w:r>
      <w:r w:rsidRPr="00A61195">
        <w:t>)</w:t>
      </w:r>
      <w:r w:rsidRPr="00A61195">
        <w:tab/>
        <w:t>CAS: serviciul de catalogare a substanțelor chimice (</w:t>
      </w:r>
      <w:proofErr w:type="spellStart"/>
      <w:r w:rsidRPr="00D3772B">
        <w:rPr>
          <w:i/>
          <w:iCs/>
        </w:rPr>
        <w:t>Chemical</w:t>
      </w:r>
      <w:proofErr w:type="spellEnd"/>
      <w:r w:rsidRPr="00D3772B">
        <w:rPr>
          <w:i/>
          <w:iCs/>
        </w:rPr>
        <w:t xml:space="preserve"> Abstract Service</w:t>
      </w:r>
      <w:r w:rsidRPr="00A61195">
        <w:t>).</w:t>
      </w:r>
    </w:p>
    <w:p w14:paraId="5C8C409E" w14:textId="77777777" w:rsidR="00647D0C" w:rsidRPr="00A61195" w:rsidRDefault="00647D0C" w:rsidP="00A61195">
      <w:pPr>
        <w:pStyle w:val="Point0"/>
        <w:spacing w:before="0" w:after="0" w:line="240" w:lineRule="auto"/>
        <w:ind w:left="851" w:hanging="851"/>
        <w:rPr>
          <w:rFonts w:eastAsia="Calibri" w:cs="Arial"/>
          <w:szCs w:val="24"/>
        </w:rPr>
      </w:pPr>
      <w:r w:rsidRPr="00A61195">
        <w:t>(</w:t>
      </w:r>
      <w:r w:rsidRPr="00D3772B">
        <w:rPr>
          <w:b/>
          <w:bCs/>
          <w:vertAlign w:val="superscript"/>
        </w:rPr>
        <w:t>2</w:t>
      </w:r>
      <w:r w:rsidRPr="00A61195">
        <w:t>)</w:t>
      </w:r>
      <w:r w:rsidRPr="00A61195">
        <w:tab/>
        <w:t>Numărul UE: Inventarul european al substanțelor chimice existente introduse pe piață (EINECS) sau Lista europeană a substanțelor chimice notificate (ELINCS).</w:t>
      </w:r>
    </w:p>
    <w:p w14:paraId="0B97C631" w14:textId="77777777" w:rsidR="00647D0C" w:rsidRPr="00A61195" w:rsidRDefault="00647D0C" w:rsidP="00A61195">
      <w:pPr>
        <w:pStyle w:val="Point0"/>
        <w:spacing w:before="0" w:after="0" w:line="240" w:lineRule="auto"/>
        <w:ind w:left="851" w:hanging="851"/>
        <w:rPr>
          <w:rFonts w:eastAsia="Calibri"/>
          <w:szCs w:val="24"/>
        </w:rPr>
      </w:pPr>
      <w:r w:rsidRPr="00A61195">
        <w:t>(</w:t>
      </w:r>
      <w:r w:rsidRPr="00D3772B">
        <w:rPr>
          <w:b/>
          <w:bCs/>
          <w:vertAlign w:val="superscript"/>
        </w:rPr>
        <w:t>3</w:t>
      </w:r>
      <w:r w:rsidRPr="00A61195">
        <w:t>)</w:t>
      </w:r>
      <w:r w:rsidRPr="00A61195">
        <w:tab/>
        <w:t>Substanțe active farmaceutice, astfel cum sunt definite în Directiva 2001/83/CE și în Regulamentul (UE) 2019/6.</w:t>
      </w:r>
    </w:p>
    <w:p w14:paraId="589B02A4" w14:textId="0960F8C7" w:rsidR="00647D0C" w:rsidRPr="00A61195" w:rsidRDefault="00647D0C" w:rsidP="00A61195">
      <w:pPr>
        <w:pStyle w:val="Point0"/>
        <w:spacing w:before="0" w:line="240" w:lineRule="auto"/>
        <w:ind w:left="851" w:hanging="851"/>
        <w:rPr>
          <w:rFonts w:eastAsia="Calibri" w:cs="Arial"/>
          <w:szCs w:val="24"/>
        </w:rPr>
      </w:pPr>
      <w:r w:rsidRPr="00A61195">
        <w:t>(</w:t>
      </w:r>
      <w:r w:rsidRPr="00D3772B">
        <w:rPr>
          <w:b/>
          <w:bCs/>
          <w:vertAlign w:val="superscript"/>
        </w:rPr>
        <w:t>4</w:t>
      </w:r>
      <w:r w:rsidRPr="00A61195">
        <w:t>)</w:t>
      </w:r>
      <w:r w:rsidRPr="00A61195">
        <w:tab/>
        <w:t>Statele membre aplică această valoare prag, cu excepția cazului în care a fost stabilită în mod specific o valoare standard sau o valoare prag pentru substanța în cauză la nivelul Uniunii sau la nivel național, fie pentru apele de suprafață, fie pentru apele subterane. Atunci când este disponibilă o metodologie fiabilă, statele membre evaluează prezența ecosistemelor de apă subterană în corpurile de apă subterană ale căror caracteristici ar putea susține existența acestora și stabilesc, în cazul prezenței unor astfel de ecosisteme și în conformitate cu articolul 3 alineatul (1) litera (b), o valoare prag mai strictă dacă aceasta este necesară pentru protejarea ecosistemelor respective.”</w:t>
      </w:r>
    </w:p>
    <w:p w14:paraId="4DC13A4C" w14:textId="236F2EA4" w:rsidR="00647D0C" w:rsidRPr="00A61195" w:rsidRDefault="00647D0C" w:rsidP="00647D0C">
      <w:pPr>
        <w:pStyle w:val="LignefinalLandscape"/>
      </w:pPr>
    </w:p>
    <w:p w14:paraId="7D38B0E2" w14:textId="77777777" w:rsidR="00647D0C" w:rsidRPr="00A61195" w:rsidRDefault="00647D0C" w:rsidP="00A61195">
      <w:pPr>
        <w:pStyle w:val="Annexetitre"/>
        <w:sectPr w:rsidR="00647D0C" w:rsidRPr="00A61195" w:rsidSect="00B35CF3">
          <w:headerReference w:type="default" r:id="rId88"/>
          <w:footerReference w:type="default" r:id="rId89"/>
          <w:footnotePr>
            <w:numRestart w:val="eachSect"/>
          </w:footnotePr>
          <w:pgSz w:w="16839" w:h="11907" w:orient="landscape" w:code="9"/>
          <w:pgMar w:top="1134" w:right="1134" w:bottom="1134" w:left="1134" w:header="567" w:footer="567" w:gutter="0"/>
          <w:cols w:space="720"/>
          <w:docGrid w:linePitch="360"/>
        </w:sectPr>
      </w:pPr>
    </w:p>
    <w:p w14:paraId="08E664F5" w14:textId="77777777" w:rsidR="00647D0C" w:rsidRPr="00A61195" w:rsidRDefault="00647D0C" w:rsidP="00A61195">
      <w:pPr>
        <w:pStyle w:val="Annexetitre"/>
        <w:rPr>
          <w:bCs/>
        </w:rPr>
      </w:pPr>
      <w:r w:rsidRPr="00A61195">
        <w:lastRenderedPageBreak/>
        <w:t>ANEXA V</w:t>
      </w:r>
    </w:p>
    <w:p w14:paraId="09BBBB56" w14:textId="77777777" w:rsidR="00647D0C" w:rsidRPr="00A61195" w:rsidRDefault="00647D0C" w:rsidP="00647D0C">
      <w:r w:rsidRPr="00A61195">
        <w:t>Următoarea anexă se adaugă la Directiva 2006/118/CE:</w:t>
      </w:r>
    </w:p>
    <w:p w14:paraId="020E8BCB" w14:textId="77777777" w:rsidR="00647D0C" w:rsidRPr="00A61195" w:rsidRDefault="00647D0C" w:rsidP="00A61195">
      <w:pPr>
        <w:pStyle w:val="NormalCentered"/>
      </w:pPr>
      <w:r w:rsidRPr="00A61195">
        <w:t>„ANEXA V</w:t>
      </w:r>
    </w:p>
    <w:p w14:paraId="03158B0B" w14:textId="2F0C2D54" w:rsidR="00647D0C" w:rsidRPr="00A61195" w:rsidRDefault="00647D0C" w:rsidP="00A61195">
      <w:pPr>
        <w:pStyle w:val="NormalCentered"/>
      </w:pPr>
      <w:r w:rsidRPr="00A61195">
        <w:t xml:space="preserve">SUBSTANȚE SUPUSE REVIZUIRII ÎN VEDEREA UNEI POSIBILE INCLUDERI ÎN ANEXA I </w:t>
      </w:r>
      <w:r w:rsidR="00D3772B">
        <w:br/>
      </w:r>
      <w:r w:rsidRPr="00A61195">
        <w:t>CU UN STANDARD DE CALITATE A APELOR SUBTERANE LA NIVELUL UNIUNII</w:t>
      </w:r>
    </w:p>
    <w:tbl>
      <w:tblPr>
        <w:tblStyle w:val="TableGrid"/>
        <w:tblpPr w:leftFromText="180" w:rightFromText="180" w:vertAnchor="text" w:horzAnchor="margin" w:tblpXSpec="center" w:tblpY="35"/>
        <w:tblW w:w="5000" w:type="pct"/>
        <w:tblLayout w:type="fixed"/>
        <w:tblLook w:val="04A0" w:firstRow="1" w:lastRow="0" w:firstColumn="1" w:lastColumn="0" w:noHBand="0" w:noVBand="1"/>
      </w:tblPr>
      <w:tblGrid>
        <w:gridCol w:w="1346"/>
        <w:gridCol w:w="3273"/>
        <w:gridCol w:w="2749"/>
        <w:gridCol w:w="1960"/>
        <w:gridCol w:w="1887"/>
        <w:gridCol w:w="3346"/>
      </w:tblGrid>
      <w:tr w:rsidR="00647D0C" w:rsidRPr="00A61195" w14:paraId="6E7C3137" w14:textId="77777777" w:rsidTr="00D3772B">
        <w:tc>
          <w:tcPr>
            <w:tcW w:w="462" w:type="pct"/>
          </w:tcPr>
          <w:p w14:paraId="6C83E37C" w14:textId="77777777" w:rsidR="00647D0C" w:rsidRPr="00A61195" w:rsidRDefault="00647D0C" w:rsidP="009D20AB">
            <w:pPr>
              <w:numPr>
                <w:ilvl w:val="2"/>
                <w:numId w:val="0"/>
              </w:numPr>
              <w:spacing w:before="60" w:after="60" w:line="240" w:lineRule="auto"/>
              <w:jc w:val="center"/>
            </w:pPr>
            <w:r w:rsidRPr="00A61195">
              <w:t>(1)</w:t>
            </w:r>
          </w:p>
        </w:tc>
        <w:tc>
          <w:tcPr>
            <w:tcW w:w="1124" w:type="pct"/>
          </w:tcPr>
          <w:p w14:paraId="1ABB0F9E" w14:textId="77777777" w:rsidR="00647D0C" w:rsidRPr="00A61195" w:rsidRDefault="00647D0C" w:rsidP="009D20AB">
            <w:pPr>
              <w:numPr>
                <w:ilvl w:val="2"/>
                <w:numId w:val="0"/>
              </w:numPr>
              <w:spacing w:before="60" w:after="60" w:line="240" w:lineRule="auto"/>
              <w:jc w:val="center"/>
            </w:pPr>
            <w:r w:rsidRPr="00A61195">
              <w:t>(2)</w:t>
            </w:r>
          </w:p>
        </w:tc>
        <w:tc>
          <w:tcPr>
            <w:tcW w:w="944" w:type="pct"/>
          </w:tcPr>
          <w:p w14:paraId="1552F140" w14:textId="77777777" w:rsidR="00647D0C" w:rsidRPr="00A61195" w:rsidRDefault="00647D0C" w:rsidP="009D20AB">
            <w:pPr>
              <w:numPr>
                <w:ilvl w:val="2"/>
                <w:numId w:val="0"/>
              </w:numPr>
              <w:spacing w:before="60" w:after="60" w:line="240" w:lineRule="auto"/>
              <w:jc w:val="center"/>
            </w:pPr>
            <w:r w:rsidRPr="00A61195">
              <w:t>(3)</w:t>
            </w:r>
          </w:p>
        </w:tc>
        <w:tc>
          <w:tcPr>
            <w:tcW w:w="673" w:type="pct"/>
          </w:tcPr>
          <w:p w14:paraId="29FDD75A" w14:textId="77777777" w:rsidR="00647D0C" w:rsidRPr="00A61195" w:rsidRDefault="00647D0C" w:rsidP="009D20AB">
            <w:pPr>
              <w:numPr>
                <w:ilvl w:val="2"/>
                <w:numId w:val="0"/>
              </w:numPr>
              <w:spacing w:before="60" w:after="60" w:line="240" w:lineRule="auto"/>
              <w:jc w:val="center"/>
            </w:pPr>
            <w:r w:rsidRPr="00A61195">
              <w:t>(4)</w:t>
            </w:r>
          </w:p>
        </w:tc>
        <w:tc>
          <w:tcPr>
            <w:tcW w:w="648" w:type="pct"/>
          </w:tcPr>
          <w:p w14:paraId="0A3B6CE4" w14:textId="77777777" w:rsidR="00647D0C" w:rsidRPr="00A61195" w:rsidRDefault="00647D0C" w:rsidP="009D20AB">
            <w:pPr>
              <w:numPr>
                <w:ilvl w:val="2"/>
                <w:numId w:val="0"/>
              </w:numPr>
              <w:spacing w:before="60" w:after="60" w:line="240" w:lineRule="auto"/>
              <w:jc w:val="center"/>
            </w:pPr>
            <w:r w:rsidRPr="00A61195">
              <w:t>(5)</w:t>
            </w:r>
          </w:p>
        </w:tc>
        <w:tc>
          <w:tcPr>
            <w:tcW w:w="1150" w:type="pct"/>
          </w:tcPr>
          <w:p w14:paraId="24CD2E76" w14:textId="77777777" w:rsidR="00647D0C" w:rsidRPr="00A61195" w:rsidRDefault="00647D0C" w:rsidP="009D20AB">
            <w:pPr>
              <w:numPr>
                <w:ilvl w:val="2"/>
                <w:numId w:val="0"/>
              </w:numPr>
              <w:spacing w:before="60" w:after="60" w:line="240" w:lineRule="auto"/>
              <w:jc w:val="center"/>
            </w:pPr>
            <w:r w:rsidRPr="00A61195">
              <w:t>(6)</w:t>
            </w:r>
          </w:p>
        </w:tc>
      </w:tr>
      <w:tr w:rsidR="00647D0C" w:rsidRPr="00A61195" w14:paraId="4BDBD8F5" w14:textId="77777777" w:rsidTr="00D3772B">
        <w:tc>
          <w:tcPr>
            <w:tcW w:w="462" w:type="pct"/>
            <w:vAlign w:val="center"/>
          </w:tcPr>
          <w:p w14:paraId="2D790EB5" w14:textId="77777777" w:rsidR="00647D0C" w:rsidRPr="00A61195" w:rsidRDefault="00647D0C" w:rsidP="00D3772B">
            <w:pPr>
              <w:numPr>
                <w:ilvl w:val="2"/>
                <w:numId w:val="0"/>
              </w:numPr>
              <w:spacing w:before="60" w:after="60" w:line="240" w:lineRule="auto"/>
              <w:jc w:val="center"/>
            </w:pPr>
            <w:r w:rsidRPr="00A61195">
              <w:t>Nr. crt.</w:t>
            </w:r>
          </w:p>
        </w:tc>
        <w:tc>
          <w:tcPr>
            <w:tcW w:w="1124" w:type="pct"/>
            <w:vAlign w:val="center"/>
          </w:tcPr>
          <w:p w14:paraId="1835F5D2" w14:textId="77777777" w:rsidR="00647D0C" w:rsidRPr="00A61195" w:rsidRDefault="00647D0C" w:rsidP="00D3772B">
            <w:pPr>
              <w:numPr>
                <w:ilvl w:val="2"/>
                <w:numId w:val="0"/>
              </w:numPr>
              <w:spacing w:before="60" w:after="60" w:line="240" w:lineRule="auto"/>
              <w:jc w:val="center"/>
            </w:pPr>
            <w:r w:rsidRPr="00A61195">
              <w:t>Denumirea substanței</w:t>
            </w:r>
          </w:p>
        </w:tc>
        <w:tc>
          <w:tcPr>
            <w:tcW w:w="944" w:type="pct"/>
            <w:vAlign w:val="center"/>
          </w:tcPr>
          <w:p w14:paraId="69243860" w14:textId="77777777" w:rsidR="00647D0C" w:rsidRPr="00A61195" w:rsidRDefault="00647D0C" w:rsidP="00D3772B">
            <w:pPr>
              <w:numPr>
                <w:ilvl w:val="2"/>
                <w:numId w:val="0"/>
              </w:numPr>
              <w:spacing w:before="60" w:after="60" w:line="240" w:lineRule="auto"/>
              <w:jc w:val="center"/>
            </w:pPr>
            <w:r w:rsidRPr="00A61195">
              <w:t>Categoria de substanțe</w:t>
            </w:r>
          </w:p>
        </w:tc>
        <w:tc>
          <w:tcPr>
            <w:tcW w:w="673" w:type="pct"/>
            <w:vAlign w:val="center"/>
          </w:tcPr>
          <w:p w14:paraId="2D93B8D5" w14:textId="77777777" w:rsidR="00647D0C" w:rsidRPr="00A61195" w:rsidRDefault="00647D0C" w:rsidP="00D3772B">
            <w:pPr>
              <w:numPr>
                <w:ilvl w:val="2"/>
                <w:numId w:val="0"/>
              </w:numPr>
              <w:spacing w:before="60" w:after="60" w:line="240" w:lineRule="auto"/>
              <w:jc w:val="center"/>
            </w:pPr>
            <w:r w:rsidRPr="00A61195">
              <w:t xml:space="preserve">Numărul CAS </w:t>
            </w:r>
            <w:r w:rsidRPr="00D3772B">
              <w:t>(</w:t>
            </w:r>
            <w:r w:rsidRPr="00D3772B">
              <w:rPr>
                <w:b/>
                <w:bCs/>
                <w:vertAlign w:val="superscript"/>
              </w:rPr>
              <w:t>1</w:t>
            </w:r>
            <w:r w:rsidRPr="00D3772B">
              <w:t>)</w:t>
            </w:r>
          </w:p>
        </w:tc>
        <w:tc>
          <w:tcPr>
            <w:tcW w:w="648" w:type="pct"/>
            <w:vAlign w:val="center"/>
          </w:tcPr>
          <w:p w14:paraId="172683D2" w14:textId="77777777" w:rsidR="00647D0C" w:rsidRPr="00A61195" w:rsidRDefault="00647D0C" w:rsidP="00D3772B">
            <w:pPr>
              <w:numPr>
                <w:ilvl w:val="2"/>
                <w:numId w:val="0"/>
              </w:numPr>
              <w:spacing w:before="60" w:after="60" w:line="240" w:lineRule="auto"/>
              <w:jc w:val="center"/>
            </w:pPr>
            <w:r w:rsidRPr="00A61195">
              <w:t xml:space="preserve">Numărul UE </w:t>
            </w:r>
            <w:r w:rsidRPr="00D3772B">
              <w:t>(</w:t>
            </w:r>
            <w:r w:rsidRPr="00D3772B">
              <w:rPr>
                <w:b/>
                <w:bCs/>
                <w:vertAlign w:val="superscript"/>
              </w:rPr>
              <w:t>2</w:t>
            </w:r>
            <w:r w:rsidRPr="00D3772B">
              <w:t>)</w:t>
            </w:r>
          </w:p>
        </w:tc>
        <w:tc>
          <w:tcPr>
            <w:tcW w:w="1150" w:type="pct"/>
            <w:vAlign w:val="center"/>
          </w:tcPr>
          <w:p w14:paraId="3B9BCADC" w14:textId="6834A21D" w:rsidR="00647D0C" w:rsidRPr="00A61195" w:rsidRDefault="00647D0C" w:rsidP="00D3772B">
            <w:pPr>
              <w:numPr>
                <w:ilvl w:val="2"/>
                <w:numId w:val="0"/>
              </w:numPr>
              <w:spacing w:before="60" w:after="60" w:line="240" w:lineRule="auto"/>
              <w:jc w:val="center"/>
            </w:pPr>
            <w:r w:rsidRPr="00A61195">
              <w:t>Valoarea prag</w:t>
            </w:r>
          </w:p>
          <w:p w14:paraId="62C21CE8" w14:textId="77777777" w:rsidR="00647D0C" w:rsidRPr="00A61195" w:rsidRDefault="00647D0C" w:rsidP="00D3772B">
            <w:pPr>
              <w:numPr>
                <w:ilvl w:val="2"/>
                <w:numId w:val="0"/>
              </w:numPr>
              <w:spacing w:before="60" w:after="60" w:line="240" w:lineRule="auto"/>
              <w:jc w:val="center"/>
            </w:pPr>
            <w:r w:rsidRPr="00A61195">
              <w:t>[µg/l, dacă nu se indică altfel]</w:t>
            </w:r>
          </w:p>
        </w:tc>
      </w:tr>
      <w:tr w:rsidR="00647D0C" w:rsidRPr="00A61195" w14:paraId="7AF711B8" w14:textId="77777777" w:rsidTr="00D3772B">
        <w:tc>
          <w:tcPr>
            <w:tcW w:w="462" w:type="pct"/>
          </w:tcPr>
          <w:p w14:paraId="4C1EFF54" w14:textId="77777777" w:rsidR="00647D0C" w:rsidRPr="00A61195" w:rsidRDefault="00647D0C" w:rsidP="009D20AB">
            <w:pPr>
              <w:numPr>
                <w:ilvl w:val="2"/>
                <w:numId w:val="0"/>
              </w:numPr>
              <w:spacing w:before="60" w:after="60" w:line="240" w:lineRule="auto"/>
              <w:rPr>
                <w:u w:val="single"/>
              </w:rPr>
            </w:pPr>
          </w:p>
        </w:tc>
        <w:tc>
          <w:tcPr>
            <w:tcW w:w="1124" w:type="pct"/>
          </w:tcPr>
          <w:p w14:paraId="5C360890" w14:textId="77777777" w:rsidR="00647D0C" w:rsidRPr="00A61195" w:rsidRDefault="00647D0C" w:rsidP="009D20AB">
            <w:pPr>
              <w:numPr>
                <w:ilvl w:val="2"/>
                <w:numId w:val="0"/>
              </w:numPr>
              <w:spacing w:before="60" w:after="60" w:line="240" w:lineRule="auto"/>
              <w:rPr>
                <w:u w:val="single"/>
              </w:rPr>
            </w:pPr>
            <w:r w:rsidRPr="00A61195">
              <w:t>Suma (sumele) anumitor produse farmaceutice selectate în funcție de modul de acțiune</w:t>
            </w:r>
          </w:p>
        </w:tc>
        <w:tc>
          <w:tcPr>
            <w:tcW w:w="944" w:type="pct"/>
          </w:tcPr>
          <w:p w14:paraId="1FF36E5B" w14:textId="77777777" w:rsidR="00647D0C" w:rsidRPr="00A61195" w:rsidRDefault="00647D0C" w:rsidP="009D20AB">
            <w:pPr>
              <w:numPr>
                <w:ilvl w:val="2"/>
                <w:numId w:val="0"/>
              </w:numPr>
              <w:spacing w:before="60" w:after="60" w:line="240" w:lineRule="auto"/>
            </w:pPr>
            <w:r w:rsidRPr="00A61195">
              <w:t>Produse farmaceutice</w:t>
            </w:r>
          </w:p>
        </w:tc>
        <w:tc>
          <w:tcPr>
            <w:tcW w:w="673" w:type="pct"/>
          </w:tcPr>
          <w:p w14:paraId="58DD5E11" w14:textId="77777777" w:rsidR="00647D0C" w:rsidRPr="00A61195" w:rsidRDefault="00647D0C" w:rsidP="009D20AB">
            <w:pPr>
              <w:numPr>
                <w:ilvl w:val="2"/>
                <w:numId w:val="0"/>
              </w:numPr>
              <w:spacing w:before="60" w:after="60" w:line="240" w:lineRule="auto"/>
              <w:rPr>
                <w:u w:val="single"/>
              </w:rPr>
            </w:pPr>
          </w:p>
        </w:tc>
        <w:tc>
          <w:tcPr>
            <w:tcW w:w="648" w:type="pct"/>
          </w:tcPr>
          <w:p w14:paraId="3F6E972E" w14:textId="77777777" w:rsidR="00647D0C" w:rsidRPr="00A61195" w:rsidRDefault="00647D0C" w:rsidP="009D20AB">
            <w:pPr>
              <w:numPr>
                <w:ilvl w:val="2"/>
                <w:numId w:val="0"/>
              </w:numPr>
              <w:spacing w:before="60" w:after="60" w:line="240" w:lineRule="auto"/>
              <w:rPr>
                <w:u w:val="single"/>
              </w:rPr>
            </w:pPr>
          </w:p>
        </w:tc>
        <w:tc>
          <w:tcPr>
            <w:tcW w:w="1150" w:type="pct"/>
          </w:tcPr>
          <w:p w14:paraId="10AA93DC" w14:textId="77777777" w:rsidR="00647D0C" w:rsidRPr="00A61195" w:rsidRDefault="00647D0C" w:rsidP="009D20AB">
            <w:pPr>
              <w:numPr>
                <w:ilvl w:val="2"/>
                <w:numId w:val="0"/>
              </w:numPr>
              <w:spacing w:before="60" w:after="60" w:line="240" w:lineRule="auto"/>
              <w:rPr>
                <w:u w:val="single"/>
              </w:rPr>
            </w:pPr>
          </w:p>
        </w:tc>
      </w:tr>
      <w:tr w:rsidR="00647D0C" w:rsidRPr="00A61195" w14:paraId="635C2FE3" w14:textId="77777777" w:rsidTr="00D3772B">
        <w:tc>
          <w:tcPr>
            <w:tcW w:w="462" w:type="pct"/>
          </w:tcPr>
          <w:p w14:paraId="736FC5E3" w14:textId="77777777" w:rsidR="00647D0C" w:rsidRPr="00A61195" w:rsidRDefault="00647D0C" w:rsidP="009D20AB">
            <w:pPr>
              <w:numPr>
                <w:ilvl w:val="2"/>
                <w:numId w:val="0"/>
              </w:numPr>
              <w:spacing w:before="60" w:after="60" w:line="240" w:lineRule="auto"/>
              <w:rPr>
                <w:u w:val="single"/>
              </w:rPr>
            </w:pPr>
          </w:p>
        </w:tc>
        <w:tc>
          <w:tcPr>
            <w:tcW w:w="1124" w:type="pct"/>
          </w:tcPr>
          <w:p w14:paraId="22079405" w14:textId="77777777" w:rsidR="00647D0C" w:rsidRPr="00A61195" w:rsidRDefault="00647D0C" w:rsidP="009D20AB">
            <w:pPr>
              <w:numPr>
                <w:ilvl w:val="2"/>
                <w:numId w:val="0"/>
              </w:numPr>
              <w:spacing w:before="60" w:after="60" w:line="240" w:lineRule="auto"/>
            </w:pPr>
            <w:r w:rsidRPr="00A61195">
              <w:t xml:space="preserve">Suma </w:t>
            </w:r>
            <w:proofErr w:type="spellStart"/>
            <w:r w:rsidRPr="00A61195">
              <w:t>bisfenolilor</w:t>
            </w:r>
            <w:proofErr w:type="spellEnd"/>
          </w:p>
        </w:tc>
        <w:tc>
          <w:tcPr>
            <w:tcW w:w="944" w:type="pct"/>
          </w:tcPr>
          <w:p w14:paraId="17C655B7" w14:textId="77777777" w:rsidR="00647D0C" w:rsidRPr="00A61195" w:rsidRDefault="00647D0C" w:rsidP="009D20AB">
            <w:pPr>
              <w:numPr>
                <w:ilvl w:val="2"/>
                <w:numId w:val="0"/>
              </w:numPr>
              <w:spacing w:before="60" w:after="60" w:line="240" w:lineRule="auto"/>
            </w:pPr>
            <w:r w:rsidRPr="00A61195">
              <w:t>Substanțe industriale</w:t>
            </w:r>
          </w:p>
        </w:tc>
        <w:tc>
          <w:tcPr>
            <w:tcW w:w="673" w:type="pct"/>
          </w:tcPr>
          <w:p w14:paraId="2ED3156A" w14:textId="77777777" w:rsidR="00647D0C" w:rsidRPr="00A61195" w:rsidRDefault="00647D0C" w:rsidP="009D20AB">
            <w:pPr>
              <w:numPr>
                <w:ilvl w:val="2"/>
                <w:numId w:val="0"/>
              </w:numPr>
              <w:spacing w:before="60" w:after="60" w:line="240" w:lineRule="auto"/>
              <w:rPr>
                <w:u w:val="single"/>
              </w:rPr>
            </w:pPr>
          </w:p>
        </w:tc>
        <w:tc>
          <w:tcPr>
            <w:tcW w:w="648" w:type="pct"/>
          </w:tcPr>
          <w:p w14:paraId="72E9455E" w14:textId="77777777" w:rsidR="00647D0C" w:rsidRPr="00A61195" w:rsidRDefault="00647D0C" w:rsidP="009D20AB">
            <w:pPr>
              <w:numPr>
                <w:ilvl w:val="2"/>
                <w:numId w:val="0"/>
              </w:numPr>
              <w:spacing w:before="60" w:after="60" w:line="240" w:lineRule="auto"/>
              <w:rPr>
                <w:u w:val="single"/>
              </w:rPr>
            </w:pPr>
          </w:p>
        </w:tc>
        <w:tc>
          <w:tcPr>
            <w:tcW w:w="1150" w:type="pct"/>
          </w:tcPr>
          <w:p w14:paraId="7A171A63" w14:textId="77777777" w:rsidR="00647D0C" w:rsidRPr="00A61195" w:rsidRDefault="00647D0C" w:rsidP="009D20AB">
            <w:pPr>
              <w:numPr>
                <w:ilvl w:val="2"/>
                <w:numId w:val="0"/>
              </w:numPr>
              <w:spacing w:before="60" w:after="60" w:line="240" w:lineRule="auto"/>
              <w:rPr>
                <w:u w:val="single"/>
              </w:rPr>
            </w:pPr>
          </w:p>
        </w:tc>
      </w:tr>
    </w:tbl>
    <w:p w14:paraId="62A61545" w14:textId="1A314E18" w:rsidR="00647D0C" w:rsidRPr="00A61195" w:rsidRDefault="00D3772B" w:rsidP="00A61195">
      <w:r>
        <w:t>_________________</w:t>
      </w:r>
    </w:p>
    <w:p w14:paraId="188AD0EF" w14:textId="77777777" w:rsidR="00647D0C" w:rsidRPr="00A61195" w:rsidRDefault="00647D0C" w:rsidP="00A61195">
      <w:pPr>
        <w:pStyle w:val="Point0"/>
        <w:spacing w:before="0" w:after="0" w:line="240" w:lineRule="auto"/>
        <w:ind w:left="851" w:hanging="851"/>
        <w:rPr>
          <w:rFonts w:eastAsia="Calibri" w:cs="Arial"/>
          <w:szCs w:val="24"/>
        </w:rPr>
      </w:pPr>
      <w:r w:rsidRPr="00A61195">
        <w:t>(</w:t>
      </w:r>
      <w:r w:rsidRPr="00D3772B">
        <w:rPr>
          <w:b/>
          <w:bCs/>
          <w:vertAlign w:val="superscript"/>
        </w:rPr>
        <w:t>1</w:t>
      </w:r>
      <w:r w:rsidRPr="00A61195">
        <w:t>)</w:t>
      </w:r>
      <w:r w:rsidRPr="00A61195">
        <w:tab/>
        <w:t>CAS: serviciul de catalogare a substanțelor chimice (</w:t>
      </w:r>
      <w:proofErr w:type="spellStart"/>
      <w:r w:rsidRPr="00D3772B">
        <w:rPr>
          <w:i/>
          <w:iCs/>
        </w:rPr>
        <w:t>Chemical</w:t>
      </w:r>
      <w:proofErr w:type="spellEnd"/>
      <w:r w:rsidRPr="00D3772B">
        <w:rPr>
          <w:i/>
          <w:iCs/>
        </w:rPr>
        <w:t xml:space="preserve"> Abstract Service</w:t>
      </w:r>
      <w:r w:rsidRPr="00A61195">
        <w:t>).</w:t>
      </w:r>
    </w:p>
    <w:p w14:paraId="207E24A3" w14:textId="77777777" w:rsidR="00647D0C" w:rsidRPr="00A61195" w:rsidRDefault="00647D0C" w:rsidP="00A61195">
      <w:pPr>
        <w:pStyle w:val="Point0"/>
        <w:spacing w:before="0" w:after="0" w:line="240" w:lineRule="auto"/>
        <w:ind w:left="851" w:hanging="851"/>
      </w:pPr>
      <w:r w:rsidRPr="00A61195">
        <w:t>(</w:t>
      </w:r>
      <w:r w:rsidRPr="00D3772B">
        <w:rPr>
          <w:b/>
          <w:bCs/>
          <w:vertAlign w:val="superscript"/>
        </w:rPr>
        <w:t>2</w:t>
      </w:r>
      <w:r w:rsidRPr="00A61195">
        <w:t>)</w:t>
      </w:r>
      <w:r w:rsidRPr="00A61195">
        <w:tab/>
        <w:t>Numărul UE: Inventarul european al substanțelor chimice existente introduse pe piață (EINECS) sau Lista europeană a substanțelor chimice notificate (ELINCS).”</w:t>
      </w:r>
    </w:p>
    <w:p w14:paraId="45391F57" w14:textId="77777777" w:rsidR="00647D0C" w:rsidRPr="00A61195" w:rsidRDefault="00647D0C" w:rsidP="00647D0C">
      <w:pPr>
        <w:pStyle w:val="LignefinalLandscape"/>
      </w:pPr>
    </w:p>
    <w:p w14:paraId="22504374" w14:textId="77777777" w:rsidR="00647D0C" w:rsidRPr="00A61195" w:rsidRDefault="00647D0C" w:rsidP="00647D0C">
      <w:pPr>
        <w:spacing w:before="0" w:after="160" w:line="259" w:lineRule="auto"/>
        <w:rPr>
          <w:rFonts w:eastAsia="Calibri"/>
          <w:b/>
          <w:u w:val="single"/>
        </w:rPr>
        <w:sectPr w:rsidR="00647D0C" w:rsidRPr="00A61195" w:rsidSect="00B35CF3">
          <w:headerReference w:type="default" r:id="rId90"/>
          <w:footerReference w:type="default" r:id="rId91"/>
          <w:footnotePr>
            <w:numRestart w:val="eachSect"/>
          </w:footnotePr>
          <w:pgSz w:w="16839" w:h="11907" w:orient="landscape" w:code="9"/>
          <w:pgMar w:top="1134" w:right="1134" w:bottom="1134" w:left="1134" w:header="567" w:footer="567" w:gutter="0"/>
          <w:pgNumType w:start="1"/>
          <w:cols w:space="720"/>
          <w:docGrid w:linePitch="360"/>
        </w:sectPr>
      </w:pPr>
    </w:p>
    <w:p w14:paraId="7C38827E" w14:textId="77777777" w:rsidR="00647D0C" w:rsidRPr="00A61195" w:rsidRDefault="00647D0C" w:rsidP="00A61195">
      <w:pPr>
        <w:pStyle w:val="Annexetitre"/>
        <w:rPr>
          <w:rFonts w:eastAsia="Calibri"/>
        </w:rPr>
      </w:pPr>
      <w:r w:rsidRPr="00A61195">
        <w:lastRenderedPageBreak/>
        <w:t>ANEXA VI</w:t>
      </w:r>
    </w:p>
    <w:p w14:paraId="1EF3154F" w14:textId="77777777" w:rsidR="00647D0C" w:rsidRPr="00A61195" w:rsidRDefault="00647D0C" w:rsidP="00647D0C">
      <w:pPr>
        <w:jc w:val="both"/>
        <w:rPr>
          <w:rFonts w:eastAsia="Calibri"/>
        </w:rPr>
      </w:pPr>
      <w:r w:rsidRPr="00A61195">
        <w:rPr>
          <w:rFonts w:eastAsia="Calibri"/>
        </w:rPr>
        <w:t>Anexa I la Directiva 2008/105/CE se modifică după cum urmează:</w:t>
      </w:r>
    </w:p>
    <w:p w14:paraId="6E854326" w14:textId="77777777" w:rsidR="00647D0C" w:rsidRPr="00A61195" w:rsidRDefault="00647D0C" w:rsidP="00A61195">
      <w:pPr>
        <w:pStyle w:val="Point0"/>
        <w:rPr>
          <w:rFonts w:eastAsia="Calibri"/>
        </w:rPr>
      </w:pPr>
      <w:r w:rsidRPr="00A61195">
        <w:t>1.</w:t>
      </w:r>
      <w:r w:rsidRPr="00A61195">
        <w:tab/>
        <w:t>Titlul se înlocuiește cu următorul text:</w:t>
      </w:r>
    </w:p>
    <w:p w14:paraId="096E05A4" w14:textId="463C18BD" w:rsidR="00647D0C" w:rsidRPr="00A61195" w:rsidRDefault="00647D0C" w:rsidP="00A61195">
      <w:pPr>
        <w:pStyle w:val="Text1"/>
        <w:rPr>
          <w:rFonts w:eastAsia="Calibri"/>
        </w:rPr>
      </w:pPr>
      <w:r w:rsidRPr="00A61195">
        <w:t>„STANDARDE DE CALITATE A MEDIULUI (SCM) PENTRU SUBSTANȚELE PRIORITARE DIN APELE DE SUPRAFAȚĂ”.</w:t>
      </w:r>
    </w:p>
    <w:p w14:paraId="5CDB095E" w14:textId="77777777" w:rsidR="00647D0C" w:rsidRPr="00A61195" w:rsidRDefault="00647D0C" w:rsidP="00A61195">
      <w:pPr>
        <w:rPr>
          <w:rFonts w:eastAsia="Calibri"/>
        </w:rPr>
        <w:sectPr w:rsidR="00647D0C" w:rsidRPr="00A61195" w:rsidSect="00B35CF3">
          <w:headerReference w:type="default" r:id="rId92"/>
          <w:footerReference w:type="default" r:id="rId93"/>
          <w:footnotePr>
            <w:numRestart w:val="eachSect"/>
          </w:footnotePr>
          <w:pgSz w:w="11907" w:h="16839" w:code="9"/>
          <w:pgMar w:top="1134" w:right="1134" w:bottom="1134" w:left="1134" w:header="567" w:footer="567" w:gutter="0"/>
          <w:pgNumType w:start="1"/>
          <w:cols w:space="720"/>
          <w:docGrid w:linePitch="360"/>
        </w:sectPr>
      </w:pPr>
    </w:p>
    <w:p w14:paraId="5A033C1B" w14:textId="77777777" w:rsidR="00647D0C" w:rsidRPr="00A61195" w:rsidRDefault="00647D0C" w:rsidP="00A61195">
      <w:pPr>
        <w:rPr>
          <w:rFonts w:eastAsia="Calibri"/>
        </w:rPr>
      </w:pPr>
      <w:r w:rsidRPr="00A61195">
        <w:lastRenderedPageBreak/>
        <w:t>2.</w:t>
      </w:r>
      <w:r w:rsidRPr="00A61195">
        <w:tab/>
        <w:t>Partea A se modifică după cum urmează:</w:t>
      </w:r>
    </w:p>
    <w:p w14:paraId="4925B34C" w14:textId="77777777" w:rsidR="00647D0C" w:rsidRPr="00A61195" w:rsidRDefault="00647D0C" w:rsidP="00A61195">
      <w:pPr>
        <w:pStyle w:val="NormalCentered"/>
        <w:rPr>
          <w:rFonts w:eastAsia="Calibri"/>
        </w:rPr>
      </w:pPr>
      <w:r w:rsidRPr="00A61195">
        <w:t>„PARTEA A: STANDARDE DE CALITATE A MEDIULUI</w:t>
      </w:r>
    </w:p>
    <w:tbl>
      <w:tblPr>
        <w:tblStyle w:val="TableGrid"/>
        <w:tblW w:w="5002" w:type="pct"/>
        <w:tblInd w:w="-5" w:type="dxa"/>
        <w:tblLayout w:type="fixed"/>
        <w:tblLook w:val="04A0" w:firstRow="1" w:lastRow="0" w:firstColumn="1" w:lastColumn="0" w:noHBand="0" w:noVBand="1"/>
      </w:tblPr>
      <w:tblGrid>
        <w:gridCol w:w="863"/>
        <w:gridCol w:w="1746"/>
        <w:gridCol w:w="73"/>
        <w:gridCol w:w="12"/>
        <w:gridCol w:w="17"/>
        <w:gridCol w:w="1130"/>
        <w:gridCol w:w="988"/>
        <w:gridCol w:w="1130"/>
        <w:gridCol w:w="6"/>
        <w:gridCol w:w="1127"/>
        <w:gridCol w:w="1133"/>
        <w:gridCol w:w="1142"/>
        <w:gridCol w:w="1133"/>
        <w:gridCol w:w="1017"/>
        <w:gridCol w:w="1145"/>
        <w:gridCol w:w="17"/>
        <w:gridCol w:w="1031"/>
        <w:gridCol w:w="857"/>
      </w:tblGrid>
      <w:tr w:rsidR="00647D0C" w:rsidRPr="00A61195" w14:paraId="57A43F14" w14:textId="77777777" w:rsidTr="00647D0C">
        <w:trPr>
          <w:tblHeader/>
        </w:trPr>
        <w:tc>
          <w:tcPr>
            <w:tcW w:w="296" w:type="pct"/>
          </w:tcPr>
          <w:p w14:paraId="465C3C22"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(1)</w:t>
            </w:r>
          </w:p>
        </w:tc>
        <w:tc>
          <w:tcPr>
            <w:tcW w:w="624" w:type="pct"/>
            <w:gridSpan w:val="2"/>
          </w:tcPr>
          <w:p w14:paraId="5B7BAFCE"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(2)</w:t>
            </w:r>
          </w:p>
        </w:tc>
        <w:tc>
          <w:tcPr>
            <w:tcW w:w="398" w:type="pct"/>
            <w:gridSpan w:val="3"/>
          </w:tcPr>
          <w:p w14:paraId="3314484E"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(3)</w:t>
            </w:r>
          </w:p>
        </w:tc>
        <w:tc>
          <w:tcPr>
            <w:tcW w:w="339" w:type="pct"/>
          </w:tcPr>
          <w:p w14:paraId="2C26A357"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(4)</w:t>
            </w:r>
          </w:p>
        </w:tc>
        <w:tc>
          <w:tcPr>
            <w:tcW w:w="388" w:type="pct"/>
          </w:tcPr>
          <w:p w14:paraId="615513A0"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(5)</w:t>
            </w:r>
          </w:p>
        </w:tc>
        <w:tc>
          <w:tcPr>
            <w:tcW w:w="389" w:type="pct"/>
            <w:gridSpan w:val="2"/>
          </w:tcPr>
          <w:p w14:paraId="17DEC4DB"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(6)</w:t>
            </w:r>
          </w:p>
        </w:tc>
        <w:tc>
          <w:tcPr>
            <w:tcW w:w="389" w:type="pct"/>
          </w:tcPr>
          <w:p w14:paraId="5832D655"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(7)</w:t>
            </w:r>
          </w:p>
        </w:tc>
        <w:tc>
          <w:tcPr>
            <w:tcW w:w="392" w:type="pct"/>
          </w:tcPr>
          <w:p w14:paraId="31554D60"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(8)</w:t>
            </w:r>
          </w:p>
        </w:tc>
        <w:tc>
          <w:tcPr>
            <w:tcW w:w="389" w:type="pct"/>
          </w:tcPr>
          <w:p w14:paraId="30863531"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(9)</w:t>
            </w:r>
          </w:p>
        </w:tc>
        <w:tc>
          <w:tcPr>
            <w:tcW w:w="349" w:type="pct"/>
          </w:tcPr>
          <w:p w14:paraId="27B3600F"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(10)</w:t>
            </w:r>
          </w:p>
        </w:tc>
        <w:tc>
          <w:tcPr>
            <w:tcW w:w="393" w:type="pct"/>
          </w:tcPr>
          <w:p w14:paraId="2778EF53"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(11)</w:t>
            </w:r>
          </w:p>
        </w:tc>
        <w:tc>
          <w:tcPr>
            <w:tcW w:w="360" w:type="pct"/>
            <w:gridSpan w:val="2"/>
          </w:tcPr>
          <w:p w14:paraId="65820EC1"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(12)</w:t>
            </w:r>
          </w:p>
        </w:tc>
        <w:tc>
          <w:tcPr>
            <w:tcW w:w="296" w:type="pct"/>
          </w:tcPr>
          <w:p w14:paraId="497CE684"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(13)</w:t>
            </w:r>
          </w:p>
        </w:tc>
      </w:tr>
      <w:tr w:rsidR="00647D0C" w:rsidRPr="00A61195" w14:paraId="6E91146B" w14:textId="77777777" w:rsidTr="00647D0C">
        <w:trPr>
          <w:tblHeader/>
        </w:trPr>
        <w:tc>
          <w:tcPr>
            <w:tcW w:w="296" w:type="pct"/>
          </w:tcPr>
          <w:p w14:paraId="5314B609"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Nr. crt.</w:t>
            </w:r>
          </w:p>
        </w:tc>
        <w:tc>
          <w:tcPr>
            <w:tcW w:w="624" w:type="pct"/>
            <w:gridSpan w:val="2"/>
          </w:tcPr>
          <w:p w14:paraId="5C9853F4"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Denumirea substanței</w:t>
            </w:r>
          </w:p>
        </w:tc>
        <w:tc>
          <w:tcPr>
            <w:tcW w:w="398" w:type="pct"/>
            <w:gridSpan w:val="3"/>
          </w:tcPr>
          <w:p w14:paraId="5AD9ABEE"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Categoria de substanțe</w:t>
            </w:r>
          </w:p>
        </w:tc>
        <w:tc>
          <w:tcPr>
            <w:tcW w:w="339" w:type="pct"/>
          </w:tcPr>
          <w:p w14:paraId="6BA59FB3" w14:textId="77777777" w:rsidR="00647D0C" w:rsidRPr="00A61195" w:rsidRDefault="00647D0C" w:rsidP="009D20AB">
            <w:pPr>
              <w:spacing w:before="60" w:after="60" w:line="240" w:lineRule="auto"/>
              <w:ind w:left="-57" w:right="-57"/>
              <w:jc w:val="center"/>
              <w:rPr>
                <w:rFonts w:eastAsia="Calibri"/>
                <w:sz w:val="20"/>
                <w:szCs w:val="20"/>
                <w:vertAlign w:val="superscript"/>
              </w:rPr>
            </w:pPr>
            <w:r w:rsidRPr="00A61195">
              <w:rPr>
                <w:sz w:val="20"/>
                <w:szCs w:val="20"/>
              </w:rPr>
              <w:t>Numărul CAS (</w:t>
            </w:r>
            <w:r w:rsidRPr="00D3772B">
              <w:rPr>
                <w:b/>
                <w:bCs/>
                <w:sz w:val="20"/>
                <w:szCs w:val="20"/>
                <w:vertAlign w:val="superscript"/>
              </w:rPr>
              <w:t>1</w:t>
            </w:r>
            <w:r w:rsidRPr="00A61195">
              <w:rPr>
                <w:sz w:val="20"/>
                <w:szCs w:val="20"/>
              </w:rPr>
              <w:t>)</w:t>
            </w:r>
          </w:p>
        </w:tc>
        <w:tc>
          <w:tcPr>
            <w:tcW w:w="388" w:type="pct"/>
          </w:tcPr>
          <w:p w14:paraId="4BEC98DA"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Numărul UE (</w:t>
            </w:r>
            <w:r w:rsidRPr="00D3772B">
              <w:rPr>
                <w:b/>
                <w:bCs/>
                <w:sz w:val="20"/>
                <w:szCs w:val="20"/>
                <w:vertAlign w:val="superscript"/>
              </w:rPr>
              <w:t>2</w:t>
            </w:r>
            <w:r w:rsidRPr="00A61195">
              <w:rPr>
                <w:sz w:val="20"/>
                <w:szCs w:val="20"/>
              </w:rPr>
              <w:t>)</w:t>
            </w:r>
          </w:p>
        </w:tc>
        <w:tc>
          <w:tcPr>
            <w:tcW w:w="389" w:type="pct"/>
            <w:gridSpan w:val="2"/>
          </w:tcPr>
          <w:p w14:paraId="4EB0C2BA" w14:textId="77777777" w:rsidR="00647D0C" w:rsidRPr="0039432B" w:rsidRDefault="00647D0C" w:rsidP="009D20AB">
            <w:pPr>
              <w:spacing w:before="60" w:after="60" w:line="240" w:lineRule="auto"/>
              <w:ind w:left="-57" w:right="-57"/>
              <w:jc w:val="center"/>
              <w:rPr>
                <w:rFonts w:eastAsia="Calibri"/>
                <w:sz w:val="20"/>
                <w:szCs w:val="20"/>
              </w:rPr>
            </w:pPr>
            <w:r w:rsidRPr="00A61195">
              <w:rPr>
                <w:sz w:val="20"/>
                <w:szCs w:val="20"/>
              </w:rPr>
              <w:t>SCM-MA (</w:t>
            </w:r>
            <w:r w:rsidRPr="00D3772B">
              <w:rPr>
                <w:b/>
                <w:bCs/>
                <w:sz w:val="20"/>
                <w:szCs w:val="20"/>
                <w:vertAlign w:val="superscript"/>
              </w:rPr>
              <w:t>3</w:t>
            </w:r>
            <w:r w:rsidRPr="00A61195">
              <w:rPr>
                <w:sz w:val="20"/>
                <w:szCs w:val="20"/>
              </w:rPr>
              <w:t>) Ape interioare de suprafață (</w:t>
            </w:r>
            <w:r w:rsidRPr="00D3772B">
              <w:rPr>
                <w:b/>
                <w:bCs/>
                <w:sz w:val="20"/>
                <w:szCs w:val="20"/>
                <w:vertAlign w:val="superscript"/>
              </w:rPr>
              <w:t>4</w:t>
            </w:r>
            <w:r w:rsidRPr="00A61195">
              <w:rPr>
                <w:sz w:val="20"/>
                <w:szCs w:val="20"/>
              </w:rPr>
              <w:t>)</w:t>
            </w:r>
          </w:p>
          <w:p w14:paraId="6E2B4A1C"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w:t>
            </w:r>
            <w:proofErr w:type="spellStart"/>
            <w:r w:rsidRPr="00A61195">
              <w:rPr>
                <w:sz w:val="20"/>
                <w:szCs w:val="20"/>
              </w:rPr>
              <w:t>μg</w:t>
            </w:r>
            <w:proofErr w:type="spellEnd"/>
            <w:r w:rsidRPr="00A61195">
              <w:rPr>
                <w:sz w:val="20"/>
                <w:szCs w:val="20"/>
              </w:rPr>
              <w:t>/l]</w:t>
            </w:r>
          </w:p>
        </w:tc>
        <w:tc>
          <w:tcPr>
            <w:tcW w:w="389" w:type="pct"/>
          </w:tcPr>
          <w:p w14:paraId="0DC70DA2"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SCM-MA (</w:t>
            </w:r>
            <w:r w:rsidRPr="00D3772B">
              <w:rPr>
                <w:b/>
                <w:bCs/>
                <w:sz w:val="20"/>
                <w:szCs w:val="20"/>
                <w:vertAlign w:val="superscript"/>
              </w:rPr>
              <w:t>3</w:t>
            </w:r>
            <w:r w:rsidRPr="00A61195">
              <w:rPr>
                <w:sz w:val="20"/>
                <w:szCs w:val="20"/>
              </w:rPr>
              <w:t>)</w:t>
            </w:r>
          </w:p>
          <w:p w14:paraId="2862C443"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Alte ape de suprafață</w:t>
            </w:r>
          </w:p>
          <w:p w14:paraId="701011F5"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w:t>
            </w:r>
            <w:proofErr w:type="spellStart"/>
            <w:r w:rsidRPr="00A61195">
              <w:rPr>
                <w:sz w:val="20"/>
                <w:szCs w:val="20"/>
              </w:rPr>
              <w:t>μg</w:t>
            </w:r>
            <w:proofErr w:type="spellEnd"/>
            <w:r w:rsidRPr="00A61195">
              <w:rPr>
                <w:sz w:val="20"/>
                <w:szCs w:val="20"/>
              </w:rPr>
              <w:t>/l]</w:t>
            </w:r>
          </w:p>
        </w:tc>
        <w:tc>
          <w:tcPr>
            <w:tcW w:w="392" w:type="pct"/>
          </w:tcPr>
          <w:p w14:paraId="338DD91E"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SCM-CMA (</w:t>
            </w:r>
            <w:r w:rsidRPr="00D3772B">
              <w:rPr>
                <w:b/>
                <w:bCs/>
                <w:sz w:val="20"/>
                <w:szCs w:val="20"/>
                <w:vertAlign w:val="superscript"/>
              </w:rPr>
              <w:t>5</w:t>
            </w:r>
            <w:r w:rsidRPr="00A61195">
              <w:rPr>
                <w:sz w:val="20"/>
                <w:szCs w:val="20"/>
              </w:rPr>
              <w:t>)</w:t>
            </w:r>
          </w:p>
          <w:p w14:paraId="63CF2A24" w14:textId="77777777" w:rsidR="00647D0C" w:rsidRPr="0039432B" w:rsidRDefault="00647D0C" w:rsidP="009D20AB">
            <w:pPr>
              <w:spacing w:before="60" w:after="60" w:line="240" w:lineRule="auto"/>
              <w:ind w:left="-57" w:right="-57"/>
              <w:jc w:val="center"/>
              <w:rPr>
                <w:rFonts w:eastAsia="Calibri"/>
                <w:sz w:val="20"/>
                <w:szCs w:val="20"/>
              </w:rPr>
            </w:pPr>
            <w:r w:rsidRPr="00A61195">
              <w:rPr>
                <w:sz w:val="20"/>
                <w:szCs w:val="20"/>
              </w:rPr>
              <w:t>Ape interioare de suprafață (</w:t>
            </w:r>
            <w:r w:rsidRPr="00D3772B">
              <w:rPr>
                <w:b/>
                <w:bCs/>
                <w:sz w:val="20"/>
                <w:szCs w:val="20"/>
                <w:vertAlign w:val="superscript"/>
              </w:rPr>
              <w:t>4</w:t>
            </w:r>
            <w:r w:rsidRPr="00A61195">
              <w:rPr>
                <w:sz w:val="20"/>
                <w:szCs w:val="20"/>
              </w:rPr>
              <w:t>)</w:t>
            </w:r>
          </w:p>
          <w:p w14:paraId="1D90838B"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w:t>
            </w:r>
            <w:proofErr w:type="spellStart"/>
            <w:r w:rsidRPr="00A61195">
              <w:rPr>
                <w:sz w:val="20"/>
                <w:szCs w:val="20"/>
              </w:rPr>
              <w:t>μg</w:t>
            </w:r>
            <w:proofErr w:type="spellEnd"/>
            <w:r w:rsidRPr="00A61195">
              <w:rPr>
                <w:sz w:val="20"/>
                <w:szCs w:val="20"/>
              </w:rPr>
              <w:t>/l]</w:t>
            </w:r>
          </w:p>
        </w:tc>
        <w:tc>
          <w:tcPr>
            <w:tcW w:w="389" w:type="pct"/>
          </w:tcPr>
          <w:p w14:paraId="4C132484"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SCM-CMA (</w:t>
            </w:r>
            <w:r w:rsidRPr="00D3772B">
              <w:rPr>
                <w:b/>
                <w:bCs/>
                <w:sz w:val="20"/>
                <w:szCs w:val="20"/>
                <w:vertAlign w:val="superscript"/>
              </w:rPr>
              <w:t>5</w:t>
            </w:r>
            <w:r w:rsidRPr="00A61195">
              <w:rPr>
                <w:sz w:val="20"/>
                <w:szCs w:val="20"/>
              </w:rPr>
              <w:t>)</w:t>
            </w:r>
          </w:p>
          <w:p w14:paraId="156CBE90"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Alte ape de suprafață</w:t>
            </w:r>
          </w:p>
          <w:p w14:paraId="07D74F4A"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w:t>
            </w:r>
            <w:proofErr w:type="spellStart"/>
            <w:r w:rsidRPr="00A61195">
              <w:rPr>
                <w:sz w:val="20"/>
                <w:szCs w:val="20"/>
              </w:rPr>
              <w:t>μg</w:t>
            </w:r>
            <w:proofErr w:type="spellEnd"/>
            <w:r w:rsidRPr="00A61195">
              <w:rPr>
                <w:sz w:val="20"/>
                <w:szCs w:val="20"/>
              </w:rPr>
              <w:t>/l]</w:t>
            </w:r>
          </w:p>
        </w:tc>
        <w:tc>
          <w:tcPr>
            <w:tcW w:w="349" w:type="pct"/>
          </w:tcPr>
          <w:p w14:paraId="6A098D77"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SCM</w:t>
            </w:r>
          </w:p>
          <w:p w14:paraId="0B85084B" w14:textId="77777777" w:rsidR="00647D0C" w:rsidRPr="00A61195" w:rsidRDefault="00647D0C" w:rsidP="009D20AB">
            <w:pPr>
              <w:spacing w:before="60" w:after="60" w:line="240" w:lineRule="auto"/>
              <w:ind w:left="-57" w:right="-57"/>
              <w:jc w:val="center"/>
              <w:rPr>
                <w:rFonts w:eastAsia="Calibri"/>
                <w:sz w:val="20"/>
                <w:szCs w:val="20"/>
              </w:rPr>
            </w:pPr>
            <w:proofErr w:type="spellStart"/>
            <w:r w:rsidRPr="00A61195">
              <w:rPr>
                <w:sz w:val="20"/>
                <w:szCs w:val="20"/>
              </w:rPr>
              <w:t>Biotă</w:t>
            </w:r>
            <w:proofErr w:type="spellEnd"/>
            <w:r w:rsidRPr="00A61195">
              <w:rPr>
                <w:sz w:val="20"/>
                <w:szCs w:val="20"/>
              </w:rPr>
              <w:t xml:space="preserve"> (</w:t>
            </w:r>
            <w:r w:rsidRPr="00D3772B">
              <w:rPr>
                <w:b/>
                <w:bCs/>
                <w:sz w:val="20"/>
                <w:szCs w:val="20"/>
                <w:vertAlign w:val="superscript"/>
              </w:rPr>
              <w:t>6</w:t>
            </w:r>
            <w:r w:rsidRPr="00A61195">
              <w:rPr>
                <w:sz w:val="20"/>
                <w:szCs w:val="20"/>
              </w:rPr>
              <w:t>)</w:t>
            </w:r>
          </w:p>
          <w:p w14:paraId="099BD49B"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w:t>
            </w:r>
            <w:proofErr w:type="spellStart"/>
            <w:r w:rsidRPr="00A61195">
              <w:rPr>
                <w:sz w:val="20"/>
                <w:szCs w:val="20"/>
              </w:rPr>
              <w:t>μg</w:t>
            </w:r>
            <w:proofErr w:type="spellEnd"/>
            <w:r w:rsidRPr="00A61195">
              <w:rPr>
                <w:sz w:val="20"/>
                <w:szCs w:val="20"/>
              </w:rPr>
              <w:t>/kg greutate umedă]</w:t>
            </w:r>
          </w:p>
          <w:p w14:paraId="3A37E9FE"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sau SCM pentru sedimente [µg/kg greutate uscată], dacă se indică astfel</w:t>
            </w:r>
          </w:p>
        </w:tc>
        <w:tc>
          <w:tcPr>
            <w:tcW w:w="393" w:type="pct"/>
          </w:tcPr>
          <w:p w14:paraId="0E188B25"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Identificată ca substanță periculoasă prioritară</w:t>
            </w:r>
          </w:p>
        </w:tc>
        <w:tc>
          <w:tcPr>
            <w:tcW w:w="360" w:type="pct"/>
            <w:gridSpan w:val="2"/>
          </w:tcPr>
          <w:p w14:paraId="5E9EC40F"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 xml:space="preserve">Identificată ca substanță persistentă, </w:t>
            </w:r>
            <w:proofErr w:type="spellStart"/>
            <w:r w:rsidRPr="00A61195">
              <w:rPr>
                <w:sz w:val="20"/>
                <w:szCs w:val="20"/>
              </w:rPr>
              <w:t>bioacumulativă</w:t>
            </w:r>
            <w:proofErr w:type="spellEnd"/>
            <w:r w:rsidRPr="00A61195">
              <w:rPr>
                <w:sz w:val="20"/>
                <w:szCs w:val="20"/>
              </w:rPr>
              <w:t xml:space="preserve"> și toxică omniprezentă (PBT omniprezentă)</w:t>
            </w:r>
          </w:p>
        </w:tc>
        <w:tc>
          <w:tcPr>
            <w:tcW w:w="296" w:type="pct"/>
          </w:tcPr>
          <w:p w14:paraId="0BD46771" w14:textId="77777777" w:rsidR="00647D0C" w:rsidRPr="00A61195" w:rsidRDefault="00647D0C" w:rsidP="009D20AB">
            <w:pPr>
              <w:spacing w:before="60" w:after="60" w:line="240" w:lineRule="auto"/>
              <w:ind w:left="-57" w:right="-57"/>
              <w:jc w:val="center"/>
              <w:rPr>
                <w:rFonts w:eastAsia="Calibri"/>
                <w:sz w:val="20"/>
                <w:szCs w:val="20"/>
              </w:rPr>
            </w:pPr>
            <w:r w:rsidRPr="00A61195">
              <w:rPr>
                <w:sz w:val="20"/>
                <w:szCs w:val="20"/>
              </w:rPr>
              <w:t xml:space="preserve">Identificată ca substanță care tinde să se acumuleze în sedimente și/sau </w:t>
            </w:r>
            <w:proofErr w:type="spellStart"/>
            <w:r w:rsidRPr="00A61195">
              <w:rPr>
                <w:sz w:val="20"/>
                <w:szCs w:val="20"/>
              </w:rPr>
              <w:t>biotă</w:t>
            </w:r>
            <w:proofErr w:type="spellEnd"/>
          </w:p>
        </w:tc>
      </w:tr>
      <w:tr w:rsidR="00647D0C" w:rsidRPr="00A61195" w14:paraId="7B4B89A1" w14:textId="77777777" w:rsidTr="009D20AB">
        <w:tc>
          <w:tcPr>
            <w:tcW w:w="296" w:type="pct"/>
          </w:tcPr>
          <w:p w14:paraId="4EC939D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w:t>
            </w:r>
          </w:p>
        </w:tc>
        <w:tc>
          <w:tcPr>
            <w:tcW w:w="4704" w:type="pct"/>
            <w:gridSpan w:val="17"/>
          </w:tcPr>
          <w:p w14:paraId="18BBE4F7" w14:textId="7F1F6434" w:rsidR="00647D0C" w:rsidRPr="00A61195" w:rsidRDefault="00647D0C" w:rsidP="009D20AB">
            <w:pPr>
              <w:spacing w:before="60" w:after="60" w:line="240" w:lineRule="auto"/>
              <w:ind w:left="-57" w:right="-57"/>
              <w:rPr>
                <w:sz w:val="20"/>
                <w:szCs w:val="20"/>
              </w:rPr>
            </w:pPr>
            <w:r w:rsidRPr="00A61195">
              <w:rPr>
                <w:sz w:val="20"/>
                <w:szCs w:val="20"/>
              </w:rPr>
              <w:t xml:space="preserve">Substanța </w:t>
            </w:r>
            <w:proofErr w:type="spellStart"/>
            <w:r w:rsidRPr="00A61195">
              <w:rPr>
                <w:sz w:val="20"/>
                <w:szCs w:val="20"/>
              </w:rPr>
              <w:t>Alaclor</w:t>
            </w:r>
            <w:proofErr w:type="spellEnd"/>
            <w:r w:rsidRPr="00A61195">
              <w:rPr>
                <w:sz w:val="20"/>
                <w:szCs w:val="20"/>
              </w:rPr>
              <w:t xml:space="preserve"> a fost mutată în anexa II partea C.</w:t>
            </w:r>
          </w:p>
        </w:tc>
      </w:tr>
      <w:tr w:rsidR="00647D0C" w:rsidRPr="00A61195" w14:paraId="4BB9BCB5" w14:textId="77777777" w:rsidTr="00647D0C">
        <w:tc>
          <w:tcPr>
            <w:tcW w:w="296" w:type="pct"/>
          </w:tcPr>
          <w:p w14:paraId="1BEBE4A5"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w:t>
            </w:r>
          </w:p>
        </w:tc>
        <w:tc>
          <w:tcPr>
            <w:tcW w:w="628" w:type="pct"/>
            <w:gridSpan w:val="3"/>
          </w:tcPr>
          <w:p w14:paraId="43AF4ADC"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Antracen</w:t>
            </w:r>
          </w:p>
        </w:tc>
        <w:tc>
          <w:tcPr>
            <w:tcW w:w="394" w:type="pct"/>
            <w:gridSpan w:val="2"/>
          </w:tcPr>
          <w:p w14:paraId="36D7A74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Substanțe industriale</w:t>
            </w:r>
          </w:p>
        </w:tc>
        <w:tc>
          <w:tcPr>
            <w:tcW w:w="339" w:type="pct"/>
          </w:tcPr>
          <w:p w14:paraId="0A38071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120-12-7</w:t>
            </w:r>
          </w:p>
        </w:tc>
        <w:tc>
          <w:tcPr>
            <w:tcW w:w="390" w:type="pct"/>
            <w:gridSpan w:val="2"/>
          </w:tcPr>
          <w:p w14:paraId="2275943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204-371-1</w:t>
            </w:r>
          </w:p>
        </w:tc>
        <w:tc>
          <w:tcPr>
            <w:tcW w:w="387" w:type="pct"/>
          </w:tcPr>
          <w:p w14:paraId="13C4C48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0,1</w:t>
            </w:r>
          </w:p>
        </w:tc>
        <w:tc>
          <w:tcPr>
            <w:tcW w:w="389" w:type="pct"/>
          </w:tcPr>
          <w:p w14:paraId="7EB50745"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0,1</w:t>
            </w:r>
          </w:p>
        </w:tc>
        <w:tc>
          <w:tcPr>
            <w:tcW w:w="392" w:type="pct"/>
          </w:tcPr>
          <w:p w14:paraId="01E4EF2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0,1</w:t>
            </w:r>
          </w:p>
        </w:tc>
        <w:tc>
          <w:tcPr>
            <w:tcW w:w="389" w:type="pct"/>
          </w:tcPr>
          <w:p w14:paraId="46B7AC9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0,1</w:t>
            </w:r>
          </w:p>
        </w:tc>
        <w:tc>
          <w:tcPr>
            <w:tcW w:w="349" w:type="pct"/>
          </w:tcPr>
          <w:p w14:paraId="0F642B1F"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10D6F2B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212A4800"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6E18E29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0323E940" w14:textId="77777777" w:rsidTr="009D20AB">
        <w:tc>
          <w:tcPr>
            <w:tcW w:w="296" w:type="pct"/>
          </w:tcPr>
          <w:p w14:paraId="2F893D5A" w14:textId="77777777" w:rsidR="00647D0C" w:rsidRPr="00A61195" w:rsidRDefault="00647D0C" w:rsidP="009D20AB">
            <w:pPr>
              <w:pageBreakBefore/>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57" w:right="-57"/>
              <w:rPr>
                <w:rFonts w:eastAsia="Calibri"/>
                <w:sz w:val="20"/>
                <w:szCs w:val="20"/>
              </w:rPr>
            </w:pPr>
            <w:r w:rsidRPr="00A61195">
              <w:rPr>
                <w:sz w:val="20"/>
                <w:szCs w:val="20"/>
              </w:rPr>
              <w:lastRenderedPageBreak/>
              <w:t>3.</w:t>
            </w:r>
          </w:p>
        </w:tc>
        <w:tc>
          <w:tcPr>
            <w:tcW w:w="4704" w:type="pct"/>
            <w:gridSpan w:val="17"/>
          </w:tcPr>
          <w:p w14:paraId="3F03781E" w14:textId="21FFD909" w:rsidR="00647D0C" w:rsidRPr="00A61195" w:rsidRDefault="00647D0C" w:rsidP="009D20AB">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57" w:right="-57"/>
              <w:rPr>
                <w:rFonts w:eastAsia="Calibri"/>
                <w:sz w:val="20"/>
                <w:szCs w:val="20"/>
              </w:rPr>
            </w:pPr>
            <w:r w:rsidRPr="00A61195">
              <w:rPr>
                <w:sz w:val="20"/>
                <w:szCs w:val="20"/>
              </w:rPr>
              <w:t xml:space="preserve">Substanța </w:t>
            </w:r>
            <w:proofErr w:type="spellStart"/>
            <w:r w:rsidRPr="00A61195">
              <w:rPr>
                <w:sz w:val="20"/>
                <w:szCs w:val="20"/>
              </w:rPr>
              <w:t>Atrazin</w:t>
            </w:r>
            <w:proofErr w:type="spellEnd"/>
            <w:r w:rsidRPr="00A61195">
              <w:rPr>
                <w:sz w:val="20"/>
                <w:szCs w:val="20"/>
              </w:rPr>
              <w:t xml:space="preserve"> a fost mutată în anexa II partea C.</w:t>
            </w:r>
          </w:p>
        </w:tc>
      </w:tr>
      <w:tr w:rsidR="00647D0C" w:rsidRPr="00A61195" w14:paraId="6D39F15C" w14:textId="77777777" w:rsidTr="00647D0C">
        <w:tc>
          <w:tcPr>
            <w:tcW w:w="296" w:type="pct"/>
          </w:tcPr>
          <w:p w14:paraId="13B7E145"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4.</w:t>
            </w:r>
          </w:p>
        </w:tc>
        <w:tc>
          <w:tcPr>
            <w:tcW w:w="628" w:type="pct"/>
            <w:gridSpan w:val="3"/>
          </w:tcPr>
          <w:p w14:paraId="1049BD35"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Benzen</w:t>
            </w:r>
          </w:p>
        </w:tc>
        <w:tc>
          <w:tcPr>
            <w:tcW w:w="394" w:type="pct"/>
            <w:gridSpan w:val="2"/>
          </w:tcPr>
          <w:p w14:paraId="77EC5A0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Substanțe industriale</w:t>
            </w:r>
          </w:p>
        </w:tc>
        <w:tc>
          <w:tcPr>
            <w:tcW w:w="339" w:type="pct"/>
          </w:tcPr>
          <w:p w14:paraId="41463B65"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71-43-2</w:t>
            </w:r>
          </w:p>
        </w:tc>
        <w:tc>
          <w:tcPr>
            <w:tcW w:w="390" w:type="pct"/>
            <w:gridSpan w:val="2"/>
          </w:tcPr>
          <w:p w14:paraId="3E6179E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200-753-7</w:t>
            </w:r>
          </w:p>
        </w:tc>
        <w:tc>
          <w:tcPr>
            <w:tcW w:w="387" w:type="pct"/>
          </w:tcPr>
          <w:p w14:paraId="3C8EF94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10</w:t>
            </w:r>
          </w:p>
        </w:tc>
        <w:tc>
          <w:tcPr>
            <w:tcW w:w="389" w:type="pct"/>
          </w:tcPr>
          <w:p w14:paraId="53FCCDA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8</w:t>
            </w:r>
          </w:p>
        </w:tc>
        <w:tc>
          <w:tcPr>
            <w:tcW w:w="392" w:type="pct"/>
          </w:tcPr>
          <w:p w14:paraId="246ABC3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50</w:t>
            </w:r>
          </w:p>
        </w:tc>
        <w:tc>
          <w:tcPr>
            <w:tcW w:w="389" w:type="pct"/>
          </w:tcPr>
          <w:p w14:paraId="2DC2579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50</w:t>
            </w:r>
          </w:p>
        </w:tc>
        <w:tc>
          <w:tcPr>
            <w:tcW w:w="349" w:type="pct"/>
          </w:tcPr>
          <w:p w14:paraId="13A68FF3"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77ED262E" w14:textId="77777777" w:rsidR="00647D0C" w:rsidRPr="00A61195" w:rsidRDefault="00647D0C" w:rsidP="009D20AB">
            <w:pPr>
              <w:spacing w:before="60" w:after="60" w:line="240" w:lineRule="auto"/>
              <w:ind w:left="-57" w:right="-57"/>
              <w:rPr>
                <w:rFonts w:eastAsia="Calibri"/>
                <w:sz w:val="20"/>
                <w:szCs w:val="20"/>
              </w:rPr>
            </w:pPr>
          </w:p>
        </w:tc>
        <w:tc>
          <w:tcPr>
            <w:tcW w:w="360" w:type="pct"/>
            <w:gridSpan w:val="2"/>
          </w:tcPr>
          <w:p w14:paraId="5FDEA8CC"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7BFE7E23"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604AD191" w14:textId="77777777" w:rsidTr="00647D0C">
        <w:tc>
          <w:tcPr>
            <w:tcW w:w="296" w:type="pct"/>
          </w:tcPr>
          <w:p w14:paraId="62ED3EF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5.</w:t>
            </w:r>
          </w:p>
        </w:tc>
        <w:tc>
          <w:tcPr>
            <w:tcW w:w="628" w:type="pct"/>
            <w:gridSpan w:val="3"/>
          </w:tcPr>
          <w:p w14:paraId="4294B2BD" w14:textId="77777777" w:rsidR="00647D0C" w:rsidRPr="00A61195" w:rsidRDefault="00647D0C" w:rsidP="009D20AB">
            <w:pPr>
              <w:spacing w:before="60" w:after="60" w:line="240" w:lineRule="auto"/>
              <w:ind w:left="-57" w:right="-57"/>
              <w:rPr>
                <w:rFonts w:eastAsia="Calibri"/>
                <w:sz w:val="20"/>
                <w:szCs w:val="20"/>
                <w:vertAlign w:val="superscript"/>
              </w:rPr>
            </w:pPr>
            <w:proofErr w:type="spellStart"/>
            <w:r w:rsidRPr="00A61195">
              <w:rPr>
                <w:sz w:val="20"/>
                <w:szCs w:val="20"/>
              </w:rPr>
              <w:t>Difenileteri</w:t>
            </w:r>
            <w:proofErr w:type="spellEnd"/>
            <w:r w:rsidRPr="00A61195">
              <w:rPr>
                <w:sz w:val="20"/>
                <w:szCs w:val="20"/>
              </w:rPr>
              <w:t xml:space="preserve"> </w:t>
            </w:r>
            <w:proofErr w:type="spellStart"/>
            <w:r w:rsidRPr="00A61195">
              <w:rPr>
                <w:sz w:val="20"/>
                <w:szCs w:val="20"/>
              </w:rPr>
              <w:t>bromurați</w:t>
            </w:r>
            <w:proofErr w:type="spellEnd"/>
            <w:r w:rsidRPr="00A61195">
              <w:rPr>
                <w:sz w:val="20"/>
                <w:szCs w:val="20"/>
              </w:rPr>
              <w:t xml:space="preserve"> (</w:t>
            </w:r>
            <w:r w:rsidRPr="00D3772B">
              <w:rPr>
                <w:b/>
                <w:bCs/>
                <w:sz w:val="20"/>
                <w:szCs w:val="20"/>
                <w:vertAlign w:val="superscript"/>
              </w:rPr>
              <w:t>7</w:t>
            </w:r>
            <w:r w:rsidRPr="00A61195">
              <w:rPr>
                <w:sz w:val="20"/>
                <w:szCs w:val="20"/>
              </w:rPr>
              <w:t>)</w:t>
            </w:r>
          </w:p>
        </w:tc>
        <w:tc>
          <w:tcPr>
            <w:tcW w:w="394" w:type="pct"/>
            <w:gridSpan w:val="2"/>
          </w:tcPr>
          <w:p w14:paraId="5D99DAE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Substanțe industriale</w:t>
            </w:r>
          </w:p>
        </w:tc>
        <w:tc>
          <w:tcPr>
            <w:tcW w:w="339" w:type="pct"/>
          </w:tcPr>
          <w:p w14:paraId="7270568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90" w:type="pct"/>
            <w:gridSpan w:val="2"/>
          </w:tcPr>
          <w:p w14:paraId="5AB4DEEC"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87" w:type="pct"/>
          </w:tcPr>
          <w:p w14:paraId="67D8E810" w14:textId="77777777" w:rsidR="00647D0C" w:rsidRPr="00A61195" w:rsidRDefault="00647D0C" w:rsidP="009D20AB">
            <w:pPr>
              <w:spacing w:before="60" w:after="60" w:line="240" w:lineRule="auto"/>
              <w:ind w:left="-57" w:right="-57"/>
              <w:rPr>
                <w:rFonts w:eastAsia="Calibri"/>
                <w:sz w:val="20"/>
                <w:szCs w:val="20"/>
              </w:rPr>
            </w:pPr>
          </w:p>
        </w:tc>
        <w:tc>
          <w:tcPr>
            <w:tcW w:w="389" w:type="pct"/>
          </w:tcPr>
          <w:p w14:paraId="074B8FF9" w14:textId="77777777" w:rsidR="00647D0C" w:rsidRPr="00A61195" w:rsidRDefault="00647D0C" w:rsidP="009D20AB">
            <w:pPr>
              <w:spacing w:before="60" w:after="60" w:line="240" w:lineRule="auto"/>
              <w:ind w:left="-57" w:right="-57"/>
              <w:rPr>
                <w:rFonts w:eastAsia="Calibri"/>
                <w:sz w:val="20"/>
                <w:szCs w:val="20"/>
              </w:rPr>
            </w:pPr>
          </w:p>
        </w:tc>
        <w:tc>
          <w:tcPr>
            <w:tcW w:w="392" w:type="pct"/>
          </w:tcPr>
          <w:p w14:paraId="78DEF4FB" w14:textId="6F6CD103" w:rsidR="00647D0C" w:rsidRPr="00A61195" w:rsidRDefault="00647D0C" w:rsidP="009D20AB">
            <w:pPr>
              <w:spacing w:before="60" w:after="60" w:line="240" w:lineRule="auto"/>
              <w:ind w:left="-57" w:right="-57"/>
              <w:rPr>
                <w:rFonts w:eastAsia="Calibri"/>
                <w:sz w:val="20"/>
                <w:szCs w:val="20"/>
              </w:rPr>
            </w:pPr>
            <w:r w:rsidRPr="00A61195">
              <w:rPr>
                <w:sz w:val="20"/>
                <w:szCs w:val="20"/>
              </w:rPr>
              <w:t>0,14</w:t>
            </w:r>
          </w:p>
        </w:tc>
        <w:tc>
          <w:tcPr>
            <w:tcW w:w="389" w:type="pct"/>
          </w:tcPr>
          <w:p w14:paraId="1C6943DC"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0.014 (</w:t>
            </w:r>
            <w:r w:rsidRPr="00D3772B">
              <w:rPr>
                <w:b/>
                <w:bCs/>
                <w:sz w:val="20"/>
                <w:szCs w:val="20"/>
                <w:vertAlign w:val="superscript"/>
              </w:rPr>
              <w:t>7</w:t>
            </w:r>
            <w:r w:rsidRPr="00A61195">
              <w:rPr>
                <w:sz w:val="20"/>
                <w:szCs w:val="20"/>
              </w:rPr>
              <w:t>)</w:t>
            </w:r>
          </w:p>
        </w:tc>
        <w:tc>
          <w:tcPr>
            <w:tcW w:w="349" w:type="pct"/>
          </w:tcPr>
          <w:p w14:paraId="0D5D205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0,00028 (</w:t>
            </w:r>
            <w:r w:rsidRPr="00D3772B">
              <w:rPr>
                <w:b/>
                <w:bCs/>
                <w:sz w:val="20"/>
                <w:szCs w:val="20"/>
                <w:vertAlign w:val="superscript"/>
              </w:rPr>
              <w:t>7</w:t>
            </w:r>
            <w:r w:rsidRPr="00A61195">
              <w:rPr>
                <w:sz w:val="20"/>
                <w:szCs w:val="20"/>
              </w:rPr>
              <w:t>)</w:t>
            </w:r>
          </w:p>
        </w:tc>
        <w:tc>
          <w:tcPr>
            <w:tcW w:w="393" w:type="pct"/>
          </w:tcPr>
          <w:p w14:paraId="48AFA0F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 (</w:t>
            </w:r>
            <w:r w:rsidRPr="00D3772B">
              <w:rPr>
                <w:b/>
                <w:bCs/>
                <w:sz w:val="20"/>
                <w:szCs w:val="20"/>
                <w:vertAlign w:val="superscript"/>
              </w:rPr>
              <w:t>8</w:t>
            </w:r>
            <w:r w:rsidRPr="00A61195">
              <w:rPr>
                <w:sz w:val="20"/>
                <w:szCs w:val="20"/>
              </w:rPr>
              <w:t>)</w:t>
            </w:r>
          </w:p>
        </w:tc>
        <w:tc>
          <w:tcPr>
            <w:tcW w:w="360" w:type="pct"/>
            <w:gridSpan w:val="2"/>
          </w:tcPr>
          <w:p w14:paraId="14C0313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296" w:type="pct"/>
          </w:tcPr>
          <w:p w14:paraId="2C2D48B3"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4A851EE1" w14:textId="77777777" w:rsidTr="00647D0C">
        <w:tc>
          <w:tcPr>
            <w:tcW w:w="296" w:type="pct"/>
          </w:tcPr>
          <w:p w14:paraId="3156A003" w14:textId="77777777" w:rsidR="00647D0C" w:rsidRPr="00A61195" w:rsidRDefault="00647D0C" w:rsidP="00647D0C">
            <w:pPr>
              <w:keepNext/>
              <w:pageBreakBefore/>
              <w:spacing w:before="60" w:after="60" w:line="240" w:lineRule="auto"/>
              <w:ind w:left="-57" w:right="-57"/>
              <w:rPr>
                <w:rFonts w:eastAsia="Calibri"/>
                <w:sz w:val="20"/>
                <w:szCs w:val="20"/>
              </w:rPr>
            </w:pPr>
            <w:r w:rsidRPr="00A61195">
              <w:rPr>
                <w:sz w:val="20"/>
                <w:szCs w:val="20"/>
              </w:rPr>
              <w:lastRenderedPageBreak/>
              <w:t>6.</w:t>
            </w:r>
          </w:p>
        </w:tc>
        <w:tc>
          <w:tcPr>
            <w:tcW w:w="628" w:type="pct"/>
            <w:gridSpan w:val="3"/>
          </w:tcPr>
          <w:p w14:paraId="634561FD"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Cadmiu și compușii săi</w:t>
            </w:r>
          </w:p>
          <w:p w14:paraId="77CD0B03" w14:textId="77777777" w:rsidR="00647D0C" w:rsidRPr="00A61195" w:rsidRDefault="00647D0C" w:rsidP="009D20AB">
            <w:pPr>
              <w:keepNext/>
              <w:spacing w:before="60" w:after="60" w:line="240" w:lineRule="auto"/>
              <w:ind w:left="-57" w:right="-57"/>
              <w:rPr>
                <w:rFonts w:eastAsia="Calibri"/>
                <w:sz w:val="20"/>
                <w:szCs w:val="20"/>
                <w:vertAlign w:val="superscript"/>
              </w:rPr>
            </w:pPr>
            <w:r w:rsidRPr="00A61195">
              <w:rPr>
                <w:sz w:val="20"/>
                <w:szCs w:val="20"/>
              </w:rPr>
              <w:t>(în funcție de clasele de duritate a apei) (</w:t>
            </w:r>
            <w:r w:rsidRPr="00D3772B">
              <w:rPr>
                <w:b/>
                <w:bCs/>
                <w:sz w:val="20"/>
                <w:szCs w:val="20"/>
                <w:vertAlign w:val="superscript"/>
              </w:rPr>
              <w:t>9</w:t>
            </w:r>
            <w:r w:rsidRPr="00A61195">
              <w:rPr>
                <w:sz w:val="20"/>
                <w:szCs w:val="20"/>
              </w:rPr>
              <w:t>)</w:t>
            </w:r>
          </w:p>
        </w:tc>
        <w:tc>
          <w:tcPr>
            <w:tcW w:w="394" w:type="pct"/>
            <w:gridSpan w:val="2"/>
          </w:tcPr>
          <w:p w14:paraId="102C65B5"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Metale</w:t>
            </w:r>
          </w:p>
        </w:tc>
        <w:tc>
          <w:tcPr>
            <w:tcW w:w="339" w:type="pct"/>
          </w:tcPr>
          <w:p w14:paraId="12468EB9"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7440-43-9</w:t>
            </w:r>
          </w:p>
        </w:tc>
        <w:tc>
          <w:tcPr>
            <w:tcW w:w="390" w:type="pct"/>
            <w:gridSpan w:val="2"/>
          </w:tcPr>
          <w:p w14:paraId="37DE0B00"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231-152-8</w:t>
            </w:r>
          </w:p>
        </w:tc>
        <w:tc>
          <w:tcPr>
            <w:tcW w:w="387" w:type="pct"/>
          </w:tcPr>
          <w:p w14:paraId="5C58D6E4"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 0,08 (clasa 1)</w:t>
            </w:r>
          </w:p>
          <w:p w14:paraId="5738C524"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0,08 (clasa 2)</w:t>
            </w:r>
          </w:p>
          <w:p w14:paraId="37EFC787"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0,09 (clasa 3)</w:t>
            </w:r>
          </w:p>
          <w:p w14:paraId="04C64A88"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0,15 (clasa 4)</w:t>
            </w:r>
          </w:p>
          <w:p w14:paraId="4625F7A2"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0,25 (clasa 5)</w:t>
            </w:r>
          </w:p>
        </w:tc>
        <w:tc>
          <w:tcPr>
            <w:tcW w:w="389" w:type="pct"/>
          </w:tcPr>
          <w:p w14:paraId="3999CC7B"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0,2</w:t>
            </w:r>
          </w:p>
        </w:tc>
        <w:tc>
          <w:tcPr>
            <w:tcW w:w="392" w:type="pct"/>
          </w:tcPr>
          <w:p w14:paraId="5C466139"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 0,45 (clasa 1)</w:t>
            </w:r>
          </w:p>
          <w:p w14:paraId="130CC00C"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0,45 (clasa 2)</w:t>
            </w:r>
          </w:p>
          <w:p w14:paraId="6B3034E5"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0,6 (clasa 3)</w:t>
            </w:r>
          </w:p>
          <w:p w14:paraId="336A194C"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0,9 (clasa 4)</w:t>
            </w:r>
          </w:p>
          <w:p w14:paraId="085945DD"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1,5 (clasa 5)</w:t>
            </w:r>
          </w:p>
        </w:tc>
        <w:tc>
          <w:tcPr>
            <w:tcW w:w="389" w:type="pct"/>
          </w:tcPr>
          <w:p w14:paraId="63D9ED2D"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 0,45 (clasa 1)</w:t>
            </w:r>
          </w:p>
          <w:p w14:paraId="3A6CB289"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0,45 (clasa 2)</w:t>
            </w:r>
          </w:p>
          <w:p w14:paraId="770A0DC7"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0,6 (clasa 3)</w:t>
            </w:r>
          </w:p>
          <w:p w14:paraId="57BF8D98"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0,9 (clasa 4)</w:t>
            </w:r>
          </w:p>
          <w:p w14:paraId="6AA7D543"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1,5 (clasa 5)</w:t>
            </w:r>
          </w:p>
        </w:tc>
        <w:tc>
          <w:tcPr>
            <w:tcW w:w="349" w:type="pct"/>
          </w:tcPr>
          <w:p w14:paraId="43AD4B66" w14:textId="77777777" w:rsidR="00647D0C" w:rsidRPr="00A61195" w:rsidRDefault="00647D0C" w:rsidP="009D20AB">
            <w:pPr>
              <w:keepNext/>
              <w:spacing w:before="60" w:after="60" w:line="240" w:lineRule="auto"/>
              <w:ind w:left="-57" w:right="-57"/>
              <w:rPr>
                <w:rFonts w:eastAsia="Calibri"/>
                <w:sz w:val="20"/>
                <w:szCs w:val="20"/>
              </w:rPr>
            </w:pPr>
          </w:p>
        </w:tc>
        <w:tc>
          <w:tcPr>
            <w:tcW w:w="393" w:type="pct"/>
          </w:tcPr>
          <w:p w14:paraId="6A325CA5"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X</w:t>
            </w:r>
          </w:p>
        </w:tc>
        <w:tc>
          <w:tcPr>
            <w:tcW w:w="360" w:type="pct"/>
            <w:gridSpan w:val="2"/>
          </w:tcPr>
          <w:p w14:paraId="291928EB" w14:textId="77777777" w:rsidR="00647D0C" w:rsidRPr="00A61195" w:rsidRDefault="00647D0C" w:rsidP="009D20AB">
            <w:pPr>
              <w:keepNext/>
              <w:spacing w:before="60" w:after="60" w:line="240" w:lineRule="auto"/>
              <w:ind w:left="-57" w:right="-57"/>
              <w:rPr>
                <w:rFonts w:eastAsia="Calibri"/>
                <w:sz w:val="20"/>
                <w:szCs w:val="20"/>
              </w:rPr>
            </w:pPr>
          </w:p>
        </w:tc>
        <w:tc>
          <w:tcPr>
            <w:tcW w:w="296" w:type="pct"/>
          </w:tcPr>
          <w:p w14:paraId="45438654"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X</w:t>
            </w:r>
          </w:p>
        </w:tc>
      </w:tr>
      <w:tr w:rsidR="00647D0C" w:rsidRPr="00A61195" w14:paraId="2A951CCC" w14:textId="77777777" w:rsidTr="009D20AB">
        <w:tc>
          <w:tcPr>
            <w:tcW w:w="296" w:type="pct"/>
          </w:tcPr>
          <w:p w14:paraId="6FFE79D3" w14:textId="2F08FBB9" w:rsidR="00647D0C" w:rsidRPr="00A61195" w:rsidRDefault="00647D0C" w:rsidP="009D20AB">
            <w:pPr>
              <w:spacing w:before="60" w:after="60" w:line="240" w:lineRule="auto"/>
              <w:ind w:left="-57" w:right="-57"/>
              <w:rPr>
                <w:rFonts w:eastAsia="Calibri"/>
                <w:sz w:val="20"/>
                <w:szCs w:val="20"/>
              </w:rPr>
            </w:pPr>
            <w:r w:rsidRPr="00A61195">
              <w:rPr>
                <w:sz w:val="20"/>
                <w:szCs w:val="20"/>
              </w:rPr>
              <w:t>6a.</w:t>
            </w:r>
          </w:p>
        </w:tc>
        <w:tc>
          <w:tcPr>
            <w:tcW w:w="4704" w:type="pct"/>
            <w:gridSpan w:val="17"/>
          </w:tcPr>
          <w:p w14:paraId="10947690" w14:textId="06ADAEA5" w:rsidR="00647D0C" w:rsidRPr="00A61195" w:rsidRDefault="00647D0C" w:rsidP="009D20AB">
            <w:pPr>
              <w:spacing w:before="60" w:after="60" w:line="240" w:lineRule="auto"/>
              <w:ind w:left="-57" w:right="-57"/>
              <w:rPr>
                <w:rFonts w:eastAsia="Calibri"/>
                <w:sz w:val="20"/>
                <w:szCs w:val="20"/>
              </w:rPr>
            </w:pPr>
            <w:r w:rsidRPr="00A61195">
              <w:rPr>
                <w:sz w:val="20"/>
                <w:szCs w:val="20"/>
              </w:rPr>
              <w:t>Substanța Tetraclorură de carbon a fost mutată în anexa II partea C.</w:t>
            </w:r>
          </w:p>
        </w:tc>
      </w:tr>
      <w:tr w:rsidR="00647D0C" w:rsidRPr="00A61195" w14:paraId="6EC203C5" w14:textId="77777777" w:rsidTr="00647D0C">
        <w:tc>
          <w:tcPr>
            <w:tcW w:w="296" w:type="pct"/>
          </w:tcPr>
          <w:p w14:paraId="357E9793" w14:textId="77777777"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7.</w:t>
            </w:r>
          </w:p>
        </w:tc>
        <w:tc>
          <w:tcPr>
            <w:tcW w:w="628" w:type="pct"/>
            <w:gridSpan w:val="3"/>
          </w:tcPr>
          <w:p w14:paraId="5489B798" w14:textId="77777777" w:rsidR="00647D0C" w:rsidRPr="00A61195" w:rsidRDefault="00647D0C" w:rsidP="009D20AB">
            <w:pPr>
              <w:spacing w:before="60" w:after="60" w:line="240" w:lineRule="auto"/>
              <w:ind w:left="-57" w:right="-57"/>
              <w:rPr>
                <w:rFonts w:eastAsia="Calibri"/>
                <w:sz w:val="20"/>
                <w:szCs w:val="20"/>
                <w:vertAlign w:val="superscript"/>
              </w:rPr>
            </w:pPr>
            <w:proofErr w:type="spellStart"/>
            <w:r w:rsidRPr="00A61195">
              <w:rPr>
                <w:sz w:val="20"/>
                <w:szCs w:val="20"/>
              </w:rPr>
              <w:t>Cloroalcani</w:t>
            </w:r>
            <w:proofErr w:type="spellEnd"/>
            <w:r w:rsidRPr="00A61195">
              <w:rPr>
                <w:sz w:val="20"/>
                <w:szCs w:val="20"/>
              </w:rPr>
              <w:t xml:space="preserve"> C</w:t>
            </w:r>
            <w:r w:rsidRPr="00A61195">
              <w:rPr>
                <w:sz w:val="20"/>
                <w:szCs w:val="20"/>
                <w:vertAlign w:val="subscript"/>
              </w:rPr>
              <w:t>10</w:t>
            </w:r>
            <w:r w:rsidRPr="00A61195">
              <w:rPr>
                <w:sz w:val="20"/>
                <w:szCs w:val="20"/>
                <w:vertAlign w:val="subscript"/>
              </w:rPr>
              <w:noBreakHyphen/>
              <w:t>13</w:t>
            </w:r>
            <w:r w:rsidRPr="00A61195">
              <w:rPr>
                <w:sz w:val="20"/>
                <w:szCs w:val="20"/>
              </w:rPr>
              <w:t xml:space="preserve"> (</w:t>
            </w:r>
            <w:r w:rsidRPr="00D3772B">
              <w:rPr>
                <w:b/>
                <w:bCs/>
                <w:sz w:val="20"/>
                <w:szCs w:val="20"/>
                <w:vertAlign w:val="superscript"/>
              </w:rPr>
              <w:t>10</w:t>
            </w:r>
            <w:r w:rsidRPr="00A61195">
              <w:rPr>
                <w:sz w:val="20"/>
                <w:szCs w:val="20"/>
              </w:rPr>
              <w:t>)</w:t>
            </w:r>
          </w:p>
        </w:tc>
        <w:tc>
          <w:tcPr>
            <w:tcW w:w="394" w:type="pct"/>
            <w:gridSpan w:val="2"/>
          </w:tcPr>
          <w:p w14:paraId="4255303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Substanțe industriale</w:t>
            </w:r>
          </w:p>
        </w:tc>
        <w:tc>
          <w:tcPr>
            <w:tcW w:w="339" w:type="pct"/>
          </w:tcPr>
          <w:p w14:paraId="59277A55" w14:textId="77777777" w:rsidR="00647D0C" w:rsidRPr="00A61195" w:rsidRDefault="00647D0C" w:rsidP="00D3772B">
            <w:pPr>
              <w:spacing w:before="60" w:after="60" w:line="240" w:lineRule="auto"/>
              <w:ind w:left="-57" w:right="-95"/>
              <w:rPr>
                <w:rFonts w:eastAsia="Calibri"/>
                <w:sz w:val="20"/>
                <w:szCs w:val="20"/>
              </w:rPr>
            </w:pPr>
            <w:r w:rsidRPr="00A61195">
              <w:rPr>
                <w:sz w:val="20"/>
                <w:szCs w:val="20"/>
              </w:rPr>
              <w:t>85535-84-8</w:t>
            </w:r>
          </w:p>
        </w:tc>
        <w:tc>
          <w:tcPr>
            <w:tcW w:w="390" w:type="pct"/>
            <w:gridSpan w:val="2"/>
          </w:tcPr>
          <w:p w14:paraId="5A8CEC3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287-476-5</w:t>
            </w:r>
          </w:p>
        </w:tc>
        <w:tc>
          <w:tcPr>
            <w:tcW w:w="387" w:type="pct"/>
          </w:tcPr>
          <w:p w14:paraId="6B4FC66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0,4</w:t>
            </w:r>
          </w:p>
        </w:tc>
        <w:tc>
          <w:tcPr>
            <w:tcW w:w="389" w:type="pct"/>
          </w:tcPr>
          <w:p w14:paraId="6E7C8E3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0,4</w:t>
            </w:r>
          </w:p>
        </w:tc>
        <w:tc>
          <w:tcPr>
            <w:tcW w:w="392" w:type="pct"/>
          </w:tcPr>
          <w:p w14:paraId="3B6840B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1,4</w:t>
            </w:r>
          </w:p>
        </w:tc>
        <w:tc>
          <w:tcPr>
            <w:tcW w:w="389" w:type="pct"/>
          </w:tcPr>
          <w:p w14:paraId="2987DF5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1,4</w:t>
            </w:r>
          </w:p>
        </w:tc>
        <w:tc>
          <w:tcPr>
            <w:tcW w:w="349" w:type="pct"/>
          </w:tcPr>
          <w:p w14:paraId="5C8FAFD2"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0F58F35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627D1C16"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74AB680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71C78977" w14:textId="77777777" w:rsidTr="009D20AB">
        <w:tc>
          <w:tcPr>
            <w:tcW w:w="296" w:type="pct"/>
          </w:tcPr>
          <w:p w14:paraId="24177DE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8.</w:t>
            </w:r>
          </w:p>
        </w:tc>
        <w:tc>
          <w:tcPr>
            <w:tcW w:w="4704" w:type="pct"/>
            <w:gridSpan w:val="17"/>
          </w:tcPr>
          <w:p w14:paraId="3445B899" w14:textId="50119987"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Substanța </w:t>
            </w:r>
            <w:proofErr w:type="spellStart"/>
            <w:r w:rsidRPr="00A61195">
              <w:rPr>
                <w:sz w:val="20"/>
                <w:szCs w:val="20"/>
              </w:rPr>
              <w:t>Clorfenvinfos</w:t>
            </w:r>
            <w:proofErr w:type="spellEnd"/>
            <w:r w:rsidRPr="00A61195">
              <w:rPr>
                <w:sz w:val="20"/>
                <w:szCs w:val="20"/>
              </w:rPr>
              <w:t xml:space="preserve"> a fost mutată în anexa II partea C.</w:t>
            </w:r>
          </w:p>
        </w:tc>
      </w:tr>
      <w:tr w:rsidR="00647D0C" w:rsidRPr="00A61195" w14:paraId="344E4460" w14:textId="77777777" w:rsidTr="00647D0C">
        <w:tc>
          <w:tcPr>
            <w:tcW w:w="296" w:type="pct"/>
          </w:tcPr>
          <w:p w14:paraId="0EF189C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9.</w:t>
            </w:r>
          </w:p>
        </w:tc>
        <w:tc>
          <w:tcPr>
            <w:tcW w:w="628" w:type="pct"/>
            <w:gridSpan w:val="3"/>
          </w:tcPr>
          <w:p w14:paraId="634042C8"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Clorpirifos</w:t>
            </w:r>
            <w:proofErr w:type="spellEnd"/>
            <w:r w:rsidRPr="00A61195">
              <w:rPr>
                <w:sz w:val="20"/>
                <w:szCs w:val="20"/>
              </w:rPr>
              <w:t xml:space="preserve"> (</w:t>
            </w:r>
            <w:proofErr w:type="spellStart"/>
            <w:r w:rsidRPr="00A61195">
              <w:rPr>
                <w:sz w:val="20"/>
                <w:szCs w:val="20"/>
              </w:rPr>
              <w:t>clorpirifos</w:t>
            </w:r>
            <w:proofErr w:type="spellEnd"/>
            <w:r w:rsidRPr="00A61195">
              <w:rPr>
                <w:sz w:val="20"/>
                <w:szCs w:val="20"/>
              </w:rPr>
              <w:t>-etil)</w:t>
            </w:r>
          </w:p>
        </w:tc>
        <w:tc>
          <w:tcPr>
            <w:tcW w:w="394" w:type="pct"/>
            <w:gridSpan w:val="2"/>
          </w:tcPr>
          <w:p w14:paraId="334ECD2C"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Pesticide – </w:t>
            </w:r>
            <w:proofErr w:type="spellStart"/>
            <w:r w:rsidRPr="00A61195">
              <w:rPr>
                <w:sz w:val="20"/>
                <w:szCs w:val="20"/>
              </w:rPr>
              <w:t>organofosfatice</w:t>
            </w:r>
            <w:proofErr w:type="spellEnd"/>
          </w:p>
        </w:tc>
        <w:tc>
          <w:tcPr>
            <w:tcW w:w="339" w:type="pct"/>
          </w:tcPr>
          <w:p w14:paraId="7121D4A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2921-88-2</w:t>
            </w:r>
          </w:p>
        </w:tc>
        <w:tc>
          <w:tcPr>
            <w:tcW w:w="390" w:type="pct"/>
            <w:gridSpan w:val="2"/>
          </w:tcPr>
          <w:p w14:paraId="39E7989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220-864-4</w:t>
            </w:r>
          </w:p>
        </w:tc>
        <w:tc>
          <w:tcPr>
            <w:tcW w:w="387" w:type="pct"/>
          </w:tcPr>
          <w:p w14:paraId="04D6440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4,6 × 10</w:t>
            </w:r>
            <w:r w:rsidRPr="00A61195">
              <w:rPr>
                <w:sz w:val="20"/>
                <w:szCs w:val="20"/>
                <w:vertAlign w:val="superscript"/>
              </w:rPr>
              <w:t>-4</w:t>
            </w:r>
          </w:p>
        </w:tc>
        <w:tc>
          <w:tcPr>
            <w:tcW w:w="389" w:type="pct"/>
          </w:tcPr>
          <w:p w14:paraId="2AFDAD7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4,6 × 10</w:t>
            </w:r>
            <w:r w:rsidRPr="00A61195">
              <w:rPr>
                <w:sz w:val="20"/>
                <w:szCs w:val="20"/>
                <w:vertAlign w:val="superscript"/>
              </w:rPr>
              <w:t>-5</w:t>
            </w:r>
          </w:p>
        </w:tc>
        <w:tc>
          <w:tcPr>
            <w:tcW w:w="392" w:type="pct"/>
          </w:tcPr>
          <w:p w14:paraId="60F3B88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0,0026</w:t>
            </w:r>
          </w:p>
        </w:tc>
        <w:tc>
          <w:tcPr>
            <w:tcW w:w="389" w:type="pct"/>
          </w:tcPr>
          <w:p w14:paraId="00FA9273"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5,2 × 10</w:t>
            </w:r>
            <w:r w:rsidRPr="00A61195">
              <w:rPr>
                <w:sz w:val="20"/>
                <w:szCs w:val="20"/>
                <w:vertAlign w:val="superscript"/>
              </w:rPr>
              <w:t>-4</w:t>
            </w:r>
          </w:p>
        </w:tc>
        <w:tc>
          <w:tcPr>
            <w:tcW w:w="349" w:type="pct"/>
          </w:tcPr>
          <w:p w14:paraId="27D0E7DF"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145C224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2D9C52C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296" w:type="pct"/>
          </w:tcPr>
          <w:p w14:paraId="61206EF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4AB8B937" w14:textId="77777777" w:rsidTr="00647D0C">
        <w:tc>
          <w:tcPr>
            <w:tcW w:w="296" w:type="pct"/>
          </w:tcPr>
          <w:p w14:paraId="39A1E70D" w14:textId="60DA4151"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br w:type="page"/>
              <w:t>9a.</w:t>
            </w:r>
          </w:p>
        </w:tc>
        <w:tc>
          <w:tcPr>
            <w:tcW w:w="628" w:type="pct"/>
            <w:gridSpan w:val="3"/>
          </w:tcPr>
          <w:p w14:paraId="13299ED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Pesticide </w:t>
            </w:r>
            <w:proofErr w:type="spellStart"/>
            <w:r w:rsidRPr="00A61195">
              <w:rPr>
                <w:sz w:val="20"/>
                <w:szCs w:val="20"/>
              </w:rPr>
              <w:t>ciclodiene</w:t>
            </w:r>
            <w:proofErr w:type="spellEnd"/>
            <w:r w:rsidRPr="00A61195">
              <w:rPr>
                <w:sz w:val="20"/>
                <w:szCs w:val="20"/>
              </w:rPr>
              <w:t>:</w:t>
            </w:r>
          </w:p>
          <w:p w14:paraId="3EBF4BA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Aldrin</w:t>
            </w:r>
          </w:p>
          <w:p w14:paraId="4BC67D04"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Dieldrin</w:t>
            </w:r>
            <w:proofErr w:type="spellEnd"/>
          </w:p>
          <w:p w14:paraId="18B6EE81"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Endrin</w:t>
            </w:r>
            <w:proofErr w:type="spellEnd"/>
          </w:p>
          <w:p w14:paraId="3CE87B7E" w14:textId="77777777" w:rsidR="00647D0C" w:rsidRPr="00A61195" w:rsidRDefault="00647D0C" w:rsidP="009D20AB">
            <w:pPr>
              <w:spacing w:before="60" w:after="60" w:line="240" w:lineRule="auto"/>
              <w:ind w:left="-57" w:right="-57"/>
              <w:rPr>
                <w:rFonts w:eastAsia="Calibri"/>
                <w:sz w:val="20"/>
                <w:szCs w:val="20"/>
                <w:vertAlign w:val="superscript"/>
              </w:rPr>
            </w:pPr>
            <w:proofErr w:type="spellStart"/>
            <w:r w:rsidRPr="00A61195">
              <w:rPr>
                <w:sz w:val="20"/>
                <w:szCs w:val="20"/>
              </w:rPr>
              <w:t>Izodrin</w:t>
            </w:r>
            <w:proofErr w:type="spellEnd"/>
          </w:p>
        </w:tc>
        <w:tc>
          <w:tcPr>
            <w:tcW w:w="394" w:type="pct"/>
            <w:gridSpan w:val="2"/>
          </w:tcPr>
          <w:p w14:paraId="3DD6663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Pesticide – </w:t>
            </w:r>
            <w:proofErr w:type="spellStart"/>
            <w:r w:rsidRPr="00A61195">
              <w:rPr>
                <w:sz w:val="20"/>
                <w:szCs w:val="20"/>
              </w:rPr>
              <w:t>organoclorurate</w:t>
            </w:r>
            <w:proofErr w:type="spellEnd"/>
          </w:p>
        </w:tc>
        <w:tc>
          <w:tcPr>
            <w:tcW w:w="339" w:type="pct"/>
          </w:tcPr>
          <w:p w14:paraId="651B425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309-00-2</w:t>
            </w:r>
          </w:p>
          <w:p w14:paraId="61CCC39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60-57-1</w:t>
            </w:r>
          </w:p>
          <w:p w14:paraId="07787CB5"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72-20-8</w:t>
            </w:r>
          </w:p>
          <w:p w14:paraId="3454E11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465-73-6</w:t>
            </w:r>
          </w:p>
        </w:tc>
        <w:tc>
          <w:tcPr>
            <w:tcW w:w="390" w:type="pct"/>
            <w:gridSpan w:val="2"/>
          </w:tcPr>
          <w:p w14:paraId="374C88E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206-215-8</w:t>
            </w:r>
          </w:p>
          <w:p w14:paraId="0E2BB87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200-484-5</w:t>
            </w:r>
          </w:p>
          <w:p w14:paraId="3E5084D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200-775-7</w:t>
            </w:r>
          </w:p>
          <w:p w14:paraId="3204531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207-366-2</w:t>
            </w:r>
          </w:p>
        </w:tc>
        <w:tc>
          <w:tcPr>
            <w:tcW w:w="387" w:type="pct"/>
          </w:tcPr>
          <w:p w14:paraId="6AF47B4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Σ = 0,01</w:t>
            </w:r>
          </w:p>
        </w:tc>
        <w:tc>
          <w:tcPr>
            <w:tcW w:w="389" w:type="pct"/>
          </w:tcPr>
          <w:p w14:paraId="402A88D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Σ = 0,005</w:t>
            </w:r>
          </w:p>
        </w:tc>
        <w:tc>
          <w:tcPr>
            <w:tcW w:w="392" w:type="pct"/>
          </w:tcPr>
          <w:p w14:paraId="3AD1957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89" w:type="pct"/>
          </w:tcPr>
          <w:p w14:paraId="1560213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49" w:type="pct"/>
          </w:tcPr>
          <w:p w14:paraId="23E72827"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75FC2C9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6647A78C"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65F38817"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7BBFC642" w14:textId="77777777" w:rsidTr="00647D0C">
        <w:tc>
          <w:tcPr>
            <w:tcW w:w="296" w:type="pct"/>
          </w:tcPr>
          <w:p w14:paraId="2BA64B2C" w14:textId="576BB958" w:rsidR="00647D0C" w:rsidRPr="00A61195" w:rsidRDefault="00647D0C" w:rsidP="009D20AB">
            <w:pPr>
              <w:spacing w:before="60" w:after="60" w:line="240" w:lineRule="auto"/>
              <w:ind w:left="-57" w:right="-57"/>
              <w:rPr>
                <w:rFonts w:eastAsia="Calibri"/>
                <w:sz w:val="20"/>
                <w:szCs w:val="20"/>
              </w:rPr>
            </w:pPr>
            <w:r w:rsidRPr="00A61195">
              <w:rPr>
                <w:sz w:val="20"/>
                <w:szCs w:val="20"/>
              </w:rPr>
              <w:t>9b.</w:t>
            </w:r>
          </w:p>
        </w:tc>
        <w:tc>
          <w:tcPr>
            <w:tcW w:w="628" w:type="pct"/>
            <w:gridSpan w:val="3"/>
          </w:tcPr>
          <w:p w14:paraId="259EA8CF" w14:textId="77777777" w:rsidR="00647D0C" w:rsidRPr="00A61195" w:rsidRDefault="00647D0C" w:rsidP="009D20AB">
            <w:pPr>
              <w:spacing w:before="60" w:after="60" w:line="240" w:lineRule="auto"/>
              <w:ind w:left="-57" w:right="-57"/>
              <w:rPr>
                <w:rFonts w:eastAsia="Calibri"/>
                <w:sz w:val="20"/>
                <w:szCs w:val="20"/>
                <w:vertAlign w:val="superscript"/>
              </w:rPr>
            </w:pPr>
            <w:r w:rsidRPr="00A61195">
              <w:rPr>
                <w:sz w:val="20"/>
                <w:szCs w:val="20"/>
              </w:rPr>
              <w:t>DDT total (</w:t>
            </w:r>
            <w:r w:rsidRPr="00D3772B">
              <w:rPr>
                <w:b/>
                <w:bCs/>
                <w:sz w:val="20"/>
                <w:szCs w:val="20"/>
                <w:vertAlign w:val="superscript"/>
              </w:rPr>
              <w:t>11</w:t>
            </w:r>
            <w:r w:rsidRPr="00A61195">
              <w:rPr>
                <w:sz w:val="20"/>
                <w:szCs w:val="20"/>
              </w:rPr>
              <w:t>)</w:t>
            </w:r>
          </w:p>
        </w:tc>
        <w:tc>
          <w:tcPr>
            <w:tcW w:w="394" w:type="pct"/>
            <w:gridSpan w:val="2"/>
          </w:tcPr>
          <w:p w14:paraId="52BECE2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Pesticide – </w:t>
            </w:r>
            <w:proofErr w:type="spellStart"/>
            <w:r w:rsidRPr="00A61195">
              <w:rPr>
                <w:sz w:val="20"/>
                <w:szCs w:val="20"/>
              </w:rPr>
              <w:t>organoclorurate</w:t>
            </w:r>
            <w:proofErr w:type="spellEnd"/>
          </w:p>
        </w:tc>
        <w:tc>
          <w:tcPr>
            <w:tcW w:w="339" w:type="pct"/>
          </w:tcPr>
          <w:p w14:paraId="7CF7E73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90" w:type="pct"/>
            <w:gridSpan w:val="2"/>
          </w:tcPr>
          <w:p w14:paraId="4D6F020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87" w:type="pct"/>
          </w:tcPr>
          <w:p w14:paraId="36AD8B8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0,025</w:t>
            </w:r>
          </w:p>
        </w:tc>
        <w:tc>
          <w:tcPr>
            <w:tcW w:w="389" w:type="pct"/>
          </w:tcPr>
          <w:p w14:paraId="3ACF853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0,025</w:t>
            </w:r>
          </w:p>
        </w:tc>
        <w:tc>
          <w:tcPr>
            <w:tcW w:w="392" w:type="pct"/>
          </w:tcPr>
          <w:p w14:paraId="4636D63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89" w:type="pct"/>
          </w:tcPr>
          <w:p w14:paraId="40C4D525"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49" w:type="pct"/>
          </w:tcPr>
          <w:p w14:paraId="5A31CC20"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4370BFB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5778A6E0"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4AA6CAD2"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68DDCC09" w14:textId="77777777" w:rsidTr="00647D0C">
        <w:tc>
          <w:tcPr>
            <w:tcW w:w="296" w:type="pct"/>
          </w:tcPr>
          <w:p w14:paraId="0725C85E" w14:textId="77777777" w:rsidR="00647D0C" w:rsidRPr="00A61195" w:rsidRDefault="00647D0C" w:rsidP="009D20AB">
            <w:pPr>
              <w:spacing w:before="60" w:after="60" w:line="240" w:lineRule="auto"/>
              <w:ind w:left="-57" w:right="-57"/>
              <w:rPr>
                <w:rFonts w:eastAsia="Calibri"/>
                <w:sz w:val="20"/>
                <w:szCs w:val="20"/>
              </w:rPr>
            </w:pPr>
          </w:p>
        </w:tc>
        <w:tc>
          <w:tcPr>
            <w:tcW w:w="628" w:type="pct"/>
            <w:gridSpan w:val="3"/>
          </w:tcPr>
          <w:p w14:paraId="4F847153"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para-para-DDT</w:t>
            </w:r>
          </w:p>
        </w:tc>
        <w:tc>
          <w:tcPr>
            <w:tcW w:w="394" w:type="pct"/>
            <w:gridSpan w:val="2"/>
          </w:tcPr>
          <w:p w14:paraId="26FC5951" w14:textId="77777777" w:rsidR="00647D0C" w:rsidRPr="00A61195" w:rsidRDefault="00647D0C" w:rsidP="009D20AB">
            <w:pPr>
              <w:spacing w:before="60" w:after="60" w:line="240" w:lineRule="auto"/>
              <w:ind w:left="-57" w:right="-57"/>
              <w:rPr>
                <w:rFonts w:eastAsia="Calibri"/>
                <w:sz w:val="20"/>
                <w:szCs w:val="20"/>
              </w:rPr>
            </w:pPr>
          </w:p>
        </w:tc>
        <w:tc>
          <w:tcPr>
            <w:tcW w:w="339" w:type="pct"/>
          </w:tcPr>
          <w:p w14:paraId="39FB3BF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50-29-3</w:t>
            </w:r>
          </w:p>
        </w:tc>
        <w:tc>
          <w:tcPr>
            <w:tcW w:w="390" w:type="pct"/>
            <w:gridSpan w:val="2"/>
          </w:tcPr>
          <w:p w14:paraId="763732E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200-024-3</w:t>
            </w:r>
          </w:p>
        </w:tc>
        <w:tc>
          <w:tcPr>
            <w:tcW w:w="387" w:type="pct"/>
          </w:tcPr>
          <w:p w14:paraId="3EA914D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0,01</w:t>
            </w:r>
          </w:p>
        </w:tc>
        <w:tc>
          <w:tcPr>
            <w:tcW w:w="389" w:type="pct"/>
          </w:tcPr>
          <w:p w14:paraId="77919A93"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0,01</w:t>
            </w:r>
          </w:p>
        </w:tc>
        <w:tc>
          <w:tcPr>
            <w:tcW w:w="392" w:type="pct"/>
          </w:tcPr>
          <w:p w14:paraId="27E4002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89" w:type="pct"/>
          </w:tcPr>
          <w:p w14:paraId="70E595E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49" w:type="pct"/>
          </w:tcPr>
          <w:p w14:paraId="32B3B2CE"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32DF4933" w14:textId="77777777" w:rsidR="00647D0C" w:rsidRPr="00A61195" w:rsidDel="004E5B33"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3B08047E"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3DA11CE1"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5CF69AE1" w14:textId="77777777" w:rsidTr="00647D0C">
        <w:tc>
          <w:tcPr>
            <w:tcW w:w="296" w:type="pct"/>
          </w:tcPr>
          <w:p w14:paraId="1FE96F7B" w14:textId="0636D94F"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10.</w:t>
            </w:r>
          </w:p>
        </w:tc>
        <w:tc>
          <w:tcPr>
            <w:tcW w:w="628" w:type="pct"/>
            <w:gridSpan w:val="3"/>
          </w:tcPr>
          <w:p w14:paraId="59667EF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1,2-dicloretan</w:t>
            </w:r>
          </w:p>
        </w:tc>
        <w:tc>
          <w:tcPr>
            <w:tcW w:w="394" w:type="pct"/>
            <w:gridSpan w:val="2"/>
          </w:tcPr>
          <w:p w14:paraId="4C2206A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Substanțe industriale</w:t>
            </w:r>
          </w:p>
        </w:tc>
        <w:tc>
          <w:tcPr>
            <w:tcW w:w="339" w:type="pct"/>
          </w:tcPr>
          <w:p w14:paraId="5064FEB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107-06-2</w:t>
            </w:r>
          </w:p>
        </w:tc>
        <w:tc>
          <w:tcPr>
            <w:tcW w:w="390" w:type="pct"/>
            <w:gridSpan w:val="2"/>
          </w:tcPr>
          <w:p w14:paraId="4D8D97F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203-458-1</w:t>
            </w:r>
          </w:p>
        </w:tc>
        <w:tc>
          <w:tcPr>
            <w:tcW w:w="387" w:type="pct"/>
          </w:tcPr>
          <w:p w14:paraId="4C0BA98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10</w:t>
            </w:r>
          </w:p>
        </w:tc>
        <w:tc>
          <w:tcPr>
            <w:tcW w:w="389" w:type="pct"/>
          </w:tcPr>
          <w:p w14:paraId="7672C4B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10</w:t>
            </w:r>
          </w:p>
        </w:tc>
        <w:tc>
          <w:tcPr>
            <w:tcW w:w="392" w:type="pct"/>
          </w:tcPr>
          <w:p w14:paraId="2BF11D7C"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89" w:type="pct"/>
          </w:tcPr>
          <w:p w14:paraId="5C04EDB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49" w:type="pct"/>
          </w:tcPr>
          <w:p w14:paraId="441FA2BA"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0CB283F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377DCF75"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708C99D6"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5BBE43D4" w14:textId="77777777" w:rsidTr="00647D0C">
        <w:tc>
          <w:tcPr>
            <w:tcW w:w="296" w:type="pct"/>
          </w:tcPr>
          <w:p w14:paraId="7BA0988E"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11.</w:t>
            </w:r>
          </w:p>
        </w:tc>
        <w:tc>
          <w:tcPr>
            <w:tcW w:w="628" w:type="pct"/>
            <w:gridSpan w:val="3"/>
          </w:tcPr>
          <w:p w14:paraId="5B09723A" w14:textId="77777777" w:rsidR="00647D0C" w:rsidRPr="00A61195" w:rsidRDefault="00647D0C" w:rsidP="009D20AB">
            <w:pPr>
              <w:keepNext/>
              <w:spacing w:before="60" w:after="60" w:line="240" w:lineRule="auto"/>
              <w:ind w:left="-57" w:right="-57"/>
              <w:rPr>
                <w:rFonts w:eastAsia="Calibri"/>
                <w:sz w:val="20"/>
                <w:szCs w:val="20"/>
              </w:rPr>
            </w:pPr>
            <w:proofErr w:type="spellStart"/>
            <w:r w:rsidRPr="00A61195">
              <w:rPr>
                <w:sz w:val="20"/>
                <w:szCs w:val="20"/>
              </w:rPr>
              <w:t>Diclormetan</w:t>
            </w:r>
            <w:proofErr w:type="spellEnd"/>
          </w:p>
        </w:tc>
        <w:tc>
          <w:tcPr>
            <w:tcW w:w="394" w:type="pct"/>
            <w:gridSpan w:val="2"/>
          </w:tcPr>
          <w:p w14:paraId="146FF19E"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Substanțe industriale</w:t>
            </w:r>
          </w:p>
        </w:tc>
        <w:tc>
          <w:tcPr>
            <w:tcW w:w="339" w:type="pct"/>
          </w:tcPr>
          <w:p w14:paraId="2594E602"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75-09-2</w:t>
            </w:r>
          </w:p>
        </w:tc>
        <w:tc>
          <w:tcPr>
            <w:tcW w:w="390" w:type="pct"/>
            <w:gridSpan w:val="2"/>
          </w:tcPr>
          <w:p w14:paraId="5C48A9A0"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200-838-9</w:t>
            </w:r>
          </w:p>
        </w:tc>
        <w:tc>
          <w:tcPr>
            <w:tcW w:w="387" w:type="pct"/>
          </w:tcPr>
          <w:p w14:paraId="6AA0433A"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20</w:t>
            </w:r>
          </w:p>
        </w:tc>
        <w:tc>
          <w:tcPr>
            <w:tcW w:w="389" w:type="pct"/>
          </w:tcPr>
          <w:p w14:paraId="213FFBB0"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20</w:t>
            </w:r>
          </w:p>
        </w:tc>
        <w:tc>
          <w:tcPr>
            <w:tcW w:w="392" w:type="pct"/>
          </w:tcPr>
          <w:p w14:paraId="2EA74CD4"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Nu se aplică</w:t>
            </w:r>
          </w:p>
        </w:tc>
        <w:tc>
          <w:tcPr>
            <w:tcW w:w="389" w:type="pct"/>
          </w:tcPr>
          <w:p w14:paraId="633B3C34"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Nu se aplică</w:t>
            </w:r>
          </w:p>
        </w:tc>
        <w:tc>
          <w:tcPr>
            <w:tcW w:w="349" w:type="pct"/>
          </w:tcPr>
          <w:p w14:paraId="728172E6" w14:textId="77777777" w:rsidR="00647D0C" w:rsidRPr="00A61195" w:rsidRDefault="00647D0C" w:rsidP="009D20AB">
            <w:pPr>
              <w:keepNext/>
              <w:spacing w:before="60" w:after="60" w:line="240" w:lineRule="auto"/>
              <w:ind w:left="-57" w:right="-57"/>
              <w:rPr>
                <w:rFonts w:eastAsia="Calibri"/>
                <w:sz w:val="20"/>
                <w:szCs w:val="20"/>
              </w:rPr>
            </w:pPr>
          </w:p>
        </w:tc>
        <w:tc>
          <w:tcPr>
            <w:tcW w:w="393" w:type="pct"/>
          </w:tcPr>
          <w:p w14:paraId="6B21E3DA" w14:textId="77777777" w:rsidR="00647D0C" w:rsidRPr="00A61195" w:rsidRDefault="00647D0C" w:rsidP="009D20AB">
            <w:pPr>
              <w:keepNext/>
              <w:spacing w:before="60" w:after="60" w:line="240" w:lineRule="auto"/>
              <w:ind w:left="-57" w:right="-57"/>
              <w:rPr>
                <w:rFonts w:eastAsia="Calibri"/>
                <w:sz w:val="20"/>
                <w:szCs w:val="20"/>
              </w:rPr>
            </w:pPr>
          </w:p>
        </w:tc>
        <w:tc>
          <w:tcPr>
            <w:tcW w:w="360" w:type="pct"/>
            <w:gridSpan w:val="2"/>
          </w:tcPr>
          <w:p w14:paraId="0E2F1D9B" w14:textId="77777777" w:rsidR="00647D0C" w:rsidRPr="00A61195" w:rsidRDefault="00647D0C" w:rsidP="009D20AB">
            <w:pPr>
              <w:keepNext/>
              <w:spacing w:before="60" w:after="60" w:line="240" w:lineRule="auto"/>
              <w:ind w:left="-57" w:right="-57"/>
              <w:rPr>
                <w:rFonts w:eastAsia="Calibri"/>
                <w:sz w:val="20"/>
                <w:szCs w:val="20"/>
              </w:rPr>
            </w:pPr>
          </w:p>
        </w:tc>
        <w:tc>
          <w:tcPr>
            <w:tcW w:w="296" w:type="pct"/>
          </w:tcPr>
          <w:p w14:paraId="408F7D14" w14:textId="77777777" w:rsidR="00647D0C" w:rsidRPr="00A61195" w:rsidRDefault="00647D0C" w:rsidP="009D20AB">
            <w:pPr>
              <w:keepNext/>
              <w:spacing w:before="60" w:after="60" w:line="240" w:lineRule="auto"/>
              <w:ind w:left="-57" w:right="-57"/>
              <w:rPr>
                <w:rFonts w:eastAsia="Calibri"/>
                <w:sz w:val="20"/>
                <w:szCs w:val="20"/>
              </w:rPr>
            </w:pPr>
          </w:p>
        </w:tc>
      </w:tr>
      <w:tr w:rsidR="00647D0C" w:rsidRPr="00A61195" w14:paraId="38C962EE" w14:textId="77777777" w:rsidTr="00647D0C">
        <w:tc>
          <w:tcPr>
            <w:tcW w:w="296" w:type="pct"/>
          </w:tcPr>
          <w:p w14:paraId="2D3CF48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12.</w:t>
            </w:r>
          </w:p>
        </w:tc>
        <w:tc>
          <w:tcPr>
            <w:tcW w:w="628" w:type="pct"/>
            <w:gridSpan w:val="3"/>
          </w:tcPr>
          <w:p w14:paraId="167CE69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Di(2-etilhexil)ftalat (DEHP)</w:t>
            </w:r>
          </w:p>
        </w:tc>
        <w:tc>
          <w:tcPr>
            <w:tcW w:w="394" w:type="pct"/>
            <w:gridSpan w:val="2"/>
          </w:tcPr>
          <w:p w14:paraId="50A5D2C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Substanțe industriale</w:t>
            </w:r>
          </w:p>
        </w:tc>
        <w:tc>
          <w:tcPr>
            <w:tcW w:w="339" w:type="pct"/>
          </w:tcPr>
          <w:p w14:paraId="04947D3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117-81-7</w:t>
            </w:r>
          </w:p>
        </w:tc>
        <w:tc>
          <w:tcPr>
            <w:tcW w:w="390" w:type="pct"/>
            <w:gridSpan w:val="2"/>
          </w:tcPr>
          <w:p w14:paraId="4F94FED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204-211-0</w:t>
            </w:r>
          </w:p>
        </w:tc>
        <w:tc>
          <w:tcPr>
            <w:tcW w:w="387" w:type="pct"/>
          </w:tcPr>
          <w:p w14:paraId="2201B07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1,3</w:t>
            </w:r>
          </w:p>
        </w:tc>
        <w:tc>
          <w:tcPr>
            <w:tcW w:w="389" w:type="pct"/>
          </w:tcPr>
          <w:p w14:paraId="35DA77D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1,3</w:t>
            </w:r>
          </w:p>
        </w:tc>
        <w:tc>
          <w:tcPr>
            <w:tcW w:w="392" w:type="pct"/>
          </w:tcPr>
          <w:p w14:paraId="1934C4C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89" w:type="pct"/>
          </w:tcPr>
          <w:p w14:paraId="186D02CC"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49" w:type="pct"/>
          </w:tcPr>
          <w:p w14:paraId="2911080E"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0D6EC08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6CDDB54A"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1080D07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0A11FCD2" w14:textId="77777777" w:rsidTr="00647D0C">
        <w:tc>
          <w:tcPr>
            <w:tcW w:w="296" w:type="pct"/>
          </w:tcPr>
          <w:p w14:paraId="20E5232C" w14:textId="60515567" w:rsidR="00647D0C" w:rsidRPr="00A61195" w:rsidRDefault="00647D0C" w:rsidP="009D20AB">
            <w:pPr>
              <w:spacing w:before="60" w:after="60" w:line="240" w:lineRule="auto"/>
              <w:ind w:left="-57" w:right="-57"/>
              <w:rPr>
                <w:rFonts w:eastAsia="Calibri"/>
                <w:sz w:val="20"/>
                <w:szCs w:val="20"/>
              </w:rPr>
            </w:pPr>
            <w:r w:rsidRPr="00A61195">
              <w:rPr>
                <w:sz w:val="20"/>
                <w:szCs w:val="20"/>
              </w:rPr>
              <w:t>13.</w:t>
            </w:r>
          </w:p>
        </w:tc>
        <w:tc>
          <w:tcPr>
            <w:tcW w:w="628" w:type="pct"/>
            <w:gridSpan w:val="3"/>
          </w:tcPr>
          <w:p w14:paraId="1183193E"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Diuron</w:t>
            </w:r>
            <w:proofErr w:type="spellEnd"/>
          </w:p>
        </w:tc>
        <w:tc>
          <w:tcPr>
            <w:tcW w:w="394" w:type="pct"/>
            <w:gridSpan w:val="2"/>
          </w:tcPr>
          <w:p w14:paraId="6D6C133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Pesticide – erbicide</w:t>
            </w:r>
          </w:p>
        </w:tc>
        <w:tc>
          <w:tcPr>
            <w:tcW w:w="339" w:type="pct"/>
          </w:tcPr>
          <w:p w14:paraId="662A584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330-54-1</w:t>
            </w:r>
          </w:p>
        </w:tc>
        <w:tc>
          <w:tcPr>
            <w:tcW w:w="390" w:type="pct"/>
            <w:gridSpan w:val="2"/>
          </w:tcPr>
          <w:p w14:paraId="0189B5A0" w14:textId="77777777" w:rsidR="00647D0C" w:rsidRPr="00A61195" w:rsidRDefault="00647D0C" w:rsidP="009D20AB">
            <w:pPr>
              <w:spacing w:before="60" w:after="60" w:line="240" w:lineRule="auto"/>
              <w:ind w:left="-57" w:right="-57"/>
              <w:rPr>
                <w:rFonts w:eastAsia="Calibri"/>
                <w:strike/>
                <w:sz w:val="20"/>
                <w:szCs w:val="20"/>
              </w:rPr>
            </w:pPr>
            <w:r w:rsidRPr="00A61195">
              <w:rPr>
                <w:sz w:val="20"/>
                <w:szCs w:val="20"/>
              </w:rPr>
              <w:t>206-354-4</w:t>
            </w:r>
          </w:p>
        </w:tc>
        <w:tc>
          <w:tcPr>
            <w:tcW w:w="387" w:type="pct"/>
          </w:tcPr>
          <w:p w14:paraId="1B096B15" w14:textId="77777777" w:rsidR="00647D0C" w:rsidRPr="00A61195" w:rsidRDefault="00647D0C" w:rsidP="009D20AB">
            <w:pPr>
              <w:spacing w:before="60" w:after="60" w:line="240" w:lineRule="auto"/>
              <w:ind w:left="-57" w:right="-57"/>
              <w:rPr>
                <w:rFonts w:eastAsia="Calibri"/>
                <w:strike/>
                <w:sz w:val="20"/>
                <w:szCs w:val="20"/>
              </w:rPr>
            </w:pPr>
            <w:r w:rsidRPr="00A61195">
              <w:rPr>
                <w:sz w:val="20"/>
                <w:szCs w:val="20"/>
              </w:rPr>
              <w:t>0,049</w:t>
            </w:r>
          </w:p>
        </w:tc>
        <w:tc>
          <w:tcPr>
            <w:tcW w:w="389" w:type="pct"/>
          </w:tcPr>
          <w:p w14:paraId="535DC1B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0,0049</w:t>
            </w:r>
          </w:p>
        </w:tc>
        <w:tc>
          <w:tcPr>
            <w:tcW w:w="392" w:type="pct"/>
          </w:tcPr>
          <w:p w14:paraId="4EDCB06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0,27</w:t>
            </w:r>
          </w:p>
        </w:tc>
        <w:tc>
          <w:tcPr>
            <w:tcW w:w="389" w:type="pct"/>
          </w:tcPr>
          <w:p w14:paraId="0369373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0,054</w:t>
            </w:r>
          </w:p>
        </w:tc>
        <w:tc>
          <w:tcPr>
            <w:tcW w:w="349" w:type="pct"/>
          </w:tcPr>
          <w:p w14:paraId="7677145C"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51550B27" w14:textId="77777777" w:rsidR="00647D0C" w:rsidRPr="00A61195" w:rsidRDefault="00647D0C" w:rsidP="009D20AB">
            <w:pPr>
              <w:spacing w:before="60" w:after="60" w:line="240" w:lineRule="auto"/>
              <w:ind w:left="-57" w:right="-57"/>
              <w:rPr>
                <w:rFonts w:eastAsia="Calibri"/>
                <w:sz w:val="20"/>
                <w:szCs w:val="20"/>
              </w:rPr>
            </w:pPr>
          </w:p>
        </w:tc>
        <w:tc>
          <w:tcPr>
            <w:tcW w:w="360" w:type="pct"/>
            <w:gridSpan w:val="2"/>
          </w:tcPr>
          <w:p w14:paraId="4699A937"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0FFD78DA"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4D669819" w14:textId="77777777" w:rsidTr="00647D0C">
        <w:tc>
          <w:tcPr>
            <w:tcW w:w="296" w:type="pct"/>
          </w:tcPr>
          <w:p w14:paraId="6F1CAB8D" w14:textId="400C0960"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14.</w:t>
            </w:r>
          </w:p>
        </w:tc>
        <w:tc>
          <w:tcPr>
            <w:tcW w:w="628" w:type="pct"/>
            <w:gridSpan w:val="3"/>
          </w:tcPr>
          <w:p w14:paraId="39EE20F5"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Endosulfan</w:t>
            </w:r>
            <w:proofErr w:type="spellEnd"/>
          </w:p>
        </w:tc>
        <w:tc>
          <w:tcPr>
            <w:tcW w:w="394" w:type="pct"/>
            <w:gridSpan w:val="2"/>
          </w:tcPr>
          <w:p w14:paraId="7F731DA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Pesticide – </w:t>
            </w:r>
            <w:proofErr w:type="spellStart"/>
            <w:r w:rsidRPr="00A61195">
              <w:rPr>
                <w:sz w:val="20"/>
                <w:szCs w:val="20"/>
              </w:rPr>
              <w:t>organoclorurate</w:t>
            </w:r>
            <w:proofErr w:type="spellEnd"/>
          </w:p>
        </w:tc>
        <w:tc>
          <w:tcPr>
            <w:tcW w:w="339" w:type="pct"/>
          </w:tcPr>
          <w:p w14:paraId="7E45C13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115-29-7</w:t>
            </w:r>
          </w:p>
        </w:tc>
        <w:tc>
          <w:tcPr>
            <w:tcW w:w="390" w:type="pct"/>
            <w:gridSpan w:val="2"/>
          </w:tcPr>
          <w:p w14:paraId="55137A9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204-079-4</w:t>
            </w:r>
          </w:p>
        </w:tc>
        <w:tc>
          <w:tcPr>
            <w:tcW w:w="387" w:type="pct"/>
          </w:tcPr>
          <w:p w14:paraId="67537BB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0,005</w:t>
            </w:r>
          </w:p>
        </w:tc>
        <w:tc>
          <w:tcPr>
            <w:tcW w:w="389" w:type="pct"/>
          </w:tcPr>
          <w:p w14:paraId="08BE6C3C"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0,0005</w:t>
            </w:r>
          </w:p>
        </w:tc>
        <w:tc>
          <w:tcPr>
            <w:tcW w:w="392" w:type="pct"/>
          </w:tcPr>
          <w:p w14:paraId="0C4AEF3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0,01</w:t>
            </w:r>
          </w:p>
        </w:tc>
        <w:tc>
          <w:tcPr>
            <w:tcW w:w="389" w:type="pct"/>
          </w:tcPr>
          <w:p w14:paraId="31C824B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0,004</w:t>
            </w:r>
          </w:p>
        </w:tc>
        <w:tc>
          <w:tcPr>
            <w:tcW w:w="349" w:type="pct"/>
          </w:tcPr>
          <w:p w14:paraId="663647FD"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4B74B33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570D0E70"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2AEFD261"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5F41D538" w14:textId="77777777" w:rsidTr="00647D0C">
        <w:tc>
          <w:tcPr>
            <w:tcW w:w="296" w:type="pct"/>
          </w:tcPr>
          <w:p w14:paraId="73E5CE25" w14:textId="645D4082" w:rsidR="00647D0C" w:rsidRPr="00A61195" w:rsidRDefault="00647D0C" w:rsidP="009D20AB">
            <w:pPr>
              <w:spacing w:before="60" w:after="60" w:line="240" w:lineRule="auto"/>
              <w:ind w:left="-57" w:right="-57"/>
              <w:rPr>
                <w:rFonts w:eastAsia="Calibri"/>
                <w:sz w:val="20"/>
                <w:szCs w:val="20"/>
              </w:rPr>
            </w:pPr>
            <w:r w:rsidRPr="00A61195">
              <w:rPr>
                <w:sz w:val="20"/>
                <w:szCs w:val="20"/>
              </w:rPr>
              <w:t>15.</w:t>
            </w:r>
          </w:p>
        </w:tc>
        <w:tc>
          <w:tcPr>
            <w:tcW w:w="628" w:type="pct"/>
            <w:gridSpan w:val="3"/>
          </w:tcPr>
          <w:p w14:paraId="52226431"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Fluoranten</w:t>
            </w:r>
            <w:proofErr w:type="spellEnd"/>
          </w:p>
        </w:tc>
        <w:tc>
          <w:tcPr>
            <w:tcW w:w="394" w:type="pct"/>
            <w:gridSpan w:val="2"/>
          </w:tcPr>
          <w:p w14:paraId="0C6A844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Substanțe industriale</w:t>
            </w:r>
          </w:p>
        </w:tc>
        <w:tc>
          <w:tcPr>
            <w:tcW w:w="339" w:type="pct"/>
          </w:tcPr>
          <w:p w14:paraId="6D61F893"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206-44-0</w:t>
            </w:r>
          </w:p>
        </w:tc>
        <w:tc>
          <w:tcPr>
            <w:tcW w:w="390" w:type="pct"/>
            <w:gridSpan w:val="2"/>
          </w:tcPr>
          <w:p w14:paraId="628A1C9B" w14:textId="77777777" w:rsidR="00647D0C" w:rsidRPr="00A61195" w:rsidRDefault="00647D0C" w:rsidP="009D20AB">
            <w:pPr>
              <w:spacing w:before="60" w:after="60" w:line="240" w:lineRule="auto"/>
              <w:ind w:left="-57" w:right="-57"/>
              <w:rPr>
                <w:rFonts w:eastAsia="Calibri"/>
                <w:strike/>
                <w:sz w:val="20"/>
                <w:szCs w:val="20"/>
              </w:rPr>
            </w:pPr>
            <w:r w:rsidRPr="00A61195">
              <w:rPr>
                <w:sz w:val="20"/>
                <w:szCs w:val="20"/>
              </w:rPr>
              <w:t>205-912-4</w:t>
            </w:r>
          </w:p>
        </w:tc>
        <w:tc>
          <w:tcPr>
            <w:tcW w:w="387" w:type="pct"/>
          </w:tcPr>
          <w:p w14:paraId="6778543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7,62 × 10</w:t>
            </w:r>
            <w:r w:rsidRPr="00A61195">
              <w:rPr>
                <w:sz w:val="20"/>
                <w:szCs w:val="20"/>
                <w:vertAlign w:val="superscript"/>
              </w:rPr>
              <w:t>-4</w:t>
            </w:r>
          </w:p>
        </w:tc>
        <w:tc>
          <w:tcPr>
            <w:tcW w:w="389" w:type="pct"/>
          </w:tcPr>
          <w:p w14:paraId="0E4420D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7,62 × 10</w:t>
            </w:r>
            <w:r w:rsidRPr="00A61195">
              <w:rPr>
                <w:sz w:val="20"/>
                <w:szCs w:val="20"/>
                <w:vertAlign w:val="superscript"/>
              </w:rPr>
              <w:t>-4</w:t>
            </w:r>
          </w:p>
        </w:tc>
        <w:tc>
          <w:tcPr>
            <w:tcW w:w="392" w:type="pct"/>
          </w:tcPr>
          <w:p w14:paraId="66ABD36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0,12</w:t>
            </w:r>
          </w:p>
        </w:tc>
        <w:tc>
          <w:tcPr>
            <w:tcW w:w="389" w:type="pct"/>
          </w:tcPr>
          <w:p w14:paraId="68DA22A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0,012</w:t>
            </w:r>
          </w:p>
        </w:tc>
        <w:tc>
          <w:tcPr>
            <w:tcW w:w="349" w:type="pct"/>
          </w:tcPr>
          <w:p w14:paraId="13716E9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6,1</w:t>
            </w:r>
          </w:p>
        </w:tc>
        <w:tc>
          <w:tcPr>
            <w:tcW w:w="393" w:type="pct"/>
          </w:tcPr>
          <w:p w14:paraId="01AD4B1D" w14:textId="77777777" w:rsidR="00647D0C" w:rsidRPr="00A61195" w:rsidRDefault="00647D0C" w:rsidP="009D20AB">
            <w:pPr>
              <w:spacing w:before="60" w:after="60" w:line="240" w:lineRule="auto"/>
              <w:ind w:left="-57" w:right="-57"/>
              <w:rPr>
                <w:rFonts w:eastAsia="Calibri"/>
                <w:strike/>
                <w:sz w:val="20"/>
                <w:szCs w:val="20"/>
              </w:rPr>
            </w:pPr>
            <w:r w:rsidRPr="00A61195">
              <w:rPr>
                <w:sz w:val="20"/>
                <w:szCs w:val="20"/>
              </w:rPr>
              <w:t>X</w:t>
            </w:r>
          </w:p>
        </w:tc>
        <w:tc>
          <w:tcPr>
            <w:tcW w:w="360" w:type="pct"/>
            <w:gridSpan w:val="2"/>
          </w:tcPr>
          <w:p w14:paraId="7027555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296" w:type="pct"/>
          </w:tcPr>
          <w:p w14:paraId="300231E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1E0894CB" w14:textId="77777777" w:rsidTr="00647D0C">
        <w:tc>
          <w:tcPr>
            <w:tcW w:w="296" w:type="pct"/>
          </w:tcPr>
          <w:p w14:paraId="7B9D9ECE" w14:textId="2CD445F2" w:rsidR="00647D0C" w:rsidRPr="00A61195" w:rsidRDefault="00647D0C" w:rsidP="009D20AB">
            <w:pPr>
              <w:spacing w:before="60" w:after="60" w:line="240" w:lineRule="auto"/>
              <w:ind w:left="-57" w:right="-57"/>
              <w:rPr>
                <w:rFonts w:eastAsia="Calibri"/>
                <w:sz w:val="20"/>
                <w:szCs w:val="20"/>
              </w:rPr>
            </w:pPr>
            <w:r w:rsidRPr="00A61195">
              <w:rPr>
                <w:sz w:val="20"/>
                <w:szCs w:val="20"/>
              </w:rPr>
              <w:t>16.</w:t>
            </w:r>
          </w:p>
        </w:tc>
        <w:tc>
          <w:tcPr>
            <w:tcW w:w="628" w:type="pct"/>
            <w:gridSpan w:val="3"/>
          </w:tcPr>
          <w:p w14:paraId="68E2406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Hexaclorbenzen</w:t>
            </w:r>
          </w:p>
        </w:tc>
        <w:tc>
          <w:tcPr>
            <w:tcW w:w="394" w:type="pct"/>
            <w:gridSpan w:val="2"/>
          </w:tcPr>
          <w:p w14:paraId="4ACD2A6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Pesticide – </w:t>
            </w:r>
            <w:proofErr w:type="spellStart"/>
            <w:r w:rsidRPr="00A61195">
              <w:rPr>
                <w:sz w:val="20"/>
                <w:szCs w:val="20"/>
              </w:rPr>
              <w:t>organoclorurate</w:t>
            </w:r>
            <w:proofErr w:type="spellEnd"/>
          </w:p>
        </w:tc>
        <w:tc>
          <w:tcPr>
            <w:tcW w:w="339" w:type="pct"/>
          </w:tcPr>
          <w:p w14:paraId="3BE05E6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118-74-1</w:t>
            </w:r>
          </w:p>
        </w:tc>
        <w:tc>
          <w:tcPr>
            <w:tcW w:w="390" w:type="pct"/>
            <w:gridSpan w:val="2"/>
          </w:tcPr>
          <w:p w14:paraId="2991621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204-273-9</w:t>
            </w:r>
          </w:p>
        </w:tc>
        <w:tc>
          <w:tcPr>
            <w:tcW w:w="387" w:type="pct"/>
          </w:tcPr>
          <w:p w14:paraId="496DD930" w14:textId="77777777" w:rsidR="00647D0C" w:rsidRPr="00A61195" w:rsidRDefault="00647D0C" w:rsidP="009D20AB">
            <w:pPr>
              <w:spacing w:before="60" w:after="60" w:line="240" w:lineRule="auto"/>
              <w:ind w:left="-57" w:right="-57"/>
              <w:rPr>
                <w:rFonts w:eastAsia="Calibri"/>
                <w:sz w:val="20"/>
                <w:szCs w:val="20"/>
              </w:rPr>
            </w:pPr>
          </w:p>
        </w:tc>
        <w:tc>
          <w:tcPr>
            <w:tcW w:w="389" w:type="pct"/>
          </w:tcPr>
          <w:p w14:paraId="1631DA6F" w14:textId="77777777" w:rsidR="00647D0C" w:rsidRPr="00A61195" w:rsidRDefault="00647D0C" w:rsidP="009D20AB">
            <w:pPr>
              <w:spacing w:before="60" w:after="60" w:line="240" w:lineRule="auto"/>
              <w:ind w:left="-57" w:right="-57"/>
              <w:rPr>
                <w:rFonts w:eastAsia="Calibri"/>
                <w:sz w:val="20"/>
                <w:szCs w:val="20"/>
              </w:rPr>
            </w:pPr>
          </w:p>
        </w:tc>
        <w:tc>
          <w:tcPr>
            <w:tcW w:w="392" w:type="pct"/>
          </w:tcPr>
          <w:p w14:paraId="11959F8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0,5</w:t>
            </w:r>
          </w:p>
        </w:tc>
        <w:tc>
          <w:tcPr>
            <w:tcW w:w="389" w:type="pct"/>
          </w:tcPr>
          <w:p w14:paraId="3416CC2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0,05</w:t>
            </w:r>
          </w:p>
        </w:tc>
        <w:tc>
          <w:tcPr>
            <w:tcW w:w="349" w:type="pct"/>
          </w:tcPr>
          <w:p w14:paraId="69A2A52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8 – pește AD</w:t>
            </w:r>
          </w:p>
          <w:p w14:paraId="1FA75AE2" w14:textId="77777777" w:rsidR="00647D0C" w:rsidRPr="00A61195" w:rsidRDefault="00647D0C" w:rsidP="009D20AB">
            <w:pPr>
              <w:spacing w:before="60" w:after="60" w:line="240" w:lineRule="auto"/>
              <w:ind w:left="-57" w:right="-57"/>
              <w:rPr>
                <w:rFonts w:eastAsia="Calibri"/>
                <w:i/>
                <w:sz w:val="20"/>
                <w:szCs w:val="20"/>
              </w:rPr>
            </w:pPr>
            <w:r w:rsidRPr="00A61195">
              <w:rPr>
                <w:sz w:val="20"/>
                <w:szCs w:val="20"/>
              </w:rPr>
              <w:t>1 – pește AS</w:t>
            </w:r>
          </w:p>
        </w:tc>
        <w:tc>
          <w:tcPr>
            <w:tcW w:w="393" w:type="pct"/>
          </w:tcPr>
          <w:p w14:paraId="7256580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757C1321"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33F6CC4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419AB971" w14:textId="77777777" w:rsidTr="00647D0C">
        <w:tc>
          <w:tcPr>
            <w:tcW w:w="296" w:type="pct"/>
          </w:tcPr>
          <w:p w14:paraId="4A40FC06" w14:textId="29524627" w:rsidR="00647D0C" w:rsidRPr="00A61195" w:rsidRDefault="00647D0C" w:rsidP="009D20AB">
            <w:pPr>
              <w:spacing w:before="60" w:after="60" w:line="240" w:lineRule="auto"/>
              <w:ind w:left="-57" w:right="-57"/>
              <w:rPr>
                <w:rFonts w:eastAsia="Calibri"/>
                <w:sz w:val="20"/>
                <w:szCs w:val="20"/>
              </w:rPr>
            </w:pPr>
            <w:r w:rsidRPr="00A61195">
              <w:rPr>
                <w:sz w:val="20"/>
                <w:szCs w:val="20"/>
              </w:rPr>
              <w:t>17.</w:t>
            </w:r>
          </w:p>
        </w:tc>
        <w:tc>
          <w:tcPr>
            <w:tcW w:w="628" w:type="pct"/>
            <w:gridSpan w:val="3"/>
          </w:tcPr>
          <w:p w14:paraId="3A114893"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Hexaclorbutadienă</w:t>
            </w:r>
            <w:proofErr w:type="spellEnd"/>
          </w:p>
        </w:tc>
        <w:tc>
          <w:tcPr>
            <w:tcW w:w="394" w:type="pct"/>
            <w:gridSpan w:val="2"/>
          </w:tcPr>
          <w:p w14:paraId="4419F37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Substanțe industriale (solvenți)</w:t>
            </w:r>
          </w:p>
        </w:tc>
        <w:tc>
          <w:tcPr>
            <w:tcW w:w="339" w:type="pct"/>
          </w:tcPr>
          <w:p w14:paraId="329CE6D5"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87-68-3</w:t>
            </w:r>
          </w:p>
        </w:tc>
        <w:tc>
          <w:tcPr>
            <w:tcW w:w="390" w:type="pct"/>
            <w:gridSpan w:val="2"/>
          </w:tcPr>
          <w:p w14:paraId="4850365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201-765-5</w:t>
            </w:r>
          </w:p>
        </w:tc>
        <w:tc>
          <w:tcPr>
            <w:tcW w:w="387" w:type="pct"/>
          </w:tcPr>
          <w:p w14:paraId="4842AEC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9,5 x 10</w:t>
            </w:r>
            <w:r w:rsidRPr="00A61195">
              <w:rPr>
                <w:sz w:val="20"/>
                <w:szCs w:val="20"/>
                <w:vertAlign w:val="superscript"/>
              </w:rPr>
              <w:t>-4</w:t>
            </w:r>
          </w:p>
        </w:tc>
        <w:tc>
          <w:tcPr>
            <w:tcW w:w="389" w:type="pct"/>
          </w:tcPr>
          <w:p w14:paraId="4225FDA1" w14:textId="1EDEC73C" w:rsidR="00647D0C" w:rsidRPr="00A61195" w:rsidRDefault="00647D0C" w:rsidP="00D10615">
            <w:pPr>
              <w:spacing w:before="60" w:after="60" w:line="240" w:lineRule="auto"/>
              <w:ind w:left="-57" w:right="-57"/>
              <w:rPr>
                <w:rFonts w:eastAsia="Calibri"/>
                <w:sz w:val="20"/>
                <w:szCs w:val="20"/>
              </w:rPr>
            </w:pPr>
            <w:r w:rsidRPr="00A61195">
              <w:rPr>
                <w:sz w:val="20"/>
                <w:szCs w:val="20"/>
              </w:rPr>
              <w:t>9,5 × 10</w:t>
            </w:r>
            <w:r w:rsidRPr="00A61195">
              <w:rPr>
                <w:sz w:val="20"/>
                <w:szCs w:val="20"/>
                <w:vertAlign w:val="superscript"/>
              </w:rPr>
              <w:t>-4</w:t>
            </w:r>
          </w:p>
        </w:tc>
        <w:tc>
          <w:tcPr>
            <w:tcW w:w="392" w:type="pct"/>
          </w:tcPr>
          <w:p w14:paraId="467FE25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0,6</w:t>
            </w:r>
          </w:p>
        </w:tc>
        <w:tc>
          <w:tcPr>
            <w:tcW w:w="389" w:type="pct"/>
          </w:tcPr>
          <w:p w14:paraId="331B80D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0,06</w:t>
            </w:r>
          </w:p>
        </w:tc>
        <w:tc>
          <w:tcPr>
            <w:tcW w:w="349" w:type="pct"/>
          </w:tcPr>
          <w:p w14:paraId="412BAD4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21</w:t>
            </w:r>
          </w:p>
        </w:tc>
        <w:tc>
          <w:tcPr>
            <w:tcW w:w="393" w:type="pct"/>
          </w:tcPr>
          <w:p w14:paraId="43A2399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4188C27B"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3699B3F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758AC991" w14:textId="77777777" w:rsidTr="00647D0C">
        <w:tc>
          <w:tcPr>
            <w:tcW w:w="296" w:type="pct"/>
          </w:tcPr>
          <w:p w14:paraId="67C8F74B" w14:textId="1C2F7094"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18.</w:t>
            </w:r>
          </w:p>
        </w:tc>
        <w:tc>
          <w:tcPr>
            <w:tcW w:w="628" w:type="pct"/>
            <w:gridSpan w:val="3"/>
          </w:tcPr>
          <w:p w14:paraId="23C3F0E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Hexaclorciclohexan</w:t>
            </w:r>
          </w:p>
        </w:tc>
        <w:tc>
          <w:tcPr>
            <w:tcW w:w="394" w:type="pct"/>
            <w:gridSpan w:val="2"/>
          </w:tcPr>
          <w:p w14:paraId="2EFCD283"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Pesticide – insecticide</w:t>
            </w:r>
          </w:p>
        </w:tc>
        <w:tc>
          <w:tcPr>
            <w:tcW w:w="339" w:type="pct"/>
          </w:tcPr>
          <w:p w14:paraId="3424BF3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608-73-1</w:t>
            </w:r>
          </w:p>
        </w:tc>
        <w:tc>
          <w:tcPr>
            <w:tcW w:w="390" w:type="pct"/>
            <w:gridSpan w:val="2"/>
          </w:tcPr>
          <w:p w14:paraId="00C8495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210-168-9</w:t>
            </w:r>
          </w:p>
        </w:tc>
        <w:tc>
          <w:tcPr>
            <w:tcW w:w="387" w:type="pct"/>
          </w:tcPr>
          <w:p w14:paraId="1EB3715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0,02</w:t>
            </w:r>
          </w:p>
        </w:tc>
        <w:tc>
          <w:tcPr>
            <w:tcW w:w="389" w:type="pct"/>
          </w:tcPr>
          <w:p w14:paraId="650F05E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0,002</w:t>
            </w:r>
          </w:p>
        </w:tc>
        <w:tc>
          <w:tcPr>
            <w:tcW w:w="392" w:type="pct"/>
          </w:tcPr>
          <w:p w14:paraId="0C62F76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0,04</w:t>
            </w:r>
          </w:p>
        </w:tc>
        <w:tc>
          <w:tcPr>
            <w:tcW w:w="389" w:type="pct"/>
          </w:tcPr>
          <w:p w14:paraId="4BB90EB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0,02</w:t>
            </w:r>
          </w:p>
        </w:tc>
        <w:tc>
          <w:tcPr>
            <w:tcW w:w="349" w:type="pct"/>
          </w:tcPr>
          <w:p w14:paraId="15767174"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7BEB22F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06AA386D"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4B437275"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341A3F15" w14:textId="77777777" w:rsidTr="00647D0C">
        <w:tc>
          <w:tcPr>
            <w:tcW w:w="296" w:type="pct"/>
          </w:tcPr>
          <w:p w14:paraId="6863C26C" w14:textId="5EEDDCF7" w:rsidR="00647D0C" w:rsidRPr="00A61195" w:rsidRDefault="00647D0C" w:rsidP="009D20AB">
            <w:pPr>
              <w:spacing w:before="60" w:after="60" w:line="240" w:lineRule="auto"/>
              <w:ind w:left="-57" w:right="-57"/>
              <w:rPr>
                <w:rFonts w:eastAsia="Calibri"/>
                <w:sz w:val="20"/>
                <w:szCs w:val="20"/>
              </w:rPr>
            </w:pPr>
            <w:r w:rsidRPr="00A61195">
              <w:rPr>
                <w:sz w:val="20"/>
                <w:szCs w:val="20"/>
              </w:rPr>
              <w:t>19.</w:t>
            </w:r>
          </w:p>
        </w:tc>
        <w:tc>
          <w:tcPr>
            <w:tcW w:w="628" w:type="pct"/>
            <w:gridSpan w:val="3"/>
          </w:tcPr>
          <w:p w14:paraId="5626A816"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Izoproturon</w:t>
            </w:r>
            <w:proofErr w:type="spellEnd"/>
          </w:p>
        </w:tc>
        <w:tc>
          <w:tcPr>
            <w:tcW w:w="394" w:type="pct"/>
            <w:gridSpan w:val="2"/>
          </w:tcPr>
          <w:p w14:paraId="240B41B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Pesticide – erbicide</w:t>
            </w:r>
          </w:p>
        </w:tc>
        <w:tc>
          <w:tcPr>
            <w:tcW w:w="339" w:type="pct"/>
          </w:tcPr>
          <w:p w14:paraId="5EE3D3C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34123-59-6</w:t>
            </w:r>
          </w:p>
        </w:tc>
        <w:tc>
          <w:tcPr>
            <w:tcW w:w="390" w:type="pct"/>
            <w:gridSpan w:val="2"/>
          </w:tcPr>
          <w:p w14:paraId="65406723"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251-835-4</w:t>
            </w:r>
          </w:p>
        </w:tc>
        <w:tc>
          <w:tcPr>
            <w:tcW w:w="387" w:type="pct"/>
          </w:tcPr>
          <w:p w14:paraId="72C18E7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0,3</w:t>
            </w:r>
          </w:p>
        </w:tc>
        <w:tc>
          <w:tcPr>
            <w:tcW w:w="389" w:type="pct"/>
          </w:tcPr>
          <w:p w14:paraId="06845D6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0,3</w:t>
            </w:r>
          </w:p>
        </w:tc>
        <w:tc>
          <w:tcPr>
            <w:tcW w:w="392" w:type="pct"/>
          </w:tcPr>
          <w:p w14:paraId="1EFF116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1,0</w:t>
            </w:r>
          </w:p>
        </w:tc>
        <w:tc>
          <w:tcPr>
            <w:tcW w:w="389" w:type="pct"/>
          </w:tcPr>
          <w:p w14:paraId="3A4B7AF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1,0</w:t>
            </w:r>
          </w:p>
        </w:tc>
        <w:tc>
          <w:tcPr>
            <w:tcW w:w="349" w:type="pct"/>
          </w:tcPr>
          <w:p w14:paraId="7CB9AB7F"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79F52FCD" w14:textId="77777777" w:rsidR="00647D0C" w:rsidRPr="00A61195" w:rsidRDefault="00647D0C" w:rsidP="009D20AB">
            <w:pPr>
              <w:spacing w:before="60" w:after="60" w:line="240" w:lineRule="auto"/>
              <w:ind w:left="-57" w:right="-57"/>
              <w:rPr>
                <w:rFonts w:eastAsia="Calibri"/>
                <w:sz w:val="20"/>
                <w:szCs w:val="20"/>
              </w:rPr>
            </w:pPr>
          </w:p>
        </w:tc>
        <w:tc>
          <w:tcPr>
            <w:tcW w:w="360" w:type="pct"/>
            <w:gridSpan w:val="2"/>
          </w:tcPr>
          <w:p w14:paraId="4E37D7AA"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4F5968E7"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6AD40A6E" w14:textId="77777777" w:rsidTr="00647D0C">
        <w:tc>
          <w:tcPr>
            <w:tcW w:w="296" w:type="pct"/>
          </w:tcPr>
          <w:p w14:paraId="6DF2E84F" w14:textId="2CABA729" w:rsidR="00647D0C" w:rsidRPr="00A61195" w:rsidRDefault="00647D0C" w:rsidP="009D20AB">
            <w:pPr>
              <w:spacing w:before="60" w:after="60" w:line="240" w:lineRule="auto"/>
              <w:ind w:left="-57" w:right="-57"/>
              <w:rPr>
                <w:rFonts w:eastAsia="Calibri"/>
                <w:sz w:val="20"/>
                <w:szCs w:val="20"/>
              </w:rPr>
            </w:pPr>
            <w:r w:rsidRPr="00A61195">
              <w:rPr>
                <w:sz w:val="20"/>
                <w:szCs w:val="20"/>
              </w:rPr>
              <w:t>20.</w:t>
            </w:r>
          </w:p>
        </w:tc>
        <w:tc>
          <w:tcPr>
            <w:tcW w:w="628" w:type="pct"/>
            <w:gridSpan w:val="3"/>
          </w:tcPr>
          <w:p w14:paraId="1AC71D2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Plumb și compușii săi</w:t>
            </w:r>
          </w:p>
        </w:tc>
        <w:tc>
          <w:tcPr>
            <w:tcW w:w="394" w:type="pct"/>
            <w:gridSpan w:val="2"/>
          </w:tcPr>
          <w:p w14:paraId="63B7389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Metale</w:t>
            </w:r>
          </w:p>
        </w:tc>
        <w:tc>
          <w:tcPr>
            <w:tcW w:w="339" w:type="pct"/>
          </w:tcPr>
          <w:p w14:paraId="0701D7C3"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7439-92-1</w:t>
            </w:r>
          </w:p>
        </w:tc>
        <w:tc>
          <w:tcPr>
            <w:tcW w:w="390" w:type="pct"/>
            <w:gridSpan w:val="2"/>
          </w:tcPr>
          <w:p w14:paraId="6CBF1972" w14:textId="77777777" w:rsidR="00647D0C" w:rsidRPr="00A61195" w:rsidRDefault="00647D0C" w:rsidP="009D20AB">
            <w:pPr>
              <w:spacing w:before="60" w:after="60" w:line="240" w:lineRule="auto"/>
              <w:ind w:left="-57" w:right="-57"/>
              <w:rPr>
                <w:rFonts w:eastAsia="Calibri"/>
                <w:bCs/>
                <w:iCs/>
                <w:sz w:val="20"/>
                <w:szCs w:val="20"/>
              </w:rPr>
            </w:pPr>
            <w:r w:rsidRPr="00A61195">
              <w:rPr>
                <w:sz w:val="20"/>
                <w:szCs w:val="20"/>
              </w:rPr>
              <w:t>231-100-4</w:t>
            </w:r>
          </w:p>
        </w:tc>
        <w:tc>
          <w:tcPr>
            <w:tcW w:w="387" w:type="pct"/>
          </w:tcPr>
          <w:p w14:paraId="7A4020CC" w14:textId="77777777" w:rsidR="00647D0C" w:rsidRPr="00A61195" w:rsidRDefault="00647D0C" w:rsidP="009D20AB">
            <w:pPr>
              <w:spacing w:before="60" w:after="60" w:line="240" w:lineRule="auto"/>
              <w:ind w:left="-57" w:right="-57"/>
              <w:rPr>
                <w:rFonts w:eastAsia="Calibri"/>
                <w:i/>
                <w:sz w:val="20"/>
                <w:szCs w:val="20"/>
                <w:vertAlign w:val="superscript"/>
              </w:rPr>
            </w:pPr>
            <w:r w:rsidRPr="00A61195">
              <w:rPr>
                <w:sz w:val="20"/>
                <w:szCs w:val="20"/>
              </w:rPr>
              <w:t xml:space="preserve">1,2 </w:t>
            </w:r>
            <w:r w:rsidRPr="0039432B">
              <w:rPr>
                <w:sz w:val="20"/>
                <w:szCs w:val="20"/>
              </w:rPr>
              <w:t>(</w:t>
            </w:r>
            <w:r w:rsidRPr="0039432B">
              <w:rPr>
                <w:b/>
                <w:bCs/>
                <w:sz w:val="20"/>
                <w:szCs w:val="20"/>
                <w:vertAlign w:val="superscript"/>
              </w:rPr>
              <w:t>12</w:t>
            </w:r>
            <w:r w:rsidRPr="0039432B">
              <w:rPr>
                <w:sz w:val="20"/>
                <w:szCs w:val="20"/>
              </w:rPr>
              <w:t>)</w:t>
            </w:r>
          </w:p>
        </w:tc>
        <w:tc>
          <w:tcPr>
            <w:tcW w:w="389" w:type="pct"/>
          </w:tcPr>
          <w:p w14:paraId="0937320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1,3</w:t>
            </w:r>
          </w:p>
        </w:tc>
        <w:tc>
          <w:tcPr>
            <w:tcW w:w="392" w:type="pct"/>
          </w:tcPr>
          <w:p w14:paraId="2586795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14</w:t>
            </w:r>
          </w:p>
        </w:tc>
        <w:tc>
          <w:tcPr>
            <w:tcW w:w="389" w:type="pct"/>
          </w:tcPr>
          <w:p w14:paraId="32E955F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14</w:t>
            </w:r>
          </w:p>
        </w:tc>
        <w:tc>
          <w:tcPr>
            <w:tcW w:w="349" w:type="pct"/>
          </w:tcPr>
          <w:p w14:paraId="3C94E03E"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366B84B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55D014CF"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2ABB345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18BD79BA" w14:textId="77777777" w:rsidTr="00647D0C">
        <w:tc>
          <w:tcPr>
            <w:tcW w:w="296" w:type="pct"/>
          </w:tcPr>
          <w:p w14:paraId="63A0FE77" w14:textId="24735568" w:rsidR="00647D0C" w:rsidRPr="00A61195" w:rsidRDefault="00647D0C" w:rsidP="009D20AB">
            <w:pPr>
              <w:spacing w:before="60" w:after="60" w:line="240" w:lineRule="auto"/>
              <w:ind w:left="-57" w:right="-57"/>
              <w:rPr>
                <w:rFonts w:eastAsia="Calibri"/>
                <w:sz w:val="20"/>
                <w:szCs w:val="20"/>
              </w:rPr>
            </w:pPr>
            <w:r w:rsidRPr="00A61195">
              <w:rPr>
                <w:sz w:val="20"/>
                <w:szCs w:val="20"/>
              </w:rPr>
              <w:t>21.</w:t>
            </w:r>
          </w:p>
        </w:tc>
        <w:tc>
          <w:tcPr>
            <w:tcW w:w="628" w:type="pct"/>
            <w:gridSpan w:val="3"/>
          </w:tcPr>
          <w:p w14:paraId="324F19A3"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Mercur și compușii săi</w:t>
            </w:r>
          </w:p>
        </w:tc>
        <w:tc>
          <w:tcPr>
            <w:tcW w:w="394" w:type="pct"/>
            <w:gridSpan w:val="2"/>
          </w:tcPr>
          <w:p w14:paraId="1F97461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Metale</w:t>
            </w:r>
          </w:p>
        </w:tc>
        <w:tc>
          <w:tcPr>
            <w:tcW w:w="339" w:type="pct"/>
          </w:tcPr>
          <w:p w14:paraId="09691CA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7439-97-6</w:t>
            </w:r>
          </w:p>
        </w:tc>
        <w:tc>
          <w:tcPr>
            <w:tcW w:w="390" w:type="pct"/>
            <w:gridSpan w:val="2"/>
          </w:tcPr>
          <w:p w14:paraId="207CF7E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231-106-7</w:t>
            </w:r>
          </w:p>
        </w:tc>
        <w:tc>
          <w:tcPr>
            <w:tcW w:w="387" w:type="pct"/>
          </w:tcPr>
          <w:p w14:paraId="753F2C76" w14:textId="77777777" w:rsidR="00647D0C" w:rsidRPr="00A61195" w:rsidRDefault="00647D0C" w:rsidP="009D20AB">
            <w:pPr>
              <w:spacing w:before="60" w:after="60" w:line="240" w:lineRule="auto"/>
              <w:ind w:left="-57" w:right="-57"/>
              <w:rPr>
                <w:rFonts w:eastAsia="Calibri"/>
                <w:sz w:val="20"/>
                <w:szCs w:val="20"/>
              </w:rPr>
            </w:pPr>
          </w:p>
        </w:tc>
        <w:tc>
          <w:tcPr>
            <w:tcW w:w="389" w:type="pct"/>
          </w:tcPr>
          <w:p w14:paraId="13999904" w14:textId="77777777" w:rsidR="00647D0C" w:rsidRPr="00A61195" w:rsidRDefault="00647D0C" w:rsidP="009D20AB">
            <w:pPr>
              <w:spacing w:before="60" w:after="60" w:line="240" w:lineRule="auto"/>
              <w:ind w:left="-57" w:right="-57"/>
              <w:rPr>
                <w:rFonts w:eastAsia="Calibri"/>
                <w:sz w:val="20"/>
                <w:szCs w:val="20"/>
              </w:rPr>
            </w:pPr>
          </w:p>
        </w:tc>
        <w:tc>
          <w:tcPr>
            <w:tcW w:w="392" w:type="pct"/>
          </w:tcPr>
          <w:p w14:paraId="068FE28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0,07</w:t>
            </w:r>
          </w:p>
        </w:tc>
        <w:tc>
          <w:tcPr>
            <w:tcW w:w="389" w:type="pct"/>
          </w:tcPr>
          <w:p w14:paraId="58F2381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0,07</w:t>
            </w:r>
          </w:p>
        </w:tc>
        <w:tc>
          <w:tcPr>
            <w:tcW w:w="349" w:type="pct"/>
          </w:tcPr>
          <w:p w14:paraId="5F5EF5D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11</w:t>
            </w:r>
          </w:p>
        </w:tc>
        <w:tc>
          <w:tcPr>
            <w:tcW w:w="393" w:type="pct"/>
          </w:tcPr>
          <w:p w14:paraId="590B16D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19793EF5"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296" w:type="pct"/>
          </w:tcPr>
          <w:p w14:paraId="5B70FD9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2C0A93BC" w14:textId="77777777" w:rsidTr="00647D0C">
        <w:tc>
          <w:tcPr>
            <w:tcW w:w="296" w:type="pct"/>
          </w:tcPr>
          <w:p w14:paraId="37F38F51" w14:textId="5B953D31" w:rsidR="00647D0C" w:rsidRPr="00A61195" w:rsidRDefault="00647D0C" w:rsidP="009D20AB">
            <w:pPr>
              <w:spacing w:before="60" w:after="60" w:line="240" w:lineRule="auto"/>
              <w:ind w:left="-57" w:right="-57"/>
              <w:rPr>
                <w:rFonts w:eastAsia="Calibri"/>
                <w:sz w:val="20"/>
                <w:szCs w:val="20"/>
              </w:rPr>
            </w:pPr>
            <w:r w:rsidRPr="00A61195">
              <w:rPr>
                <w:sz w:val="20"/>
                <w:szCs w:val="20"/>
              </w:rPr>
              <w:t>22.</w:t>
            </w:r>
          </w:p>
        </w:tc>
        <w:tc>
          <w:tcPr>
            <w:tcW w:w="628" w:type="pct"/>
            <w:gridSpan w:val="3"/>
          </w:tcPr>
          <w:p w14:paraId="15CDD97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Naftalină</w:t>
            </w:r>
          </w:p>
        </w:tc>
        <w:tc>
          <w:tcPr>
            <w:tcW w:w="394" w:type="pct"/>
            <w:gridSpan w:val="2"/>
          </w:tcPr>
          <w:p w14:paraId="151D59B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Substanțe industriale</w:t>
            </w:r>
          </w:p>
        </w:tc>
        <w:tc>
          <w:tcPr>
            <w:tcW w:w="339" w:type="pct"/>
          </w:tcPr>
          <w:p w14:paraId="2206A78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91-20-3</w:t>
            </w:r>
          </w:p>
        </w:tc>
        <w:tc>
          <w:tcPr>
            <w:tcW w:w="390" w:type="pct"/>
            <w:gridSpan w:val="2"/>
          </w:tcPr>
          <w:p w14:paraId="7454CF4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202-049-5</w:t>
            </w:r>
          </w:p>
        </w:tc>
        <w:tc>
          <w:tcPr>
            <w:tcW w:w="387" w:type="pct"/>
          </w:tcPr>
          <w:p w14:paraId="74A1120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w:t>
            </w:r>
          </w:p>
        </w:tc>
        <w:tc>
          <w:tcPr>
            <w:tcW w:w="389" w:type="pct"/>
          </w:tcPr>
          <w:p w14:paraId="623DE07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w:t>
            </w:r>
          </w:p>
        </w:tc>
        <w:tc>
          <w:tcPr>
            <w:tcW w:w="392" w:type="pct"/>
          </w:tcPr>
          <w:p w14:paraId="7AD96FE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130</w:t>
            </w:r>
          </w:p>
        </w:tc>
        <w:tc>
          <w:tcPr>
            <w:tcW w:w="389" w:type="pct"/>
          </w:tcPr>
          <w:p w14:paraId="02A5D02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130</w:t>
            </w:r>
          </w:p>
        </w:tc>
        <w:tc>
          <w:tcPr>
            <w:tcW w:w="349" w:type="pct"/>
          </w:tcPr>
          <w:p w14:paraId="2E2E16E5"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39311CAC" w14:textId="77777777" w:rsidR="00647D0C" w:rsidRPr="00A61195" w:rsidRDefault="00647D0C" w:rsidP="009D20AB">
            <w:pPr>
              <w:spacing w:before="60" w:after="60" w:line="240" w:lineRule="auto"/>
              <w:ind w:left="-57" w:right="-57"/>
              <w:rPr>
                <w:rFonts w:eastAsia="Calibri"/>
                <w:sz w:val="20"/>
                <w:szCs w:val="20"/>
              </w:rPr>
            </w:pPr>
          </w:p>
        </w:tc>
        <w:tc>
          <w:tcPr>
            <w:tcW w:w="360" w:type="pct"/>
            <w:gridSpan w:val="2"/>
          </w:tcPr>
          <w:p w14:paraId="2C25B5EC"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3DC0E47E"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436B5B23" w14:textId="77777777" w:rsidTr="00647D0C">
        <w:tc>
          <w:tcPr>
            <w:tcW w:w="296" w:type="pct"/>
          </w:tcPr>
          <w:p w14:paraId="2CD26498" w14:textId="0C7AFA49"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23.</w:t>
            </w:r>
          </w:p>
        </w:tc>
        <w:tc>
          <w:tcPr>
            <w:tcW w:w="628" w:type="pct"/>
            <w:gridSpan w:val="3"/>
          </w:tcPr>
          <w:p w14:paraId="1E69F82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Nichel și compușii săi</w:t>
            </w:r>
          </w:p>
        </w:tc>
        <w:tc>
          <w:tcPr>
            <w:tcW w:w="394" w:type="pct"/>
            <w:gridSpan w:val="2"/>
          </w:tcPr>
          <w:p w14:paraId="6260ECD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Metale</w:t>
            </w:r>
          </w:p>
        </w:tc>
        <w:tc>
          <w:tcPr>
            <w:tcW w:w="339" w:type="pct"/>
          </w:tcPr>
          <w:p w14:paraId="3B69FE2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7440-02-0</w:t>
            </w:r>
          </w:p>
        </w:tc>
        <w:tc>
          <w:tcPr>
            <w:tcW w:w="390" w:type="pct"/>
            <w:gridSpan w:val="2"/>
          </w:tcPr>
          <w:p w14:paraId="6C489534" w14:textId="77777777" w:rsidR="00647D0C" w:rsidRPr="00A61195" w:rsidDel="00EC120E" w:rsidRDefault="00647D0C" w:rsidP="009D20AB">
            <w:pPr>
              <w:spacing w:before="60" w:after="60" w:line="240" w:lineRule="auto"/>
              <w:ind w:left="-57" w:right="-57"/>
              <w:rPr>
                <w:rFonts w:eastAsia="Calibri"/>
                <w:strike/>
                <w:sz w:val="20"/>
                <w:szCs w:val="20"/>
              </w:rPr>
            </w:pPr>
            <w:r w:rsidRPr="00A61195">
              <w:rPr>
                <w:sz w:val="20"/>
                <w:szCs w:val="20"/>
              </w:rPr>
              <w:t>231-111-4</w:t>
            </w:r>
          </w:p>
        </w:tc>
        <w:tc>
          <w:tcPr>
            <w:tcW w:w="387" w:type="pct"/>
          </w:tcPr>
          <w:p w14:paraId="3790E713" w14:textId="77777777" w:rsidR="00647D0C" w:rsidRPr="00A61195" w:rsidRDefault="00647D0C" w:rsidP="009D20AB">
            <w:pPr>
              <w:spacing w:before="60" w:after="60" w:line="240" w:lineRule="auto"/>
              <w:ind w:left="-57" w:right="-57"/>
              <w:rPr>
                <w:rFonts w:eastAsia="Calibri"/>
                <w:sz w:val="20"/>
                <w:szCs w:val="20"/>
                <w:vertAlign w:val="superscript"/>
              </w:rPr>
            </w:pPr>
            <w:r w:rsidRPr="00A61195">
              <w:rPr>
                <w:sz w:val="20"/>
                <w:szCs w:val="20"/>
              </w:rPr>
              <w:t>2 (</w:t>
            </w:r>
            <w:r w:rsidRPr="00D3772B">
              <w:rPr>
                <w:b/>
                <w:bCs/>
                <w:sz w:val="20"/>
                <w:szCs w:val="20"/>
                <w:vertAlign w:val="superscript"/>
              </w:rPr>
              <w:t>12</w:t>
            </w:r>
            <w:r w:rsidRPr="00A61195">
              <w:rPr>
                <w:sz w:val="20"/>
                <w:szCs w:val="20"/>
              </w:rPr>
              <w:t>)</w:t>
            </w:r>
          </w:p>
        </w:tc>
        <w:tc>
          <w:tcPr>
            <w:tcW w:w="389" w:type="pct"/>
          </w:tcPr>
          <w:p w14:paraId="4CFD8F0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3,1</w:t>
            </w:r>
          </w:p>
        </w:tc>
        <w:tc>
          <w:tcPr>
            <w:tcW w:w="392" w:type="pct"/>
          </w:tcPr>
          <w:p w14:paraId="3665ED0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8,2</w:t>
            </w:r>
          </w:p>
        </w:tc>
        <w:tc>
          <w:tcPr>
            <w:tcW w:w="389" w:type="pct"/>
          </w:tcPr>
          <w:p w14:paraId="7F439A7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8,2</w:t>
            </w:r>
          </w:p>
        </w:tc>
        <w:tc>
          <w:tcPr>
            <w:tcW w:w="349" w:type="pct"/>
          </w:tcPr>
          <w:p w14:paraId="5F8A5891"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5974A47E" w14:textId="77777777" w:rsidR="00647D0C" w:rsidRPr="00A61195" w:rsidRDefault="00647D0C" w:rsidP="009D20AB">
            <w:pPr>
              <w:spacing w:before="60" w:after="60" w:line="240" w:lineRule="auto"/>
              <w:ind w:left="-57" w:right="-57"/>
              <w:rPr>
                <w:rFonts w:eastAsia="Calibri"/>
                <w:sz w:val="20"/>
                <w:szCs w:val="20"/>
                <w:vertAlign w:val="superscript"/>
              </w:rPr>
            </w:pPr>
          </w:p>
        </w:tc>
        <w:tc>
          <w:tcPr>
            <w:tcW w:w="360" w:type="pct"/>
            <w:gridSpan w:val="2"/>
          </w:tcPr>
          <w:p w14:paraId="6AD74C3D" w14:textId="77777777" w:rsidR="00647D0C" w:rsidRPr="00A61195" w:rsidRDefault="00647D0C" w:rsidP="009D20AB">
            <w:pPr>
              <w:spacing w:before="60" w:after="60" w:line="240" w:lineRule="auto"/>
              <w:ind w:left="-57" w:right="-57"/>
              <w:rPr>
                <w:rFonts w:eastAsia="Calibri"/>
                <w:sz w:val="20"/>
                <w:szCs w:val="20"/>
                <w:vertAlign w:val="superscript"/>
              </w:rPr>
            </w:pPr>
          </w:p>
        </w:tc>
        <w:tc>
          <w:tcPr>
            <w:tcW w:w="296" w:type="pct"/>
          </w:tcPr>
          <w:p w14:paraId="6094B186" w14:textId="77777777" w:rsidR="00647D0C" w:rsidRPr="00A61195" w:rsidRDefault="00647D0C" w:rsidP="009D20AB">
            <w:pPr>
              <w:spacing w:before="60" w:after="60" w:line="240" w:lineRule="auto"/>
              <w:ind w:left="-57" w:right="-57"/>
              <w:rPr>
                <w:rFonts w:eastAsia="Calibri"/>
                <w:sz w:val="20"/>
                <w:szCs w:val="20"/>
                <w:vertAlign w:val="superscript"/>
              </w:rPr>
            </w:pPr>
          </w:p>
        </w:tc>
      </w:tr>
      <w:tr w:rsidR="00647D0C" w:rsidRPr="00A61195" w14:paraId="505904E3" w14:textId="77777777" w:rsidTr="00647D0C">
        <w:tc>
          <w:tcPr>
            <w:tcW w:w="296" w:type="pct"/>
          </w:tcPr>
          <w:p w14:paraId="0894386B" w14:textId="11AE4E3A" w:rsidR="00647D0C" w:rsidRPr="00A61195" w:rsidRDefault="00647D0C" w:rsidP="009D20AB">
            <w:pPr>
              <w:spacing w:before="60" w:after="60" w:line="240" w:lineRule="auto"/>
              <w:ind w:left="-57" w:right="-57"/>
              <w:rPr>
                <w:rFonts w:eastAsia="Calibri"/>
                <w:sz w:val="20"/>
                <w:szCs w:val="20"/>
              </w:rPr>
            </w:pPr>
            <w:r w:rsidRPr="00A61195">
              <w:rPr>
                <w:sz w:val="20"/>
                <w:szCs w:val="20"/>
              </w:rPr>
              <w:t>24.</w:t>
            </w:r>
          </w:p>
        </w:tc>
        <w:tc>
          <w:tcPr>
            <w:tcW w:w="628" w:type="pct"/>
            <w:gridSpan w:val="3"/>
          </w:tcPr>
          <w:p w14:paraId="39450729" w14:textId="66FBBD3E"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Nonilfenoli</w:t>
            </w:r>
            <w:proofErr w:type="spellEnd"/>
            <w:r w:rsidRPr="00A61195">
              <w:rPr>
                <w:sz w:val="20"/>
                <w:szCs w:val="20"/>
              </w:rPr>
              <w:t xml:space="preserve"> (</w:t>
            </w:r>
            <w:r w:rsidRPr="00D3772B">
              <w:rPr>
                <w:b/>
                <w:bCs/>
                <w:sz w:val="20"/>
                <w:szCs w:val="20"/>
                <w:vertAlign w:val="superscript"/>
              </w:rPr>
              <w:t>14</w:t>
            </w:r>
            <w:r w:rsidRPr="00A61195">
              <w:rPr>
                <w:sz w:val="20"/>
                <w:szCs w:val="20"/>
              </w:rPr>
              <w:t>)</w:t>
            </w:r>
            <w:r w:rsidRPr="00A61195">
              <w:rPr>
                <w:sz w:val="20"/>
                <w:szCs w:val="20"/>
              </w:rPr>
              <w:br/>
              <w:t>(4-nonilfenol)</w:t>
            </w:r>
          </w:p>
        </w:tc>
        <w:tc>
          <w:tcPr>
            <w:tcW w:w="394" w:type="pct"/>
            <w:gridSpan w:val="2"/>
          </w:tcPr>
          <w:p w14:paraId="283082C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Substanțe industriale</w:t>
            </w:r>
          </w:p>
        </w:tc>
        <w:tc>
          <w:tcPr>
            <w:tcW w:w="339" w:type="pct"/>
          </w:tcPr>
          <w:p w14:paraId="68156EFE" w14:textId="6297D9E0" w:rsidR="00647D0C" w:rsidRPr="00A61195" w:rsidRDefault="00647D0C" w:rsidP="009D20AB">
            <w:pPr>
              <w:spacing w:before="60" w:after="60" w:line="240" w:lineRule="auto"/>
              <w:ind w:left="-57" w:right="-57"/>
              <w:rPr>
                <w:rFonts w:eastAsia="Calibri"/>
                <w:sz w:val="20"/>
                <w:szCs w:val="20"/>
              </w:rPr>
            </w:pPr>
            <w:r w:rsidRPr="00A61195">
              <w:rPr>
                <w:sz w:val="20"/>
                <w:szCs w:val="20"/>
              </w:rPr>
              <w:t>A se vedea nota de subsol 14</w:t>
            </w:r>
          </w:p>
        </w:tc>
        <w:tc>
          <w:tcPr>
            <w:tcW w:w="390" w:type="pct"/>
            <w:gridSpan w:val="2"/>
          </w:tcPr>
          <w:p w14:paraId="195005A7" w14:textId="768E44DB" w:rsidR="00647D0C" w:rsidRPr="00A61195" w:rsidRDefault="00647D0C" w:rsidP="009D20AB">
            <w:pPr>
              <w:spacing w:before="60" w:after="60" w:line="240" w:lineRule="auto"/>
              <w:ind w:left="-57" w:right="-57"/>
              <w:rPr>
                <w:rFonts w:eastAsia="Calibri"/>
                <w:sz w:val="20"/>
                <w:szCs w:val="20"/>
              </w:rPr>
            </w:pPr>
            <w:r w:rsidRPr="00A61195">
              <w:rPr>
                <w:sz w:val="20"/>
                <w:szCs w:val="20"/>
              </w:rPr>
              <w:t>A se vedea nota de subsol 14</w:t>
            </w:r>
          </w:p>
        </w:tc>
        <w:tc>
          <w:tcPr>
            <w:tcW w:w="387" w:type="pct"/>
          </w:tcPr>
          <w:p w14:paraId="2DF5A96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0,037</w:t>
            </w:r>
          </w:p>
        </w:tc>
        <w:tc>
          <w:tcPr>
            <w:tcW w:w="389" w:type="pct"/>
          </w:tcPr>
          <w:p w14:paraId="447127D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0,0018</w:t>
            </w:r>
          </w:p>
        </w:tc>
        <w:tc>
          <w:tcPr>
            <w:tcW w:w="392" w:type="pct"/>
          </w:tcPr>
          <w:p w14:paraId="441339C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2,1</w:t>
            </w:r>
          </w:p>
        </w:tc>
        <w:tc>
          <w:tcPr>
            <w:tcW w:w="389" w:type="pct"/>
          </w:tcPr>
          <w:p w14:paraId="309B6D3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0,17</w:t>
            </w:r>
          </w:p>
        </w:tc>
        <w:tc>
          <w:tcPr>
            <w:tcW w:w="349" w:type="pct"/>
          </w:tcPr>
          <w:p w14:paraId="55BAABFA"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75648875"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2CD3ED43"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5941E773"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07897121" w14:textId="77777777" w:rsidTr="00647D0C">
        <w:tc>
          <w:tcPr>
            <w:tcW w:w="296" w:type="pct"/>
          </w:tcPr>
          <w:p w14:paraId="021D57B4" w14:textId="22043848" w:rsidR="00647D0C" w:rsidRPr="00A61195" w:rsidRDefault="00647D0C" w:rsidP="009D20AB">
            <w:pPr>
              <w:keepNext/>
              <w:spacing w:before="60" w:after="60" w:line="240" w:lineRule="auto"/>
              <w:ind w:left="-57" w:right="-57"/>
              <w:rPr>
                <w:rFonts w:eastAsia="Calibri"/>
                <w:sz w:val="20"/>
                <w:szCs w:val="20"/>
              </w:rPr>
            </w:pPr>
            <w:r w:rsidRPr="00A61195">
              <w:rPr>
                <w:sz w:val="20"/>
                <w:szCs w:val="20"/>
              </w:rPr>
              <w:t>25.</w:t>
            </w:r>
          </w:p>
        </w:tc>
        <w:tc>
          <w:tcPr>
            <w:tcW w:w="628" w:type="pct"/>
            <w:gridSpan w:val="3"/>
          </w:tcPr>
          <w:p w14:paraId="3ABA42B2" w14:textId="16EFE140" w:rsidR="00647D0C" w:rsidRPr="00A61195" w:rsidRDefault="00647D0C" w:rsidP="009D20AB">
            <w:pPr>
              <w:keepNext/>
              <w:spacing w:before="60" w:after="60" w:line="240" w:lineRule="auto"/>
              <w:ind w:left="-57" w:right="-57"/>
              <w:rPr>
                <w:rFonts w:eastAsia="Calibri"/>
                <w:sz w:val="20"/>
                <w:szCs w:val="20"/>
              </w:rPr>
            </w:pPr>
            <w:proofErr w:type="spellStart"/>
            <w:r w:rsidRPr="00A61195">
              <w:rPr>
                <w:sz w:val="20"/>
                <w:szCs w:val="20"/>
              </w:rPr>
              <w:t>Octilfenoli</w:t>
            </w:r>
            <w:proofErr w:type="spellEnd"/>
            <w:r w:rsidRPr="00A61195">
              <w:rPr>
                <w:sz w:val="20"/>
                <w:szCs w:val="20"/>
              </w:rPr>
              <w:t xml:space="preserve"> (</w:t>
            </w:r>
            <w:r w:rsidRPr="00D3772B">
              <w:rPr>
                <w:b/>
                <w:bCs/>
                <w:sz w:val="20"/>
                <w:szCs w:val="20"/>
                <w:vertAlign w:val="superscript"/>
              </w:rPr>
              <w:t>15</w:t>
            </w:r>
            <w:r w:rsidRPr="00A61195">
              <w:rPr>
                <w:sz w:val="20"/>
                <w:szCs w:val="20"/>
              </w:rPr>
              <w:t>)</w:t>
            </w:r>
            <w:r w:rsidRPr="00A61195">
              <w:rPr>
                <w:sz w:val="20"/>
                <w:szCs w:val="20"/>
              </w:rPr>
              <w:br/>
              <w:t>[(4-(1,1′,3,3′-tetrametilbutil)-fenol)]</w:t>
            </w:r>
          </w:p>
        </w:tc>
        <w:tc>
          <w:tcPr>
            <w:tcW w:w="394" w:type="pct"/>
            <w:gridSpan w:val="2"/>
          </w:tcPr>
          <w:p w14:paraId="169D8A40"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Substanțe industriale</w:t>
            </w:r>
          </w:p>
        </w:tc>
        <w:tc>
          <w:tcPr>
            <w:tcW w:w="339" w:type="pct"/>
          </w:tcPr>
          <w:p w14:paraId="34CD6CBA" w14:textId="0BA1057B" w:rsidR="00647D0C" w:rsidRPr="00A61195" w:rsidRDefault="00647D0C" w:rsidP="009D20AB">
            <w:pPr>
              <w:keepNext/>
              <w:spacing w:before="60" w:after="60" w:line="240" w:lineRule="auto"/>
              <w:ind w:left="-57" w:right="-57"/>
              <w:rPr>
                <w:rFonts w:eastAsia="Calibri"/>
                <w:sz w:val="20"/>
                <w:szCs w:val="20"/>
              </w:rPr>
            </w:pPr>
            <w:r w:rsidRPr="00A61195">
              <w:rPr>
                <w:sz w:val="20"/>
                <w:szCs w:val="20"/>
              </w:rPr>
              <w:t>A se vedea nota de subsol 15</w:t>
            </w:r>
          </w:p>
        </w:tc>
        <w:tc>
          <w:tcPr>
            <w:tcW w:w="390" w:type="pct"/>
            <w:gridSpan w:val="2"/>
          </w:tcPr>
          <w:p w14:paraId="47D0ED3E" w14:textId="3B5C001F" w:rsidR="00647D0C" w:rsidRPr="00A61195" w:rsidRDefault="00647D0C" w:rsidP="009D20AB">
            <w:pPr>
              <w:keepNext/>
              <w:spacing w:before="60" w:after="60" w:line="240" w:lineRule="auto"/>
              <w:ind w:left="-57" w:right="-57"/>
              <w:rPr>
                <w:rFonts w:eastAsia="Calibri"/>
                <w:sz w:val="20"/>
                <w:szCs w:val="20"/>
              </w:rPr>
            </w:pPr>
            <w:r w:rsidRPr="00A61195">
              <w:rPr>
                <w:sz w:val="20"/>
                <w:szCs w:val="20"/>
              </w:rPr>
              <w:t>A se vedea nota de subsol 15</w:t>
            </w:r>
          </w:p>
        </w:tc>
        <w:tc>
          <w:tcPr>
            <w:tcW w:w="387" w:type="pct"/>
          </w:tcPr>
          <w:p w14:paraId="352A3CEA"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0,1</w:t>
            </w:r>
          </w:p>
        </w:tc>
        <w:tc>
          <w:tcPr>
            <w:tcW w:w="389" w:type="pct"/>
          </w:tcPr>
          <w:p w14:paraId="306FAB3C"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0,01</w:t>
            </w:r>
          </w:p>
        </w:tc>
        <w:tc>
          <w:tcPr>
            <w:tcW w:w="392" w:type="pct"/>
          </w:tcPr>
          <w:p w14:paraId="4708E88D"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Nu se aplică</w:t>
            </w:r>
          </w:p>
        </w:tc>
        <w:tc>
          <w:tcPr>
            <w:tcW w:w="389" w:type="pct"/>
          </w:tcPr>
          <w:p w14:paraId="3BCE3533"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Nu se aplică</w:t>
            </w:r>
          </w:p>
        </w:tc>
        <w:tc>
          <w:tcPr>
            <w:tcW w:w="349" w:type="pct"/>
          </w:tcPr>
          <w:p w14:paraId="70DBC668" w14:textId="77777777" w:rsidR="00647D0C" w:rsidRPr="00A61195" w:rsidRDefault="00647D0C" w:rsidP="009D20AB">
            <w:pPr>
              <w:keepNext/>
              <w:spacing w:before="60" w:after="60" w:line="240" w:lineRule="auto"/>
              <w:ind w:left="-57" w:right="-57"/>
              <w:rPr>
                <w:rFonts w:eastAsia="Calibri"/>
                <w:sz w:val="20"/>
                <w:szCs w:val="20"/>
              </w:rPr>
            </w:pPr>
          </w:p>
        </w:tc>
        <w:tc>
          <w:tcPr>
            <w:tcW w:w="393" w:type="pct"/>
          </w:tcPr>
          <w:p w14:paraId="3A577EAA"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X</w:t>
            </w:r>
          </w:p>
        </w:tc>
        <w:tc>
          <w:tcPr>
            <w:tcW w:w="360" w:type="pct"/>
            <w:gridSpan w:val="2"/>
          </w:tcPr>
          <w:p w14:paraId="49A31567" w14:textId="77777777" w:rsidR="00647D0C" w:rsidRPr="00A61195" w:rsidRDefault="00647D0C" w:rsidP="009D20AB">
            <w:pPr>
              <w:keepNext/>
              <w:spacing w:before="60" w:after="60" w:line="240" w:lineRule="auto"/>
              <w:ind w:left="-57" w:right="-57"/>
              <w:rPr>
                <w:rFonts w:eastAsia="Calibri"/>
                <w:sz w:val="20"/>
                <w:szCs w:val="20"/>
              </w:rPr>
            </w:pPr>
          </w:p>
        </w:tc>
        <w:tc>
          <w:tcPr>
            <w:tcW w:w="296" w:type="pct"/>
          </w:tcPr>
          <w:p w14:paraId="1078DB80" w14:textId="77777777" w:rsidR="00647D0C" w:rsidRPr="00A61195" w:rsidRDefault="00647D0C" w:rsidP="009D20AB">
            <w:pPr>
              <w:keepNext/>
              <w:spacing w:before="60" w:after="60" w:line="240" w:lineRule="auto"/>
              <w:ind w:left="-57" w:right="-57"/>
              <w:rPr>
                <w:rFonts w:eastAsia="Calibri"/>
                <w:sz w:val="20"/>
                <w:szCs w:val="20"/>
              </w:rPr>
            </w:pPr>
          </w:p>
        </w:tc>
      </w:tr>
      <w:tr w:rsidR="00647D0C" w:rsidRPr="00A61195" w14:paraId="0546BDDE" w14:textId="77777777" w:rsidTr="00647D0C">
        <w:tc>
          <w:tcPr>
            <w:tcW w:w="296" w:type="pct"/>
          </w:tcPr>
          <w:p w14:paraId="3EC5B83C" w14:textId="11B84C27" w:rsidR="00647D0C" w:rsidRPr="00A61195" w:rsidRDefault="00647D0C" w:rsidP="009D20AB">
            <w:pPr>
              <w:spacing w:before="60" w:after="60" w:line="240" w:lineRule="auto"/>
              <w:ind w:left="-57" w:right="-57"/>
              <w:rPr>
                <w:rFonts w:eastAsia="Calibri"/>
                <w:sz w:val="20"/>
                <w:szCs w:val="20"/>
              </w:rPr>
            </w:pPr>
            <w:r w:rsidRPr="00A61195">
              <w:rPr>
                <w:sz w:val="20"/>
                <w:szCs w:val="20"/>
              </w:rPr>
              <w:t>26.</w:t>
            </w:r>
          </w:p>
        </w:tc>
        <w:tc>
          <w:tcPr>
            <w:tcW w:w="628" w:type="pct"/>
            <w:gridSpan w:val="3"/>
          </w:tcPr>
          <w:p w14:paraId="4239A6F2"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Pentaclorbenzen</w:t>
            </w:r>
            <w:proofErr w:type="spellEnd"/>
          </w:p>
        </w:tc>
        <w:tc>
          <w:tcPr>
            <w:tcW w:w="394" w:type="pct"/>
            <w:gridSpan w:val="2"/>
          </w:tcPr>
          <w:p w14:paraId="38C660E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Substanțe industriale</w:t>
            </w:r>
          </w:p>
        </w:tc>
        <w:tc>
          <w:tcPr>
            <w:tcW w:w="339" w:type="pct"/>
          </w:tcPr>
          <w:p w14:paraId="2D7FCF8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608-93-5</w:t>
            </w:r>
          </w:p>
        </w:tc>
        <w:tc>
          <w:tcPr>
            <w:tcW w:w="390" w:type="pct"/>
            <w:gridSpan w:val="2"/>
          </w:tcPr>
          <w:p w14:paraId="1B49AA4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210-172-0</w:t>
            </w:r>
          </w:p>
        </w:tc>
        <w:tc>
          <w:tcPr>
            <w:tcW w:w="387" w:type="pct"/>
          </w:tcPr>
          <w:p w14:paraId="7415B0F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0,007</w:t>
            </w:r>
          </w:p>
        </w:tc>
        <w:tc>
          <w:tcPr>
            <w:tcW w:w="389" w:type="pct"/>
          </w:tcPr>
          <w:p w14:paraId="7F32F1C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0,0007</w:t>
            </w:r>
          </w:p>
        </w:tc>
        <w:tc>
          <w:tcPr>
            <w:tcW w:w="392" w:type="pct"/>
          </w:tcPr>
          <w:p w14:paraId="60718D65"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89" w:type="pct"/>
          </w:tcPr>
          <w:p w14:paraId="7F4A478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49" w:type="pct"/>
          </w:tcPr>
          <w:p w14:paraId="5FA6550A"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0B19429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631B77A9"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2FCA771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253BDBE9" w14:textId="77777777" w:rsidTr="00647D0C">
        <w:tc>
          <w:tcPr>
            <w:tcW w:w="296" w:type="pct"/>
          </w:tcPr>
          <w:p w14:paraId="05EE9657" w14:textId="618CDD01"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27.</w:t>
            </w:r>
          </w:p>
        </w:tc>
        <w:tc>
          <w:tcPr>
            <w:tcW w:w="628" w:type="pct"/>
            <w:gridSpan w:val="3"/>
          </w:tcPr>
          <w:p w14:paraId="2D0A2CEC"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Pentaclorfenol</w:t>
            </w:r>
            <w:proofErr w:type="spellEnd"/>
          </w:p>
        </w:tc>
        <w:tc>
          <w:tcPr>
            <w:tcW w:w="394" w:type="pct"/>
            <w:gridSpan w:val="2"/>
          </w:tcPr>
          <w:p w14:paraId="7A6A1EB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Pesticide – </w:t>
            </w:r>
            <w:proofErr w:type="spellStart"/>
            <w:r w:rsidRPr="00A61195">
              <w:rPr>
                <w:sz w:val="20"/>
                <w:szCs w:val="20"/>
              </w:rPr>
              <w:t>organoclorurate</w:t>
            </w:r>
            <w:proofErr w:type="spellEnd"/>
          </w:p>
        </w:tc>
        <w:tc>
          <w:tcPr>
            <w:tcW w:w="339" w:type="pct"/>
          </w:tcPr>
          <w:p w14:paraId="542A440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87-86-5</w:t>
            </w:r>
          </w:p>
        </w:tc>
        <w:tc>
          <w:tcPr>
            <w:tcW w:w="390" w:type="pct"/>
            <w:gridSpan w:val="2"/>
          </w:tcPr>
          <w:p w14:paraId="748094A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201-778-6</w:t>
            </w:r>
          </w:p>
        </w:tc>
        <w:tc>
          <w:tcPr>
            <w:tcW w:w="387" w:type="pct"/>
          </w:tcPr>
          <w:p w14:paraId="03D4FD1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0,4</w:t>
            </w:r>
          </w:p>
        </w:tc>
        <w:tc>
          <w:tcPr>
            <w:tcW w:w="389" w:type="pct"/>
          </w:tcPr>
          <w:p w14:paraId="1CFEAE4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0,4</w:t>
            </w:r>
          </w:p>
        </w:tc>
        <w:tc>
          <w:tcPr>
            <w:tcW w:w="392" w:type="pct"/>
          </w:tcPr>
          <w:p w14:paraId="7170BFD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w:t>
            </w:r>
          </w:p>
        </w:tc>
        <w:tc>
          <w:tcPr>
            <w:tcW w:w="389" w:type="pct"/>
          </w:tcPr>
          <w:p w14:paraId="0D7CAA7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w:t>
            </w:r>
          </w:p>
        </w:tc>
        <w:tc>
          <w:tcPr>
            <w:tcW w:w="349" w:type="pct"/>
          </w:tcPr>
          <w:p w14:paraId="02A39D54"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59D73EA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318CAEFF"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7D223AEF"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40E0DE9F" w14:textId="77777777" w:rsidTr="00647D0C">
        <w:tc>
          <w:tcPr>
            <w:tcW w:w="296" w:type="pct"/>
            <w:tcBorders>
              <w:bottom w:val="single" w:sz="4" w:space="0" w:color="auto"/>
            </w:tcBorders>
          </w:tcPr>
          <w:p w14:paraId="04704181" w14:textId="5AB1F1F8" w:rsidR="00647D0C" w:rsidRPr="00A61195" w:rsidRDefault="00647D0C" w:rsidP="009D20AB">
            <w:pPr>
              <w:spacing w:before="60" w:after="60" w:line="240" w:lineRule="auto"/>
              <w:ind w:left="-57" w:right="-57"/>
              <w:rPr>
                <w:rFonts w:eastAsia="Calibri"/>
                <w:sz w:val="20"/>
                <w:szCs w:val="20"/>
              </w:rPr>
            </w:pPr>
            <w:r w:rsidRPr="00A61195">
              <w:rPr>
                <w:sz w:val="20"/>
                <w:szCs w:val="20"/>
              </w:rPr>
              <w:t>28.</w:t>
            </w:r>
          </w:p>
        </w:tc>
        <w:tc>
          <w:tcPr>
            <w:tcW w:w="628" w:type="pct"/>
            <w:gridSpan w:val="3"/>
          </w:tcPr>
          <w:p w14:paraId="618DACC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Hidrocarburi </w:t>
            </w:r>
            <w:proofErr w:type="spellStart"/>
            <w:r w:rsidRPr="00A61195">
              <w:rPr>
                <w:sz w:val="20"/>
                <w:szCs w:val="20"/>
              </w:rPr>
              <w:t>poliaromatice</w:t>
            </w:r>
            <w:proofErr w:type="spellEnd"/>
            <w:r w:rsidRPr="00A61195">
              <w:rPr>
                <w:sz w:val="20"/>
                <w:szCs w:val="20"/>
              </w:rPr>
              <w:t xml:space="preserve"> (PAH) (</w:t>
            </w:r>
            <w:r w:rsidRPr="00D3772B">
              <w:rPr>
                <w:b/>
                <w:bCs/>
                <w:sz w:val="20"/>
                <w:szCs w:val="20"/>
                <w:vertAlign w:val="superscript"/>
              </w:rPr>
              <w:t>16</w:t>
            </w:r>
            <w:r w:rsidRPr="00A61195">
              <w:rPr>
                <w:sz w:val="20"/>
                <w:szCs w:val="20"/>
              </w:rPr>
              <w:t>)</w:t>
            </w:r>
          </w:p>
        </w:tc>
        <w:tc>
          <w:tcPr>
            <w:tcW w:w="394" w:type="pct"/>
            <w:gridSpan w:val="2"/>
          </w:tcPr>
          <w:p w14:paraId="13295F7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Produși de combustie</w:t>
            </w:r>
          </w:p>
        </w:tc>
        <w:tc>
          <w:tcPr>
            <w:tcW w:w="339" w:type="pct"/>
          </w:tcPr>
          <w:p w14:paraId="35408C5C"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90" w:type="pct"/>
            <w:gridSpan w:val="2"/>
          </w:tcPr>
          <w:p w14:paraId="0855726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87" w:type="pct"/>
          </w:tcPr>
          <w:p w14:paraId="5111954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89" w:type="pct"/>
          </w:tcPr>
          <w:p w14:paraId="2A97CA4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92" w:type="pct"/>
          </w:tcPr>
          <w:p w14:paraId="1C382D0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89" w:type="pct"/>
          </w:tcPr>
          <w:p w14:paraId="322475E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49" w:type="pct"/>
          </w:tcPr>
          <w:p w14:paraId="3BCD0620" w14:textId="16EA90DC"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Suma echivalenților de </w:t>
            </w:r>
            <w:proofErr w:type="spellStart"/>
            <w:r w:rsidRPr="00A61195">
              <w:rPr>
                <w:sz w:val="20"/>
                <w:szCs w:val="20"/>
              </w:rPr>
              <w:t>benzo</w:t>
            </w:r>
            <w:proofErr w:type="spellEnd"/>
            <w:r w:rsidRPr="00A61195">
              <w:rPr>
                <w:sz w:val="20"/>
                <w:szCs w:val="20"/>
              </w:rPr>
              <w:t>(a)</w:t>
            </w:r>
            <w:proofErr w:type="spellStart"/>
            <w:r w:rsidRPr="00A61195">
              <w:rPr>
                <w:sz w:val="20"/>
                <w:szCs w:val="20"/>
              </w:rPr>
              <w:t>piren</w:t>
            </w:r>
            <w:proofErr w:type="spellEnd"/>
            <w:r w:rsidRPr="00A61195">
              <w:rPr>
                <w:sz w:val="20"/>
                <w:szCs w:val="20"/>
              </w:rPr>
              <w:t xml:space="preserve"> 0,6 (</w:t>
            </w:r>
            <w:r w:rsidRPr="00D3772B">
              <w:rPr>
                <w:b/>
                <w:bCs/>
                <w:sz w:val="20"/>
                <w:szCs w:val="20"/>
                <w:vertAlign w:val="superscript"/>
              </w:rPr>
              <w:t>17</w:t>
            </w:r>
            <w:r w:rsidRPr="00A61195">
              <w:rPr>
                <w:sz w:val="20"/>
                <w:szCs w:val="20"/>
              </w:rPr>
              <w:t>)</w:t>
            </w:r>
          </w:p>
        </w:tc>
        <w:tc>
          <w:tcPr>
            <w:tcW w:w="393" w:type="pct"/>
          </w:tcPr>
          <w:p w14:paraId="4370CB3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59311C2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296" w:type="pct"/>
          </w:tcPr>
          <w:p w14:paraId="4C10F05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3F995C6D" w14:textId="77777777" w:rsidTr="00647D0C">
        <w:tc>
          <w:tcPr>
            <w:tcW w:w="296" w:type="pct"/>
            <w:vMerge w:val="restart"/>
            <w:tcBorders>
              <w:bottom w:val="nil"/>
            </w:tcBorders>
          </w:tcPr>
          <w:p w14:paraId="0DC94944" w14:textId="77777777" w:rsidR="00647D0C" w:rsidRPr="00A61195" w:rsidRDefault="00647D0C" w:rsidP="009D20AB">
            <w:pPr>
              <w:pageBreakBefore/>
              <w:spacing w:before="60" w:after="60" w:line="240" w:lineRule="auto"/>
              <w:ind w:left="-57" w:right="-57"/>
              <w:rPr>
                <w:rFonts w:eastAsia="Calibri"/>
                <w:sz w:val="20"/>
                <w:szCs w:val="20"/>
              </w:rPr>
            </w:pPr>
          </w:p>
        </w:tc>
        <w:tc>
          <w:tcPr>
            <w:tcW w:w="628" w:type="pct"/>
            <w:gridSpan w:val="3"/>
          </w:tcPr>
          <w:p w14:paraId="7E0C5E76"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Benzo</w:t>
            </w:r>
            <w:proofErr w:type="spellEnd"/>
            <w:r w:rsidRPr="00A61195">
              <w:rPr>
                <w:sz w:val="20"/>
                <w:szCs w:val="20"/>
              </w:rPr>
              <w:t>(a)</w:t>
            </w:r>
            <w:proofErr w:type="spellStart"/>
            <w:r w:rsidRPr="00A61195">
              <w:rPr>
                <w:sz w:val="20"/>
                <w:szCs w:val="20"/>
              </w:rPr>
              <w:t>piren</w:t>
            </w:r>
            <w:proofErr w:type="spellEnd"/>
          </w:p>
        </w:tc>
        <w:tc>
          <w:tcPr>
            <w:tcW w:w="394" w:type="pct"/>
            <w:gridSpan w:val="2"/>
          </w:tcPr>
          <w:p w14:paraId="3B90CDE1" w14:textId="77777777" w:rsidR="00647D0C" w:rsidRPr="00A61195" w:rsidRDefault="00647D0C" w:rsidP="009D20AB">
            <w:pPr>
              <w:spacing w:before="60" w:after="60" w:line="240" w:lineRule="auto"/>
              <w:ind w:left="-57" w:right="-57"/>
              <w:rPr>
                <w:rFonts w:eastAsia="Calibri"/>
                <w:sz w:val="20"/>
                <w:szCs w:val="20"/>
              </w:rPr>
            </w:pPr>
          </w:p>
        </w:tc>
        <w:tc>
          <w:tcPr>
            <w:tcW w:w="339" w:type="pct"/>
          </w:tcPr>
          <w:p w14:paraId="3D36F1B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50-32-8</w:t>
            </w:r>
          </w:p>
        </w:tc>
        <w:tc>
          <w:tcPr>
            <w:tcW w:w="390" w:type="pct"/>
            <w:gridSpan w:val="2"/>
          </w:tcPr>
          <w:p w14:paraId="7FE34C5F" w14:textId="77777777" w:rsidR="00647D0C" w:rsidRPr="00A61195" w:rsidRDefault="00647D0C" w:rsidP="009D20AB">
            <w:pPr>
              <w:spacing w:before="60" w:after="60" w:line="240" w:lineRule="auto"/>
              <w:ind w:left="-57" w:right="-57"/>
              <w:rPr>
                <w:rFonts w:eastAsia="Calibri"/>
                <w:bCs/>
                <w:sz w:val="20"/>
                <w:szCs w:val="20"/>
              </w:rPr>
            </w:pPr>
            <w:r w:rsidRPr="00A61195">
              <w:rPr>
                <w:sz w:val="20"/>
                <w:szCs w:val="20"/>
              </w:rPr>
              <w:t>200-028-5</w:t>
            </w:r>
          </w:p>
        </w:tc>
        <w:tc>
          <w:tcPr>
            <w:tcW w:w="387" w:type="pct"/>
          </w:tcPr>
          <w:p w14:paraId="4DF5CB60" w14:textId="77777777" w:rsidR="00647D0C" w:rsidRPr="00A61195" w:rsidRDefault="00647D0C" w:rsidP="009D20AB">
            <w:pPr>
              <w:spacing w:before="60" w:after="60" w:line="240" w:lineRule="auto"/>
              <w:ind w:left="-57" w:right="-57"/>
              <w:rPr>
                <w:rFonts w:eastAsia="Calibri"/>
                <w:bCs/>
                <w:sz w:val="20"/>
                <w:szCs w:val="20"/>
                <w:vertAlign w:val="superscript"/>
              </w:rPr>
            </w:pPr>
          </w:p>
        </w:tc>
        <w:tc>
          <w:tcPr>
            <w:tcW w:w="389" w:type="pct"/>
          </w:tcPr>
          <w:p w14:paraId="69880D3F" w14:textId="77777777" w:rsidR="00647D0C" w:rsidRPr="00A61195" w:rsidRDefault="00647D0C" w:rsidP="009D20AB">
            <w:pPr>
              <w:spacing w:before="60" w:after="60" w:line="240" w:lineRule="auto"/>
              <w:ind w:left="-57" w:right="-57"/>
              <w:rPr>
                <w:rFonts w:eastAsia="Calibri"/>
                <w:bCs/>
                <w:sz w:val="20"/>
                <w:szCs w:val="20"/>
              </w:rPr>
            </w:pPr>
          </w:p>
        </w:tc>
        <w:tc>
          <w:tcPr>
            <w:tcW w:w="392" w:type="pct"/>
          </w:tcPr>
          <w:p w14:paraId="23710EE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0,5</w:t>
            </w:r>
          </w:p>
        </w:tc>
        <w:tc>
          <w:tcPr>
            <w:tcW w:w="389" w:type="pct"/>
          </w:tcPr>
          <w:p w14:paraId="435514F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0,05</w:t>
            </w:r>
          </w:p>
        </w:tc>
        <w:tc>
          <w:tcPr>
            <w:tcW w:w="349" w:type="pct"/>
          </w:tcPr>
          <w:p w14:paraId="32126D9F" w14:textId="77777777" w:rsidR="00647D0C" w:rsidRPr="00A61195" w:rsidRDefault="00647D0C" w:rsidP="009D20AB">
            <w:pPr>
              <w:spacing w:before="60" w:after="60" w:line="240" w:lineRule="auto"/>
              <w:ind w:left="-57" w:right="-57"/>
              <w:rPr>
                <w:rFonts w:eastAsia="Calibri"/>
                <w:b/>
                <w:bCs/>
                <w:i/>
                <w:strike/>
                <w:sz w:val="20"/>
                <w:szCs w:val="20"/>
              </w:rPr>
            </w:pPr>
            <w:r w:rsidRPr="00A61195">
              <w:rPr>
                <w:sz w:val="20"/>
                <w:szCs w:val="20"/>
              </w:rPr>
              <w:t>0,6</w:t>
            </w:r>
          </w:p>
        </w:tc>
        <w:tc>
          <w:tcPr>
            <w:tcW w:w="393" w:type="pct"/>
          </w:tcPr>
          <w:p w14:paraId="08044C73" w14:textId="77777777" w:rsidR="00647D0C" w:rsidRPr="00A61195" w:rsidRDefault="00647D0C" w:rsidP="009D20AB">
            <w:pPr>
              <w:spacing w:before="60" w:after="60" w:line="240" w:lineRule="auto"/>
              <w:ind w:left="-57" w:right="-57"/>
              <w:rPr>
                <w:rFonts w:eastAsia="Calibri"/>
                <w:bCs/>
                <w:iCs/>
                <w:sz w:val="20"/>
                <w:szCs w:val="20"/>
              </w:rPr>
            </w:pPr>
          </w:p>
        </w:tc>
        <w:tc>
          <w:tcPr>
            <w:tcW w:w="360" w:type="pct"/>
            <w:gridSpan w:val="2"/>
          </w:tcPr>
          <w:p w14:paraId="27F58988" w14:textId="77777777" w:rsidR="00647D0C" w:rsidRPr="00A61195" w:rsidRDefault="00647D0C" w:rsidP="009D20AB">
            <w:pPr>
              <w:spacing w:before="60" w:after="60" w:line="240" w:lineRule="auto"/>
              <w:ind w:left="-57" w:right="-57"/>
              <w:rPr>
                <w:rFonts w:eastAsia="Calibri"/>
                <w:bCs/>
                <w:iCs/>
                <w:strike/>
                <w:sz w:val="20"/>
                <w:szCs w:val="20"/>
              </w:rPr>
            </w:pPr>
          </w:p>
        </w:tc>
        <w:tc>
          <w:tcPr>
            <w:tcW w:w="296" w:type="pct"/>
          </w:tcPr>
          <w:p w14:paraId="11A9F143" w14:textId="77777777" w:rsidR="00647D0C" w:rsidRPr="00A61195" w:rsidRDefault="00647D0C" w:rsidP="009D20AB">
            <w:pPr>
              <w:spacing w:before="60" w:after="60" w:line="240" w:lineRule="auto"/>
              <w:ind w:left="-57" w:right="-57"/>
              <w:rPr>
                <w:rFonts w:eastAsia="Calibri"/>
                <w:bCs/>
                <w:iCs/>
                <w:strike/>
                <w:sz w:val="20"/>
                <w:szCs w:val="20"/>
              </w:rPr>
            </w:pPr>
          </w:p>
        </w:tc>
      </w:tr>
      <w:tr w:rsidR="00647D0C" w:rsidRPr="00A61195" w14:paraId="61B77FDD" w14:textId="77777777" w:rsidTr="00647D0C">
        <w:tc>
          <w:tcPr>
            <w:tcW w:w="296" w:type="pct"/>
            <w:vMerge/>
            <w:tcBorders>
              <w:bottom w:val="nil"/>
            </w:tcBorders>
          </w:tcPr>
          <w:p w14:paraId="797B8734" w14:textId="77777777" w:rsidR="00647D0C" w:rsidRPr="00A61195" w:rsidRDefault="00647D0C" w:rsidP="009D20AB">
            <w:pPr>
              <w:spacing w:before="60" w:after="60" w:line="240" w:lineRule="auto"/>
              <w:ind w:left="-57" w:right="-57"/>
              <w:rPr>
                <w:rFonts w:eastAsia="Calibri"/>
                <w:sz w:val="20"/>
                <w:szCs w:val="20"/>
              </w:rPr>
            </w:pPr>
          </w:p>
        </w:tc>
        <w:tc>
          <w:tcPr>
            <w:tcW w:w="628" w:type="pct"/>
            <w:gridSpan w:val="3"/>
          </w:tcPr>
          <w:p w14:paraId="12FECC48"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Benzo</w:t>
            </w:r>
            <w:proofErr w:type="spellEnd"/>
            <w:r w:rsidRPr="00A61195">
              <w:rPr>
                <w:sz w:val="20"/>
                <w:szCs w:val="20"/>
              </w:rPr>
              <w:t>(b)</w:t>
            </w:r>
            <w:proofErr w:type="spellStart"/>
            <w:r w:rsidRPr="00A61195">
              <w:rPr>
                <w:sz w:val="20"/>
                <w:szCs w:val="20"/>
              </w:rPr>
              <w:t>fluoranten</w:t>
            </w:r>
            <w:proofErr w:type="spellEnd"/>
          </w:p>
        </w:tc>
        <w:tc>
          <w:tcPr>
            <w:tcW w:w="394" w:type="pct"/>
            <w:gridSpan w:val="2"/>
          </w:tcPr>
          <w:p w14:paraId="53EF9955" w14:textId="77777777" w:rsidR="00647D0C" w:rsidRPr="00A61195" w:rsidRDefault="00647D0C" w:rsidP="009D20AB">
            <w:pPr>
              <w:spacing w:before="60" w:after="60" w:line="240" w:lineRule="auto"/>
              <w:ind w:left="-57" w:right="-57"/>
              <w:rPr>
                <w:rFonts w:eastAsia="Calibri"/>
                <w:sz w:val="20"/>
                <w:szCs w:val="20"/>
              </w:rPr>
            </w:pPr>
          </w:p>
        </w:tc>
        <w:tc>
          <w:tcPr>
            <w:tcW w:w="339" w:type="pct"/>
          </w:tcPr>
          <w:p w14:paraId="29DA2E0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205-99-2</w:t>
            </w:r>
          </w:p>
        </w:tc>
        <w:tc>
          <w:tcPr>
            <w:tcW w:w="390" w:type="pct"/>
            <w:gridSpan w:val="2"/>
          </w:tcPr>
          <w:p w14:paraId="32251F82" w14:textId="77777777" w:rsidR="00647D0C" w:rsidRPr="00A61195" w:rsidDel="00BD2DD7" w:rsidRDefault="00647D0C" w:rsidP="009D20AB">
            <w:pPr>
              <w:spacing w:before="60" w:after="60" w:line="240" w:lineRule="auto"/>
              <w:ind w:left="-57" w:right="-57"/>
              <w:rPr>
                <w:rFonts w:eastAsia="Calibri"/>
                <w:iCs/>
                <w:sz w:val="20"/>
                <w:szCs w:val="20"/>
              </w:rPr>
            </w:pPr>
            <w:r w:rsidRPr="00A61195">
              <w:rPr>
                <w:sz w:val="20"/>
                <w:szCs w:val="20"/>
              </w:rPr>
              <w:t>205-911-9</w:t>
            </w:r>
          </w:p>
        </w:tc>
        <w:tc>
          <w:tcPr>
            <w:tcW w:w="387" w:type="pct"/>
          </w:tcPr>
          <w:p w14:paraId="55368AF4" w14:textId="77777777" w:rsidR="00647D0C" w:rsidRPr="00A61195" w:rsidRDefault="00647D0C" w:rsidP="009D20AB">
            <w:pPr>
              <w:spacing w:before="60" w:after="60" w:line="240" w:lineRule="auto"/>
              <w:ind w:left="-57" w:right="-57"/>
              <w:rPr>
                <w:rFonts w:eastAsia="Calibri"/>
                <w:b/>
                <w:i/>
                <w:sz w:val="20"/>
                <w:szCs w:val="20"/>
              </w:rPr>
            </w:pPr>
          </w:p>
        </w:tc>
        <w:tc>
          <w:tcPr>
            <w:tcW w:w="389" w:type="pct"/>
          </w:tcPr>
          <w:p w14:paraId="287D8C7B" w14:textId="77777777" w:rsidR="00647D0C" w:rsidRPr="00A61195" w:rsidRDefault="00647D0C" w:rsidP="009D20AB">
            <w:pPr>
              <w:spacing w:before="60" w:after="60" w:line="240" w:lineRule="auto"/>
              <w:ind w:left="-57" w:right="-57"/>
              <w:rPr>
                <w:rFonts w:eastAsia="Calibri"/>
                <w:b/>
                <w:i/>
                <w:sz w:val="20"/>
                <w:szCs w:val="20"/>
              </w:rPr>
            </w:pPr>
          </w:p>
        </w:tc>
        <w:tc>
          <w:tcPr>
            <w:tcW w:w="392" w:type="pct"/>
          </w:tcPr>
          <w:p w14:paraId="73831C5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0,017</w:t>
            </w:r>
          </w:p>
        </w:tc>
        <w:tc>
          <w:tcPr>
            <w:tcW w:w="389" w:type="pct"/>
          </w:tcPr>
          <w:p w14:paraId="07E3A87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0,017</w:t>
            </w:r>
          </w:p>
        </w:tc>
        <w:tc>
          <w:tcPr>
            <w:tcW w:w="349" w:type="pct"/>
          </w:tcPr>
          <w:p w14:paraId="43C21214" w14:textId="77777777" w:rsidR="00647D0C" w:rsidRPr="00A61195" w:rsidRDefault="00647D0C" w:rsidP="009D20AB">
            <w:pPr>
              <w:spacing w:before="60" w:after="60" w:line="240" w:lineRule="auto"/>
              <w:ind w:left="-57" w:right="-57"/>
              <w:rPr>
                <w:rFonts w:eastAsia="Calibri"/>
                <w:b/>
                <w:sz w:val="20"/>
                <w:szCs w:val="20"/>
              </w:rPr>
            </w:pPr>
            <w:r w:rsidRPr="00A61195">
              <w:rPr>
                <w:sz w:val="20"/>
                <w:szCs w:val="20"/>
              </w:rPr>
              <w:t>A se vedea nota de subsol 17</w:t>
            </w:r>
          </w:p>
        </w:tc>
        <w:tc>
          <w:tcPr>
            <w:tcW w:w="393" w:type="pct"/>
          </w:tcPr>
          <w:p w14:paraId="073C5BFE" w14:textId="77777777" w:rsidR="00647D0C" w:rsidRPr="00A61195" w:rsidRDefault="00647D0C" w:rsidP="009D20AB">
            <w:pPr>
              <w:spacing w:before="60" w:after="60" w:line="240" w:lineRule="auto"/>
              <w:ind w:left="-57" w:right="-57"/>
              <w:rPr>
                <w:rFonts w:eastAsia="Calibri"/>
                <w:iCs/>
                <w:sz w:val="20"/>
                <w:szCs w:val="20"/>
              </w:rPr>
            </w:pPr>
          </w:p>
        </w:tc>
        <w:tc>
          <w:tcPr>
            <w:tcW w:w="360" w:type="pct"/>
            <w:gridSpan w:val="2"/>
          </w:tcPr>
          <w:p w14:paraId="31A1C0C5" w14:textId="77777777" w:rsidR="00647D0C" w:rsidRPr="00A61195" w:rsidRDefault="00647D0C" w:rsidP="009D20AB">
            <w:pPr>
              <w:spacing w:before="60" w:after="60" w:line="240" w:lineRule="auto"/>
              <w:ind w:left="-57" w:right="-57"/>
              <w:rPr>
                <w:rFonts w:eastAsia="Calibri"/>
                <w:i/>
                <w:iCs/>
                <w:sz w:val="20"/>
                <w:szCs w:val="20"/>
              </w:rPr>
            </w:pPr>
          </w:p>
        </w:tc>
        <w:tc>
          <w:tcPr>
            <w:tcW w:w="296" w:type="pct"/>
          </w:tcPr>
          <w:p w14:paraId="256D0076" w14:textId="77777777" w:rsidR="00647D0C" w:rsidRPr="00A61195" w:rsidRDefault="00647D0C" w:rsidP="009D20AB">
            <w:pPr>
              <w:spacing w:before="60" w:after="60" w:line="240" w:lineRule="auto"/>
              <w:ind w:left="-57" w:right="-57"/>
              <w:rPr>
                <w:rFonts w:eastAsia="Calibri"/>
                <w:i/>
                <w:iCs/>
                <w:sz w:val="20"/>
                <w:szCs w:val="20"/>
              </w:rPr>
            </w:pPr>
          </w:p>
        </w:tc>
      </w:tr>
      <w:tr w:rsidR="00647D0C" w:rsidRPr="00A61195" w14:paraId="281AB225" w14:textId="77777777" w:rsidTr="00647D0C">
        <w:tc>
          <w:tcPr>
            <w:tcW w:w="296" w:type="pct"/>
            <w:vMerge/>
            <w:tcBorders>
              <w:bottom w:val="nil"/>
            </w:tcBorders>
          </w:tcPr>
          <w:p w14:paraId="57B128AF" w14:textId="77777777" w:rsidR="00647D0C" w:rsidRPr="00A61195" w:rsidRDefault="00647D0C" w:rsidP="009D20AB">
            <w:pPr>
              <w:spacing w:before="60" w:after="60" w:line="240" w:lineRule="auto"/>
              <w:ind w:left="-57" w:right="-57"/>
              <w:rPr>
                <w:rFonts w:eastAsia="Calibri"/>
                <w:sz w:val="20"/>
                <w:szCs w:val="20"/>
              </w:rPr>
            </w:pPr>
          </w:p>
        </w:tc>
        <w:tc>
          <w:tcPr>
            <w:tcW w:w="628" w:type="pct"/>
            <w:gridSpan w:val="3"/>
          </w:tcPr>
          <w:p w14:paraId="4272B4E4"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Benzo</w:t>
            </w:r>
            <w:proofErr w:type="spellEnd"/>
            <w:r w:rsidRPr="00A61195">
              <w:rPr>
                <w:sz w:val="20"/>
                <w:szCs w:val="20"/>
              </w:rPr>
              <w:t>(k)</w:t>
            </w:r>
            <w:proofErr w:type="spellStart"/>
            <w:r w:rsidRPr="00A61195">
              <w:rPr>
                <w:sz w:val="20"/>
                <w:szCs w:val="20"/>
              </w:rPr>
              <w:t>fluoranten</w:t>
            </w:r>
            <w:proofErr w:type="spellEnd"/>
          </w:p>
        </w:tc>
        <w:tc>
          <w:tcPr>
            <w:tcW w:w="394" w:type="pct"/>
            <w:gridSpan w:val="2"/>
          </w:tcPr>
          <w:p w14:paraId="45925735" w14:textId="77777777" w:rsidR="00647D0C" w:rsidRPr="00A61195" w:rsidRDefault="00647D0C" w:rsidP="009D20AB">
            <w:pPr>
              <w:spacing w:before="60" w:after="60" w:line="240" w:lineRule="auto"/>
              <w:ind w:left="-57" w:right="-57"/>
              <w:rPr>
                <w:rFonts w:eastAsia="Calibri"/>
                <w:sz w:val="20"/>
                <w:szCs w:val="20"/>
              </w:rPr>
            </w:pPr>
          </w:p>
        </w:tc>
        <w:tc>
          <w:tcPr>
            <w:tcW w:w="339" w:type="pct"/>
          </w:tcPr>
          <w:p w14:paraId="1A2877E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207-08-9</w:t>
            </w:r>
          </w:p>
        </w:tc>
        <w:tc>
          <w:tcPr>
            <w:tcW w:w="390" w:type="pct"/>
            <w:gridSpan w:val="2"/>
          </w:tcPr>
          <w:p w14:paraId="1D8D999D" w14:textId="77777777" w:rsidR="00647D0C" w:rsidRPr="00A61195" w:rsidDel="00BD2DD7" w:rsidRDefault="00647D0C" w:rsidP="009D20AB">
            <w:pPr>
              <w:spacing w:before="60" w:after="60" w:line="240" w:lineRule="auto"/>
              <w:ind w:left="-57" w:right="-57"/>
              <w:rPr>
                <w:rFonts w:eastAsia="Calibri"/>
                <w:iCs/>
                <w:sz w:val="20"/>
                <w:szCs w:val="20"/>
              </w:rPr>
            </w:pPr>
            <w:r w:rsidRPr="00A61195">
              <w:rPr>
                <w:sz w:val="20"/>
                <w:szCs w:val="20"/>
              </w:rPr>
              <w:t>205-916-6</w:t>
            </w:r>
          </w:p>
        </w:tc>
        <w:tc>
          <w:tcPr>
            <w:tcW w:w="387" w:type="pct"/>
          </w:tcPr>
          <w:p w14:paraId="5C4ADFB2" w14:textId="77777777" w:rsidR="00647D0C" w:rsidRPr="00A61195" w:rsidRDefault="00647D0C" w:rsidP="009D20AB">
            <w:pPr>
              <w:spacing w:before="60" w:after="60" w:line="240" w:lineRule="auto"/>
              <w:ind w:left="-57" w:right="-57"/>
              <w:rPr>
                <w:rFonts w:eastAsia="Calibri"/>
                <w:b/>
                <w:i/>
                <w:sz w:val="20"/>
                <w:szCs w:val="20"/>
              </w:rPr>
            </w:pPr>
          </w:p>
        </w:tc>
        <w:tc>
          <w:tcPr>
            <w:tcW w:w="389" w:type="pct"/>
          </w:tcPr>
          <w:p w14:paraId="3F748A54" w14:textId="77777777" w:rsidR="00647D0C" w:rsidRPr="00A61195" w:rsidRDefault="00647D0C" w:rsidP="009D20AB">
            <w:pPr>
              <w:spacing w:before="60" w:after="60" w:line="240" w:lineRule="auto"/>
              <w:ind w:left="-57" w:right="-57"/>
              <w:rPr>
                <w:rFonts w:eastAsia="Calibri"/>
                <w:b/>
                <w:i/>
                <w:sz w:val="20"/>
                <w:szCs w:val="20"/>
              </w:rPr>
            </w:pPr>
          </w:p>
        </w:tc>
        <w:tc>
          <w:tcPr>
            <w:tcW w:w="392" w:type="pct"/>
          </w:tcPr>
          <w:p w14:paraId="74EB8A1C"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0,017</w:t>
            </w:r>
          </w:p>
        </w:tc>
        <w:tc>
          <w:tcPr>
            <w:tcW w:w="389" w:type="pct"/>
          </w:tcPr>
          <w:p w14:paraId="0B1E4CF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0,017</w:t>
            </w:r>
          </w:p>
        </w:tc>
        <w:tc>
          <w:tcPr>
            <w:tcW w:w="349" w:type="pct"/>
          </w:tcPr>
          <w:p w14:paraId="247B255A" w14:textId="77777777" w:rsidR="00647D0C" w:rsidRPr="00A61195" w:rsidRDefault="00647D0C" w:rsidP="009D20AB">
            <w:pPr>
              <w:spacing w:before="60" w:after="60" w:line="240" w:lineRule="auto"/>
              <w:ind w:left="-57" w:right="-57"/>
              <w:rPr>
                <w:rFonts w:eastAsia="Calibri"/>
                <w:b/>
                <w:sz w:val="20"/>
                <w:szCs w:val="20"/>
              </w:rPr>
            </w:pPr>
            <w:r w:rsidRPr="00A61195">
              <w:rPr>
                <w:sz w:val="20"/>
                <w:szCs w:val="20"/>
              </w:rPr>
              <w:t>A se vedea nota de subsol 17</w:t>
            </w:r>
          </w:p>
        </w:tc>
        <w:tc>
          <w:tcPr>
            <w:tcW w:w="393" w:type="pct"/>
          </w:tcPr>
          <w:p w14:paraId="2354B913" w14:textId="77777777" w:rsidR="00647D0C" w:rsidRPr="00A61195" w:rsidRDefault="00647D0C" w:rsidP="009D20AB">
            <w:pPr>
              <w:spacing w:before="60" w:after="60" w:line="240" w:lineRule="auto"/>
              <w:ind w:left="-57" w:right="-57"/>
              <w:rPr>
                <w:rFonts w:eastAsia="Calibri"/>
                <w:iCs/>
                <w:sz w:val="20"/>
                <w:szCs w:val="20"/>
              </w:rPr>
            </w:pPr>
          </w:p>
        </w:tc>
        <w:tc>
          <w:tcPr>
            <w:tcW w:w="360" w:type="pct"/>
            <w:gridSpan w:val="2"/>
          </w:tcPr>
          <w:p w14:paraId="044CDD68" w14:textId="77777777" w:rsidR="00647D0C" w:rsidRPr="00A61195" w:rsidRDefault="00647D0C" w:rsidP="009D20AB">
            <w:pPr>
              <w:spacing w:before="60" w:after="60" w:line="240" w:lineRule="auto"/>
              <w:ind w:left="-57" w:right="-57"/>
              <w:rPr>
                <w:rFonts w:eastAsia="Calibri"/>
                <w:i/>
                <w:iCs/>
                <w:sz w:val="20"/>
                <w:szCs w:val="20"/>
              </w:rPr>
            </w:pPr>
          </w:p>
        </w:tc>
        <w:tc>
          <w:tcPr>
            <w:tcW w:w="296" w:type="pct"/>
          </w:tcPr>
          <w:p w14:paraId="13D6878C" w14:textId="77777777" w:rsidR="00647D0C" w:rsidRPr="00A61195" w:rsidRDefault="00647D0C" w:rsidP="009D20AB">
            <w:pPr>
              <w:spacing w:before="60" w:after="60" w:line="240" w:lineRule="auto"/>
              <w:ind w:left="-57" w:right="-57"/>
              <w:rPr>
                <w:rFonts w:eastAsia="Calibri"/>
                <w:i/>
                <w:iCs/>
                <w:sz w:val="20"/>
                <w:szCs w:val="20"/>
              </w:rPr>
            </w:pPr>
          </w:p>
        </w:tc>
      </w:tr>
      <w:tr w:rsidR="00647D0C" w:rsidRPr="00A61195" w14:paraId="34A01A7C" w14:textId="77777777" w:rsidTr="00647D0C">
        <w:tc>
          <w:tcPr>
            <w:tcW w:w="296" w:type="pct"/>
            <w:vMerge w:val="restart"/>
            <w:tcBorders>
              <w:top w:val="nil"/>
              <w:bottom w:val="nil"/>
            </w:tcBorders>
          </w:tcPr>
          <w:p w14:paraId="2330F655" w14:textId="77777777" w:rsidR="00647D0C" w:rsidRPr="00A61195" w:rsidRDefault="00647D0C" w:rsidP="009D20AB">
            <w:pPr>
              <w:pageBreakBefore/>
              <w:spacing w:before="60" w:after="60" w:line="240" w:lineRule="auto"/>
              <w:ind w:left="-57" w:right="-57"/>
              <w:rPr>
                <w:rFonts w:eastAsia="Calibri"/>
                <w:sz w:val="20"/>
                <w:szCs w:val="20"/>
              </w:rPr>
            </w:pPr>
          </w:p>
        </w:tc>
        <w:tc>
          <w:tcPr>
            <w:tcW w:w="628" w:type="pct"/>
            <w:gridSpan w:val="3"/>
          </w:tcPr>
          <w:p w14:paraId="2866D9E5"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Benzo</w:t>
            </w:r>
            <w:proofErr w:type="spellEnd"/>
            <w:r w:rsidRPr="00A61195">
              <w:rPr>
                <w:sz w:val="20"/>
                <w:szCs w:val="20"/>
              </w:rPr>
              <w:t>(</w:t>
            </w:r>
            <w:proofErr w:type="spellStart"/>
            <w:r w:rsidRPr="00A61195">
              <w:rPr>
                <w:sz w:val="20"/>
                <w:szCs w:val="20"/>
              </w:rPr>
              <w:t>g,h,i</w:t>
            </w:r>
            <w:proofErr w:type="spellEnd"/>
            <w:r w:rsidRPr="00A61195">
              <w:rPr>
                <w:sz w:val="20"/>
                <w:szCs w:val="20"/>
              </w:rPr>
              <w:t>)</w:t>
            </w:r>
            <w:proofErr w:type="spellStart"/>
            <w:r w:rsidRPr="00A61195">
              <w:rPr>
                <w:sz w:val="20"/>
                <w:szCs w:val="20"/>
              </w:rPr>
              <w:t>perilen</w:t>
            </w:r>
            <w:proofErr w:type="spellEnd"/>
          </w:p>
        </w:tc>
        <w:tc>
          <w:tcPr>
            <w:tcW w:w="394" w:type="pct"/>
            <w:gridSpan w:val="2"/>
          </w:tcPr>
          <w:p w14:paraId="0CC1F6D1" w14:textId="77777777" w:rsidR="00647D0C" w:rsidRPr="00A61195" w:rsidRDefault="00647D0C" w:rsidP="009D20AB">
            <w:pPr>
              <w:spacing w:before="60" w:after="60" w:line="240" w:lineRule="auto"/>
              <w:ind w:left="-57" w:right="-57"/>
              <w:rPr>
                <w:rFonts w:eastAsia="Calibri"/>
                <w:sz w:val="20"/>
                <w:szCs w:val="20"/>
              </w:rPr>
            </w:pPr>
          </w:p>
        </w:tc>
        <w:tc>
          <w:tcPr>
            <w:tcW w:w="339" w:type="pct"/>
          </w:tcPr>
          <w:p w14:paraId="0826747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191-24-2</w:t>
            </w:r>
          </w:p>
        </w:tc>
        <w:tc>
          <w:tcPr>
            <w:tcW w:w="390" w:type="pct"/>
            <w:gridSpan w:val="2"/>
          </w:tcPr>
          <w:p w14:paraId="464F9A9A" w14:textId="77777777" w:rsidR="00647D0C" w:rsidRPr="00A61195" w:rsidDel="00BD2DD7" w:rsidRDefault="00647D0C" w:rsidP="009D20AB">
            <w:pPr>
              <w:spacing w:before="60" w:after="60" w:line="240" w:lineRule="auto"/>
              <w:ind w:left="-57" w:right="-57"/>
              <w:rPr>
                <w:rFonts w:eastAsia="Calibri"/>
                <w:iCs/>
                <w:sz w:val="20"/>
                <w:szCs w:val="20"/>
              </w:rPr>
            </w:pPr>
            <w:r w:rsidRPr="00A61195">
              <w:rPr>
                <w:sz w:val="20"/>
                <w:szCs w:val="20"/>
              </w:rPr>
              <w:t>205-883-8</w:t>
            </w:r>
          </w:p>
        </w:tc>
        <w:tc>
          <w:tcPr>
            <w:tcW w:w="387" w:type="pct"/>
          </w:tcPr>
          <w:p w14:paraId="76EAF2D0" w14:textId="77777777" w:rsidR="00647D0C" w:rsidRPr="00A61195" w:rsidRDefault="00647D0C" w:rsidP="009D20AB">
            <w:pPr>
              <w:spacing w:before="60" w:after="60" w:line="240" w:lineRule="auto"/>
              <w:ind w:left="-57" w:right="-57"/>
              <w:rPr>
                <w:rFonts w:eastAsia="Calibri"/>
                <w:b/>
                <w:i/>
                <w:sz w:val="20"/>
                <w:szCs w:val="20"/>
              </w:rPr>
            </w:pPr>
          </w:p>
        </w:tc>
        <w:tc>
          <w:tcPr>
            <w:tcW w:w="389" w:type="pct"/>
          </w:tcPr>
          <w:p w14:paraId="2E7212D8" w14:textId="77777777" w:rsidR="00647D0C" w:rsidRPr="00A61195" w:rsidRDefault="00647D0C" w:rsidP="009D20AB">
            <w:pPr>
              <w:spacing w:before="60" w:after="60" w:line="240" w:lineRule="auto"/>
              <w:ind w:left="-57" w:right="-57"/>
              <w:rPr>
                <w:rFonts w:eastAsia="Calibri"/>
                <w:b/>
                <w:i/>
                <w:sz w:val="20"/>
                <w:szCs w:val="20"/>
              </w:rPr>
            </w:pPr>
          </w:p>
        </w:tc>
        <w:tc>
          <w:tcPr>
            <w:tcW w:w="392" w:type="pct"/>
          </w:tcPr>
          <w:p w14:paraId="6949B6EB" w14:textId="77777777" w:rsidR="00647D0C" w:rsidRPr="00A61195" w:rsidRDefault="00647D0C" w:rsidP="009D20AB">
            <w:pPr>
              <w:spacing w:before="60" w:after="60" w:line="240" w:lineRule="auto"/>
              <w:ind w:left="-57" w:right="-57"/>
              <w:rPr>
                <w:rFonts w:eastAsia="Calibri"/>
                <w:sz w:val="20"/>
                <w:szCs w:val="20"/>
                <w:vertAlign w:val="superscript"/>
              </w:rPr>
            </w:pPr>
            <w:r w:rsidRPr="00A61195">
              <w:rPr>
                <w:sz w:val="20"/>
                <w:szCs w:val="20"/>
              </w:rPr>
              <w:t>8,2 × 10</w:t>
            </w:r>
            <w:r w:rsidRPr="00A61195">
              <w:rPr>
                <w:sz w:val="20"/>
                <w:szCs w:val="20"/>
                <w:vertAlign w:val="superscript"/>
              </w:rPr>
              <w:t>-3</w:t>
            </w:r>
          </w:p>
        </w:tc>
        <w:tc>
          <w:tcPr>
            <w:tcW w:w="389" w:type="pct"/>
          </w:tcPr>
          <w:p w14:paraId="4BFB3607" w14:textId="77777777" w:rsidR="00647D0C" w:rsidRPr="00A61195" w:rsidRDefault="00647D0C" w:rsidP="009D20AB">
            <w:pPr>
              <w:spacing w:before="60" w:after="60" w:line="240" w:lineRule="auto"/>
              <w:ind w:left="-57" w:right="-57"/>
              <w:rPr>
                <w:rFonts w:eastAsia="Calibri"/>
                <w:sz w:val="20"/>
                <w:szCs w:val="20"/>
                <w:vertAlign w:val="superscript"/>
              </w:rPr>
            </w:pPr>
            <w:r w:rsidRPr="00A61195">
              <w:rPr>
                <w:sz w:val="20"/>
                <w:szCs w:val="20"/>
              </w:rPr>
              <w:t>8,2 × 10</w:t>
            </w:r>
            <w:r w:rsidRPr="00A61195">
              <w:rPr>
                <w:sz w:val="20"/>
                <w:szCs w:val="20"/>
                <w:vertAlign w:val="superscript"/>
              </w:rPr>
              <w:t>-4</w:t>
            </w:r>
          </w:p>
        </w:tc>
        <w:tc>
          <w:tcPr>
            <w:tcW w:w="349" w:type="pct"/>
          </w:tcPr>
          <w:p w14:paraId="7F549084" w14:textId="77777777" w:rsidR="00647D0C" w:rsidRPr="00A61195" w:rsidRDefault="00647D0C" w:rsidP="009D20AB">
            <w:pPr>
              <w:spacing w:before="60" w:after="60" w:line="240" w:lineRule="auto"/>
              <w:ind w:left="-57" w:right="-57"/>
              <w:rPr>
                <w:rFonts w:eastAsia="Calibri"/>
                <w:b/>
                <w:sz w:val="20"/>
                <w:szCs w:val="20"/>
              </w:rPr>
            </w:pPr>
            <w:r w:rsidRPr="00A61195">
              <w:rPr>
                <w:sz w:val="20"/>
                <w:szCs w:val="20"/>
              </w:rPr>
              <w:t>A se vedea nota de subsol 17</w:t>
            </w:r>
          </w:p>
        </w:tc>
        <w:tc>
          <w:tcPr>
            <w:tcW w:w="393" w:type="pct"/>
          </w:tcPr>
          <w:p w14:paraId="6A392052" w14:textId="77777777" w:rsidR="00647D0C" w:rsidRPr="00A61195" w:rsidRDefault="00647D0C" w:rsidP="009D20AB">
            <w:pPr>
              <w:spacing w:before="60" w:after="60" w:line="240" w:lineRule="auto"/>
              <w:ind w:left="-57" w:right="-57"/>
              <w:rPr>
                <w:rFonts w:eastAsia="Calibri"/>
                <w:iCs/>
                <w:sz w:val="20"/>
                <w:szCs w:val="20"/>
              </w:rPr>
            </w:pPr>
          </w:p>
        </w:tc>
        <w:tc>
          <w:tcPr>
            <w:tcW w:w="360" w:type="pct"/>
            <w:gridSpan w:val="2"/>
          </w:tcPr>
          <w:p w14:paraId="2C99DA1C" w14:textId="77777777" w:rsidR="00647D0C" w:rsidRPr="00A61195" w:rsidRDefault="00647D0C" w:rsidP="009D20AB">
            <w:pPr>
              <w:spacing w:before="60" w:after="60" w:line="240" w:lineRule="auto"/>
              <w:ind w:left="-57" w:right="-57"/>
              <w:rPr>
                <w:rFonts w:eastAsia="Calibri"/>
                <w:i/>
                <w:iCs/>
                <w:sz w:val="20"/>
                <w:szCs w:val="20"/>
              </w:rPr>
            </w:pPr>
          </w:p>
        </w:tc>
        <w:tc>
          <w:tcPr>
            <w:tcW w:w="296" w:type="pct"/>
          </w:tcPr>
          <w:p w14:paraId="2551225D" w14:textId="77777777" w:rsidR="00647D0C" w:rsidRPr="00A61195" w:rsidRDefault="00647D0C" w:rsidP="009D20AB">
            <w:pPr>
              <w:spacing w:before="60" w:after="60" w:line="240" w:lineRule="auto"/>
              <w:ind w:left="-57" w:right="-57"/>
              <w:rPr>
                <w:rFonts w:eastAsia="Calibri"/>
                <w:i/>
                <w:iCs/>
                <w:sz w:val="20"/>
                <w:szCs w:val="20"/>
              </w:rPr>
            </w:pPr>
          </w:p>
        </w:tc>
      </w:tr>
      <w:tr w:rsidR="00647D0C" w:rsidRPr="00A61195" w14:paraId="3CCC8360" w14:textId="77777777" w:rsidTr="00647D0C">
        <w:tc>
          <w:tcPr>
            <w:tcW w:w="296" w:type="pct"/>
            <w:vMerge/>
            <w:tcBorders>
              <w:bottom w:val="nil"/>
            </w:tcBorders>
          </w:tcPr>
          <w:p w14:paraId="7D24D292" w14:textId="77777777" w:rsidR="00647D0C" w:rsidRPr="00A61195" w:rsidRDefault="00647D0C" w:rsidP="009D20AB">
            <w:pPr>
              <w:spacing w:before="60" w:after="60" w:line="240" w:lineRule="auto"/>
              <w:ind w:left="-57" w:right="-57"/>
              <w:rPr>
                <w:rFonts w:eastAsia="Calibri"/>
                <w:sz w:val="20"/>
                <w:szCs w:val="20"/>
              </w:rPr>
            </w:pPr>
          </w:p>
        </w:tc>
        <w:tc>
          <w:tcPr>
            <w:tcW w:w="628" w:type="pct"/>
            <w:gridSpan w:val="3"/>
          </w:tcPr>
          <w:p w14:paraId="08AF2ED7"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Indeno</w:t>
            </w:r>
            <w:proofErr w:type="spellEnd"/>
            <w:r w:rsidRPr="00A61195">
              <w:rPr>
                <w:sz w:val="20"/>
                <w:szCs w:val="20"/>
              </w:rPr>
              <w:t>[1,2,3-cd]</w:t>
            </w:r>
            <w:proofErr w:type="spellStart"/>
            <w:r w:rsidRPr="00A61195">
              <w:rPr>
                <w:sz w:val="20"/>
                <w:szCs w:val="20"/>
              </w:rPr>
              <w:t>piren</w:t>
            </w:r>
            <w:proofErr w:type="spellEnd"/>
          </w:p>
        </w:tc>
        <w:tc>
          <w:tcPr>
            <w:tcW w:w="394" w:type="pct"/>
            <w:gridSpan w:val="2"/>
          </w:tcPr>
          <w:p w14:paraId="43A4B510" w14:textId="77777777" w:rsidR="00647D0C" w:rsidRPr="00A61195" w:rsidRDefault="00647D0C" w:rsidP="009D20AB">
            <w:pPr>
              <w:spacing w:before="60" w:after="60" w:line="240" w:lineRule="auto"/>
              <w:ind w:left="-57" w:right="-57"/>
              <w:rPr>
                <w:rFonts w:eastAsia="Calibri"/>
                <w:sz w:val="20"/>
                <w:szCs w:val="20"/>
              </w:rPr>
            </w:pPr>
          </w:p>
        </w:tc>
        <w:tc>
          <w:tcPr>
            <w:tcW w:w="339" w:type="pct"/>
          </w:tcPr>
          <w:p w14:paraId="20C3012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193-39-5</w:t>
            </w:r>
          </w:p>
        </w:tc>
        <w:tc>
          <w:tcPr>
            <w:tcW w:w="390" w:type="pct"/>
            <w:gridSpan w:val="2"/>
          </w:tcPr>
          <w:p w14:paraId="7410F76F" w14:textId="77777777" w:rsidR="00647D0C" w:rsidRPr="00A61195" w:rsidDel="00BD2DD7" w:rsidRDefault="00647D0C" w:rsidP="009D20AB">
            <w:pPr>
              <w:spacing w:before="60" w:after="60" w:line="240" w:lineRule="auto"/>
              <w:ind w:left="-57" w:right="-57"/>
              <w:rPr>
                <w:rFonts w:eastAsia="Calibri"/>
                <w:iCs/>
                <w:sz w:val="20"/>
                <w:szCs w:val="20"/>
              </w:rPr>
            </w:pPr>
            <w:r w:rsidRPr="00A61195">
              <w:rPr>
                <w:sz w:val="20"/>
                <w:szCs w:val="20"/>
              </w:rPr>
              <w:t>205-893-2</w:t>
            </w:r>
          </w:p>
        </w:tc>
        <w:tc>
          <w:tcPr>
            <w:tcW w:w="387" w:type="pct"/>
          </w:tcPr>
          <w:p w14:paraId="49F1403B" w14:textId="77777777" w:rsidR="00647D0C" w:rsidRPr="00A61195" w:rsidRDefault="00647D0C" w:rsidP="009D20AB">
            <w:pPr>
              <w:spacing w:before="60" w:after="60" w:line="240" w:lineRule="auto"/>
              <w:ind w:left="-57" w:right="-57"/>
              <w:rPr>
                <w:rFonts w:eastAsia="Calibri"/>
                <w:b/>
                <w:i/>
                <w:sz w:val="20"/>
                <w:szCs w:val="20"/>
              </w:rPr>
            </w:pPr>
          </w:p>
        </w:tc>
        <w:tc>
          <w:tcPr>
            <w:tcW w:w="389" w:type="pct"/>
          </w:tcPr>
          <w:p w14:paraId="4739E848" w14:textId="77777777" w:rsidR="00647D0C" w:rsidRPr="00A61195" w:rsidRDefault="00647D0C" w:rsidP="009D20AB">
            <w:pPr>
              <w:spacing w:before="60" w:after="60" w:line="240" w:lineRule="auto"/>
              <w:ind w:left="-57" w:right="-57"/>
              <w:rPr>
                <w:rFonts w:eastAsia="Calibri"/>
                <w:b/>
                <w:i/>
                <w:sz w:val="20"/>
                <w:szCs w:val="20"/>
              </w:rPr>
            </w:pPr>
          </w:p>
        </w:tc>
        <w:tc>
          <w:tcPr>
            <w:tcW w:w="392" w:type="pct"/>
          </w:tcPr>
          <w:p w14:paraId="1390EBA0" w14:textId="77777777" w:rsidR="00647D0C" w:rsidRPr="00A61195" w:rsidRDefault="00647D0C" w:rsidP="009D20AB">
            <w:pPr>
              <w:spacing w:before="60" w:after="60" w:line="240" w:lineRule="auto"/>
              <w:ind w:left="-57" w:right="-57"/>
              <w:rPr>
                <w:rFonts w:eastAsia="Calibri"/>
                <w:b/>
                <w:i/>
                <w:sz w:val="20"/>
                <w:szCs w:val="20"/>
              </w:rPr>
            </w:pPr>
            <w:r w:rsidRPr="00A61195">
              <w:rPr>
                <w:sz w:val="20"/>
                <w:szCs w:val="20"/>
              </w:rPr>
              <w:t>Nu se aplică</w:t>
            </w:r>
          </w:p>
        </w:tc>
        <w:tc>
          <w:tcPr>
            <w:tcW w:w="389" w:type="pct"/>
          </w:tcPr>
          <w:p w14:paraId="39AC07F5" w14:textId="77777777" w:rsidR="00647D0C" w:rsidRPr="00A61195" w:rsidRDefault="00647D0C" w:rsidP="009D20AB">
            <w:pPr>
              <w:spacing w:before="60" w:after="60" w:line="240" w:lineRule="auto"/>
              <w:ind w:left="-57" w:right="-57"/>
              <w:rPr>
                <w:rFonts w:eastAsia="Calibri"/>
                <w:b/>
                <w:i/>
                <w:sz w:val="20"/>
                <w:szCs w:val="20"/>
              </w:rPr>
            </w:pPr>
            <w:r w:rsidRPr="00A61195">
              <w:rPr>
                <w:sz w:val="20"/>
                <w:szCs w:val="20"/>
              </w:rPr>
              <w:t>Nu se aplică</w:t>
            </w:r>
          </w:p>
        </w:tc>
        <w:tc>
          <w:tcPr>
            <w:tcW w:w="349" w:type="pct"/>
          </w:tcPr>
          <w:p w14:paraId="17BA09A3" w14:textId="77777777" w:rsidR="00647D0C" w:rsidRPr="00A61195" w:rsidRDefault="00647D0C" w:rsidP="009D20AB">
            <w:pPr>
              <w:spacing w:before="60" w:after="60" w:line="240" w:lineRule="auto"/>
              <w:ind w:left="-57" w:right="-57"/>
              <w:rPr>
                <w:rFonts w:eastAsia="Calibri"/>
                <w:b/>
                <w:sz w:val="20"/>
                <w:szCs w:val="20"/>
              </w:rPr>
            </w:pPr>
            <w:r w:rsidRPr="00A61195">
              <w:rPr>
                <w:sz w:val="20"/>
                <w:szCs w:val="20"/>
              </w:rPr>
              <w:t>A se vedea nota de subsol 17</w:t>
            </w:r>
          </w:p>
        </w:tc>
        <w:tc>
          <w:tcPr>
            <w:tcW w:w="393" w:type="pct"/>
          </w:tcPr>
          <w:p w14:paraId="57107E91" w14:textId="77777777" w:rsidR="00647D0C" w:rsidRPr="00A61195" w:rsidRDefault="00647D0C" w:rsidP="009D20AB">
            <w:pPr>
              <w:spacing w:before="60" w:after="60" w:line="240" w:lineRule="auto"/>
              <w:ind w:left="-57" w:right="-57"/>
              <w:rPr>
                <w:rFonts w:eastAsia="Calibri"/>
                <w:iCs/>
                <w:sz w:val="20"/>
                <w:szCs w:val="20"/>
              </w:rPr>
            </w:pPr>
          </w:p>
        </w:tc>
        <w:tc>
          <w:tcPr>
            <w:tcW w:w="360" w:type="pct"/>
            <w:gridSpan w:val="2"/>
          </w:tcPr>
          <w:p w14:paraId="2ED45E0A" w14:textId="77777777" w:rsidR="00647D0C" w:rsidRPr="00A61195" w:rsidRDefault="00647D0C" w:rsidP="009D20AB">
            <w:pPr>
              <w:spacing w:before="60" w:after="60" w:line="240" w:lineRule="auto"/>
              <w:ind w:left="-57" w:right="-57"/>
              <w:rPr>
                <w:rFonts w:eastAsia="Calibri"/>
                <w:i/>
                <w:iCs/>
                <w:sz w:val="20"/>
                <w:szCs w:val="20"/>
              </w:rPr>
            </w:pPr>
          </w:p>
        </w:tc>
        <w:tc>
          <w:tcPr>
            <w:tcW w:w="296" w:type="pct"/>
          </w:tcPr>
          <w:p w14:paraId="2428658C" w14:textId="77777777" w:rsidR="00647D0C" w:rsidRPr="00A61195" w:rsidRDefault="00647D0C" w:rsidP="009D20AB">
            <w:pPr>
              <w:spacing w:before="60" w:after="60" w:line="240" w:lineRule="auto"/>
              <w:ind w:left="-57" w:right="-57"/>
              <w:rPr>
                <w:rFonts w:eastAsia="Calibri"/>
                <w:i/>
                <w:iCs/>
                <w:sz w:val="20"/>
                <w:szCs w:val="20"/>
              </w:rPr>
            </w:pPr>
          </w:p>
        </w:tc>
      </w:tr>
      <w:tr w:rsidR="00647D0C" w:rsidRPr="00A61195" w14:paraId="4B004C2A" w14:textId="77777777" w:rsidTr="00647D0C">
        <w:tc>
          <w:tcPr>
            <w:tcW w:w="296" w:type="pct"/>
            <w:vMerge/>
            <w:tcBorders>
              <w:bottom w:val="nil"/>
            </w:tcBorders>
          </w:tcPr>
          <w:p w14:paraId="0CD8D9B6" w14:textId="77777777" w:rsidR="00647D0C" w:rsidRPr="00A61195" w:rsidRDefault="00647D0C" w:rsidP="009D20AB">
            <w:pPr>
              <w:spacing w:before="60" w:after="60" w:line="240" w:lineRule="auto"/>
              <w:ind w:left="-57" w:right="-57"/>
              <w:rPr>
                <w:rFonts w:eastAsia="Calibri"/>
                <w:sz w:val="20"/>
                <w:szCs w:val="20"/>
              </w:rPr>
            </w:pPr>
          </w:p>
        </w:tc>
        <w:tc>
          <w:tcPr>
            <w:tcW w:w="628" w:type="pct"/>
            <w:gridSpan w:val="3"/>
          </w:tcPr>
          <w:p w14:paraId="7624DACE" w14:textId="77777777" w:rsidR="00647D0C" w:rsidRPr="00A61195" w:rsidRDefault="00647D0C" w:rsidP="009D20AB">
            <w:pPr>
              <w:pageBreakBefore/>
              <w:spacing w:before="60" w:after="60" w:line="240" w:lineRule="auto"/>
              <w:ind w:left="-57" w:right="-57"/>
              <w:rPr>
                <w:rFonts w:eastAsia="Calibri"/>
                <w:sz w:val="20"/>
                <w:szCs w:val="20"/>
              </w:rPr>
            </w:pPr>
            <w:proofErr w:type="spellStart"/>
            <w:r w:rsidRPr="00A61195">
              <w:rPr>
                <w:sz w:val="20"/>
                <w:szCs w:val="20"/>
              </w:rPr>
              <w:t>Crisen</w:t>
            </w:r>
            <w:proofErr w:type="spellEnd"/>
          </w:p>
        </w:tc>
        <w:tc>
          <w:tcPr>
            <w:tcW w:w="394" w:type="pct"/>
            <w:gridSpan w:val="2"/>
          </w:tcPr>
          <w:p w14:paraId="7EEAF9CF" w14:textId="77777777" w:rsidR="00647D0C" w:rsidRPr="00A61195" w:rsidRDefault="00647D0C" w:rsidP="009D20AB">
            <w:pPr>
              <w:spacing w:before="60" w:after="60" w:line="240" w:lineRule="auto"/>
              <w:ind w:left="-57" w:right="-57"/>
              <w:rPr>
                <w:rFonts w:eastAsia="Calibri"/>
                <w:sz w:val="20"/>
                <w:szCs w:val="20"/>
              </w:rPr>
            </w:pPr>
          </w:p>
        </w:tc>
        <w:tc>
          <w:tcPr>
            <w:tcW w:w="339" w:type="pct"/>
          </w:tcPr>
          <w:p w14:paraId="177E667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218-01-9</w:t>
            </w:r>
          </w:p>
        </w:tc>
        <w:tc>
          <w:tcPr>
            <w:tcW w:w="390" w:type="pct"/>
            <w:gridSpan w:val="2"/>
          </w:tcPr>
          <w:p w14:paraId="672DF590" w14:textId="77777777" w:rsidR="00647D0C" w:rsidRPr="00A61195" w:rsidRDefault="00647D0C" w:rsidP="009D20AB">
            <w:pPr>
              <w:spacing w:before="60" w:after="60" w:line="240" w:lineRule="auto"/>
              <w:ind w:left="-57" w:right="-57"/>
              <w:rPr>
                <w:rFonts w:eastAsia="Calibri"/>
                <w:iCs/>
                <w:sz w:val="20"/>
                <w:szCs w:val="20"/>
              </w:rPr>
            </w:pPr>
            <w:r w:rsidRPr="00A61195">
              <w:rPr>
                <w:sz w:val="20"/>
                <w:szCs w:val="20"/>
              </w:rPr>
              <w:t>205-923-4</w:t>
            </w:r>
          </w:p>
        </w:tc>
        <w:tc>
          <w:tcPr>
            <w:tcW w:w="387" w:type="pct"/>
          </w:tcPr>
          <w:p w14:paraId="69328BB2" w14:textId="77777777" w:rsidR="00647D0C" w:rsidRPr="00A61195" w:rsidRDefault="00647D0C" w:rsidP="009D20AB">
            <w:pPr>
              <w:spacing w:before="60" w:after="60" w:line="240" w:lineRule="auto"/>
              <w:ind w:left="-57" w:right="-57"/>
              <w:rPr>
                <w:rFonts w:eastAsia="Calibri"/>
                <w:i/>
                <w:iCs/>
                <w:sz w:val="20"/>
                <w:szCs w:val="20"/>
              </w:rPr>
            </w:pPr>
          </w:p>
        </w:tc>
        <w:tc>
          <w:tcPr>
            <w:tcW w:w="389" w:type="pct"/>
          </w:tcPr>
          <w:p w14:paraId="53262B91" w14:textId="77777777" w:rsidR="00647D0C" w:rsidRPr="00A61195" w:rsidRDefault="00647D0C" w:rsidP="009D20AB">
            <w:pPr>
              <w:spacing w:before="60" w:after="60" w:line="240" w:lineRule="auto"/>
              <w:ind w:left="-57" w:right="-57"/>
              <w:rPr>
                <w:rFonts w:eastAsia="Calibri"/>
                <w:i/>
                <w:iCs/>
                <w:sz w:val="20"/>
                <w:szCs w:val="20"/>
              </w:rPr>
            </w:pPr>
          </w:p>
        </w:tc>
        <w:tc>
          <w:tcPr>
            <w:tcW w:w="392" w:type="pct"/>
          </w:tcPr>
          <w:p w14:paraId="7A6235D6" w14:textId="77777777" w:rsidR="00647D0C" w:rsidRPr="00A61195" w:rsidRDefault="00647D0C" w:rsidP="009D20AB">
            <w:pPr>
              <w:spacing w:before="60" w:after="60" w:line="240" w:lineRule="auto"/>
              <w:ind w:left="-57" w:right="-57"/>
              <w:rPr>
                <w:rFonts w:eastAsia="Calibri"/>
                <w:iCs/>
                <w:sz w:val="20"/>
                <w:szCs w:val="20"/>
              </w:rPr>
            </w:pPr>
            <w:r w:rsidRPr="00A61195">
              <w:rPr>
                <w:sz w:val="20"/>
                <w:szCs w:val="20"/>
              </w:rPr>
              <w:t>0,07</w:t>
            </w:r>
          </w:p>
        </w:tc>
        <w:tc>
          <w:tcPr>
            <w:tcW w:w="389" w:type="pct"/>
          </w:tcPr>
          <w:p w14:paraId="24B83C9E" w14:textId="77777777" w:rsidR="00647D0C" w:rsidRPr="00A61195" w:rsidRDefault="00647D0C" w:rsidP="009D20AB">
            <w:pPr>
              <w:spacing w:before="60" w:after="60" w:line="240" w:lineRule="auto"/>
              <w:ind w:left="-57" w:right="-57"/>
              <w:rPr>
                <w:rFonts w:eastAsia="Calibri"/>
                <w:iCs/>
                <w:sz w:val="20"/>
                <w:szCs w:val="20"/>
              </w:rPr>
            </w:pPr>
            <w:r w:rsidRPr="00A61195">
              <w:rPr>
                <w:sz w:val="20"/>
                <w:szCs w:val="20"/>
              </w:rPr>
              <w:t>0,007</w:t>
            </w:r>
          </w:p>
        </w:tc>
        <w:tc>
          <w:tcPr>
            <w:tcW w:w="349" w:type="pct"/>
          </w:tcPr>
          <w:p w14:paraId="4AFA4633" w14:textId="77777777" w:rsidR="00647D0C" w:rsidRPr="00A61195" w:rsidRDefault="00647D0C" w:rsidP="009D20AB">
            <w:pPr>
              <w:spacing w:before="60" w:after="60" w:line="240" w:lineRule="auto"/>
              <w:ind w:left="-57" w:right="-57"/>
              <w:rPr>
                <w:rFonts w:eastAsia="Calibri"/>
                <w:iCs/>
                <w:sz w:val="20"/>
                <w:szCs w:val="20"/>
              </w:rPr>
            </w:pPr>
            <w:r w:rsidRPr="00A61195">
              <w:rPr>
                <w:sz w:val="20"/>
                <w:szCs w:val="20"/>
              </w:rPr>
              <w:t>A se vedea nota de subsol 17</w:t>
            </w:r>
          </w:p>
        </w:tc>
        <w:tc>
          <w:tcPr>
            <w:tcW w:w="393" w:type="pct"/>
          </w:tcPr>
          <w:p w14:paraId="7E63F355" w14:textId="77777777" w:rsidR="00647D0C" w:rsidRPr="00A61195" w:rsidRDefault="00647D0C" w:rsidP="009D20AB">
            <w:pPr>
              <w:spacing w:before="60" w:after="60" w:line="240" w:lineRule="auto"/>
              <w:ind w:left="-57" w:right="-57"/>
              <w:rPr>
                <w:rFonts w:eastAsia="Calibri"/>
                <w:i/>
                <w:iCs/>
                <w:sz w:val="20"/>
                <w:szCs w:val="20"/>
              </w:rPr>
            </w:pPr>
          </w:p>
        </w:tc>
        <w:tc>
          <w:tcPr>
            <w:tcW w:w="360" w:type="pct"/>
            <w:gridSpan w:val="2"/>
          </w:tcPr>
          <w:p w14:paraId="5B7AF7CB" w14:textId="77777777" w:rsidR="00647D0C" w:rsidRPr="00A61195" w:rsidRDefault="00647D0C" w:rsidP="009D20AB">
            <w:pPr>
              <w:spacing w:before="60" w:after="60" w:line="240" w:lineRule="auto"/>
              <w:ind w:left="-57" w:right="-57"/>
              <w:rPr>
                <w:rFonts w:eastAsia="Calibri"/>
                <w:i/>
                <w:iCs/>
                <w:sz w:val="20"/>
                <w:szCs w:val="20"/>
              </w:rPr>
            </w:pPr>
          </w:p>
        </w:tc>
        <w:tc>
          <w:tcPr>
            <w:tcW w:w="296" w:type="pct"/>
          </w:tcPr>
          <w:p w14:paraId="17810097" w14:textId="77777777" w:rsidR="00647D0C" w:rsidRPr="00A61195" w:rsidRDefault="00647D0C" w:rsidP="009D20AB">
            <w:pPr>
              <w:spacing w:before="60" w:after="60" w:line="240" w:lineRule="auto"/>
              <w:ind w:left="-57" w:right="-57"/>
              <w:rPr>
                <w:rFonts w:eastAsia="Calibri"/>
                <w:i/>
                <w:iCs/>
                <w:sz w:val="20"/>
                <w:szCs w:val="20"/>
              </w:rPr>
            </w:pPr>
          </w:p>
        </w:tc>
      </w:tr>
      <w:tr w:rsidR="00647D0C" w:rsidRPr="00A61195" w14:paraId="0C637CA0" w14:textId="77777777" w:rsidTr="00647D0C">
        <w:tc>
          <w:tcPr>
            <w:tcW w:w="296" w:type="pct"/>
            <w:vMerge w:val="restart"/>
            <w:tcBorders>
              <w:top w:val="nil"/>
            </w:tcBorders>
          </w:tcPr>
          <w:p w14:paraId="6576C0A5" w14:textId="77777777" w:rsidR="00647D0C" w:rsidRPr="00A61195" w:rsidRDefault="00647D0C" w:rsidP="009D20AB">
            <w:pPr>
              <w:pageBreakBefore/>
              <w:spacing w:before="60" w:after="60" w:line="240" w:lineRule="auto"/>
              <w:ind w:left="-57" w:right="-57"/>
              <w:rPr>
                <w:rFonts w:eastAsia="Calibri"/>
                <w:sz w:val="20"/>
                <w:szCs w:val="20"/>
              </w:rPr>
            </w:pPr>
          </w:p>
        </w:tc>
        <w:tc>
          <w:tcPr>
            <w:tcW w:w="628" w:type="pct"/>
            <w:gridSpan w:val="3"/>
          </w:tcPr>
          <w:p w14:paraId="17C96E88"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Benzo</w:t>
            </w:r>
            <w:proofErr w:type="spellEnd"/>
            <w:r w:rsidRPr="00A61195">
              <w:rPr>
                <w:sz w:val="20"/>
                <w:szCs w:val="20"/>
              </w:rPr>
              <w:t>(a)antracen</w:t>
            </w:r>
          </w:p>
        </w:tc>
        <w:tc>
          <w:tcPr>
            <w:tcW w:w="394" w:type="pct"/>
            <w:gridSpan w:val="2"/>
            <w:vMerge w:val="restart"/>
          </w:tcPr>
          <w:p w14:paraId="25A22329" w14:textId="77777777" w:rsidR="00647D0C" w:rsidRPr="00A61195" w:rsidRDefault="00647D0C" w:rsidP="009D20AB">
            <w:pPr>
              <w:spacing w:before="60" w:after="60" w:line="240" w:lineRule="auto"/>
              <w:ind w:left="-57" w:right="-57"/>
              <w:rPr>
                <w:rFonts w:eastAsia="Calibri"/>
                <w:sz w:val="20"/>
                <w:szCs w:val="20"/>
              </w:rPr>
            </w:pPr>
          </w:p>
        </w:tc>
        <w:tc>
          <w:tcPr>
            <w:tcW w:w="339" w:type="pct"/>
          </w:tcPr>
          <w:p w14:paraId="582BA7D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56-55-3</w:t>
            </w:r>
          </w:p>
        </w:tc>
        <w:tc>
          <w:tcPr>
            <w:tcW w:w="390" w:type="pct"/>
            <w:gridSpan w:val="2"/>
          </w:tcPr>
          <w:p w14:paraId="1DD3F6E5" w14:textId="77777777" w:rsidR="00647D0C" w:rsidRPr="00A61195" w:rsidRDefault="00647D0C" w:rsidP="009D20AB">
            <w:pPr>
              <w:spacing w:before="60" w:after="60" w:line="240" w:lineRule="auto"/>
              <w:ind w:left="-57" w:right="-57"/>
              <w:rPr>
                <w:rFonts w:eastAsia="Calibri"/>
                <w:iCs/>
                <w:sz w:val="20"/>
                <w:szCs w:val="20"/>
              </w:rPr>
            </w:pPr>
            <w:r w:rsidRPr="00A61195">
              <w:rPr>
                <w:sz w:val="20"/>
                <w:szCs w:val="20"/>
              </w:rPr>
              <w:t>200-280-6</w:t>
            </w:r>
          </w:p>
        </w:tc>
        <w:tc>
          <w:tcPr>
            <w:tcW w:w="387" w:type="pct"/>
          </w:tcPr>
          <w:p w14:paraId="67B383B5" w14:textId="77777777" w:rsidR="00647D0C" w:rsidRPr="00A61195" w:rsidRDefault="00647D0C" w:rsidP="009D20AB">
            <w:pPr>
              <w:spacing w:before="60" w:after="60" w:line="240" w:lineRule="auto"/>
              <w:ind w:left="-57" w:right="-57"/>
              <w:rPr>
                <w:rFonts w:eastAsia="Calibri"/>
                <w:i/>
                <w:iCs/>
                <w:sz w:val="20"/>
                <w:szCs w:val="20"/>
              </w:rPr>
            </w:pPr>
          </w:p>
        </w:tc>
        <w:tc>
          <w:tcPr>
            <w:tcW w:w="389" w:type="pct"/>
          </w:tcPr>
          <w:p w14:paraId="6CD0B2C2" w14:textId="77777777" w:rsidR="00647D0C" w:rsidRPr="00A61195" w:rsidRDefault="00647D0C" w:rsidP="009D20AB">
            <w:pPr>
              <w:spacing w:before="60" w:after="60" w:line="240" w:lineRule="auto"/>
              <w:ind w:left="-57" w:right="-57"/>
              <w:rPr>
                <w:rFonts w:eastAsia="Calibri"/>
                <w:i/>
                <w:iCs/>
                <w:sz w:val="20"/>
                <w:szCs w:val="20"/>
              </w:rPr>
            </w:pPr>
          </w:p>
        </w:tc>
        <w:tc>
          <w:tcPr>
            <w:tcW w:w="392" w:type="pct"/>
          </w:tcPr>
          <w:p w14:paraId="1D66ADEC" w14:textId="77777777" w:rsidR="00647D0C" w:rsidRPr="00A61195" w:rsidRDefault="00647D0C" w:rsidP="009D20AB">
            <w:pPr>
              <w:spacing w:before="60" w:after="60" w:line="240" w:lineRule="auto"/>
              <w:ind w:left="-57" w:right="-57"/>
              <w:rPr>
                <w:rFonts w:eastAsia="Calibri"/>
                <w:iCs/>
                <w:sz w:val="20"/>
                <w:szCs w:val="20"/>
              </w:rPr>
            </w:pPr>
            <w:r w:rsidRPr="00A61195">
              <w:rPr>
                <w:sz w:val="20"/>
                <w:szCs w:val="20"/>
              </w:rPr>
              <w:t>0,1</w:t>
            </w:r>
          </w:p>
        </w:tc>
        <w:tc>
          <w:tcPr>
            <w:tcW w:w="389" w:type="pct"/>
          </w:tcPr>
          <w:p w14:paraId="072AEA83" w14:textId="77777777" w:rsidR="00647D0C" w:rsidRPr="00A61195" w:rsidRDefault="00647D0C" w:rsidP="009D20AB">
            <w:pPr>
              <w:spacing w:before="60" w:after="60" w:line="240" w:lineRule="auto"/>
              <w:ind w:left="-57" w:right="-57"/>
              <w:rPr>
                <w:rFonts w:eastAsia="Calibri"/>
                <w:iCs/>
                <w:sz w:val="20"/>
                <w:szCs w:val="20"/>
              </w:rPr>
            </w:pPr>
            <w:r w:rsidRPr="00A61195">
              <w:rPr>
                <w:sz w:val="20"/>
                <w:szCs w:val="20"/>
              </w:rPr>
              <w:t>0,01</w:t>
            </w:r>
          </w:p>
        </w:tc>
        <w:tc>
          <w:tcPr>
            <w:tcW w:w="349" w:type="pct"/>
          </w:tcPr>
          <w:p w14:paraId="14736AC6" w14:textId="77777777" w:rsidR="00647D0C" w:rsidRPr="00A61195" w:rsidRDefault="00647D0C" w:rsidP="009D20AB">
            <w:pPr>
              <w:spacing w:before="60" w:after="60" w:line="240" w:lineRule="auto"/>
              <w:ind w:left="-57" w:right="-57"/>
              <w:rPr>
                <w:rFonts w:eastAsia="Calibri"/>
                <w:iCs/>
                <w:sz w:val="20"/>
                <w:szCs w:val="20"/>
              </w:rPr>
            </w:pPr>
            <w:r w:rsidRPr="00A61195">
              <w:rPr>
                <w:sz w:val="20"/>
                <w:szCs w:val="20"/>
              </w:rPr>
              <w:t>A se vedea nota de subsol 17</w:t>
            </w:r>
          </w:p>
        </w:tc>
        <w:tc>
          <w:tcPr>
            <w:tcW w:w="393" w:type="pct"/>
          </w:tcPr>
          <w:p w14:paraId="2AD3F6D6" w14:textId="77777777" w:rsidR="00647D0C" w:rsidRPr="00A61195" w:rsidRDefault="00647D0C" w:rsidP="009D20AB">
            <w:pPr>
              <w:spacing w:before="60" w:after="60" w:line="240" w:lineRule="auto"/>
              <w:ind w:left="-57" w:right="-57"/>
              <w:rPr>
                <w:rFonts w:eastAsia="Calibri"/>
                <w:i/>
                <w:iCs/>
                <w:sz w:val="20"/>
                <w:szCs w:val="20"/>
              </w:rPr>
            </w:pPr>
          </w:p>
        </w:tc>
        <w:tc>
          <w:tcPr>
            <w:tcW w:w="360" w:type="pct"/>
            <w:gridSpan w:val="2"/>
          </w:tcPr>
          <w:p w14:paraId="20B13F78" w14:textId="77777777" w:rsidR="00647D0C" w:rsidRPr="00A61195" w:rsidRDefault="00647D0C" w:rsidP="009D20AB">
            <w:pPr>
              <w:spacing w:before="60" w:after="60" w:line="240" w:lineRule="auto"/>
              <w:ind w:left="-57" w:right="-57"/>
              <w:rPr>
                <w:rFonts w:eastAsia="Calibri"/>
                <w:i/>
                <w:iCs/>
                <w:sz w:val="20"/>
                <w:szCs w:val="20"/>
              </w:rPr>
            </w:pPr>
          </w:p>
        </w:tc>
        <w:tc>
          <w:tcPr>
            <w:tcW w:w="296" w:type="pct"/>
          </w:tcPr>
          <w:p w14:paraId="4ADC9C42" w14:textId="77777777" w:rsidR="00647D0C" w:rsidRPr="00A61195" w:rsidRDefault="00647D0C" w:rsidP="009D20AB">
            <w:pPr>
              <w:spacing w:before="60" w:after="60" w:line="240" w:lineRule="auto"/>
              <w:ind w:left="-57" w:right="-57"/>
              <w:rPr>
                <w:rFonts w:eastAsia="Calibri"/>
                <w:i/>
                <w:iCs/>
                <w:sz w:val="20"/>
                <w:szCs w:val="20"/>
              </w:rPr>
            </w:pPr>
          </w:p>
        </w:tc>
      </w:tr>
      <w:tr w:rsidR="00647D0C" w:rsidRPr="00A61195" w14:paraId="7E9EA213" w14:textId="77777777" w:rsidTr="00647D0C">
        <w:tc>
          <w:tcPr>
            <w:tcW w:w="296" w:type="pct"/>
            <w:vMerge/>
          </w:tcPr>
          <w:p w14:paraId="5FB0C823" w14:textId="77777777" w:rsidR="00647D0C" w:rsidRPr="00A61195" w:rsidRDefault="00647D0C" w:rsidP="009D20AB">
            <w:pPr>
              <w:spacing w:before="60" w:after="60" w:line="240" w:lineRule="auto"/>
              <w:ind w:left="-57" w:right="-57"/>
              <w:rPr>
                <w:rFonts w:eastAsia="Calibri"/>
                <w:sz w:val="20"/>
                <w:szCs w:val="20"/>
              </w:rPr>
            </w:pPr>
          </w:p>
        </w:tc>
        <w:tc>
          <w:tcPr>
            <w:tcW w:w="628" w:type="pct"/>
            <w:gridSpan w:val="3"/>
          </w:tcPr>
          <w:p w14:paraId="1BFAC188"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Dibenz</w:t>
            </w:r>
            <w:proofErr w:type="spellEnd"/>
            <w:r w:rsidRPr="00A61195">
              <w:rPr>
                <w:sz w:val="20"/>
                <w:szCs w:val="20"/>
              </w:rPr>
              <w:t>[</w:t>
            </w:r>
            <w:proofErr w:type="spellStart"/>
            <w:r w:rsidRPr="00A61195">
              <w:rPr>
                <w:sz w:val="20"/>
                <w:szCs w:val="20"/>
              </w:rPr>
              <w:t>a,h</w:t>
            </w:r>
            <w:proofErr w:type="spellEnd"/>
            <w:r w:rsidRPr="00A61195">
              <w:rPr>
                <w:sz w:val="20"/>
                <w:szCs w:val="20"/>
              </w:rPr>
              <w:t>]antracen</w:t>
            </w:r>
          </w:p>
        </w:tc>
        <w:tc>
          <w:tcPr>
            <w:tcW w:w="394" w:type="pct"/>
            <w:gridSpan w:val="2"/>
            <w:vMerge/>
          </w:tcPr>
          <w:p w14:paraId="7DDF3793" w14:textId="77777777" w:rsidR="00647D0C" w:rsidRPr="00A61195" w:rsidRDefault="00647D0C" w:rsidP="009D20AB">
            <w:pPr>
              <w:spacing w:before="60" w:after="60" w:line="240" w:lineRule="auto"/>
              <w:ind w:left="-57" w:right="-57"/>
              <w:rPr>
                <w:rFonts w:eastAsia="Calibri"/>
                <w:sz w:val="20"/>
                <w:szCs w:val="20"/>
              </w:rPr>
            </w:pPr>
          </w:p>
        </w:tc>
        <w:tc>
          <w:tcPr>
            <w:tcW w:w="339" w:type="pct"/>
          </w:tcPr>
          <w:p w14:paraId="7763F2F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53-70-3</w:t>
            </w:r>
          </w:p>
        </w:tc>
        <w:tc>
          <w:tcPr>
            <w:tcW w:w="390" w:type="pct"/>
            <w:gridSpan w:val="2"/>
          </w:tcPr>
          <w:p w14:paraId="506C0129" w14:textId="77777777" w:rsidR="00647D0C" w:rsidRPr="00A61195" w:rsidRDefault="00647D0C" w:rsidP="009D20AB">
            <w:pPr>
              <w:spacing w:before="60" w:after="60" w:line="240" w:lineRule="auto"/>
              <w:ind w:left="-57" w:right="-57"/>
              <w:rPr>
                <w:rFonts w:eastAsia="Calibri"/>
                <w:iCs/>
                <w:sz w:val="20"/>
                <w:szCs w:val="20"/>
              </w:rPr>
            </w:pPr>
            <w:r w:rsidRPr="00A61195">
              <w:rPr>
                <w:sz w:val="20"/>
                <w:szCs w:val="20"/>
              </w:rPr>
              <w:t>200-181-8</w:t>
            </w:r>
          </w:p>
        </w:tc>
        <w:tc>
          <w:tcPr>
            <w:tcW w:w="387" w:type="pct"/>
          </w:tcPr>
          <w:p w14:paraId="5A75543D" w14:textId="77777777" w:rsidR="00647D0C" w:rsidRPr="00A61195" w:rsidRDefault="00647D0C" w:rsidP="009D20AB">
            <w:pPr>
              <w:spacing w:before="60" w:after="60" w:line="240" w:lineRule="auto"/>
              <w:ind w:left="-57" w:right="-57"/>
              <w:rPr>
                <w:rFonts w:eastAsia="Calibri"/>
                <w:i/>
                <w:iCs/>
                <w:sz w:val="20"/>
                <w:szCs w:val="20"/>
              </w:rPr>
            </w:pPr>
          </w:p>
        </w:tc>
        <w:tc>
          <w:tcPr>
            <w:tcW w:w="389" w:type="pct"/>
          </w:tcPr>
          <w:p w14:paraId="622D99E6" w14:textId="77777777" w:rsidR="00647D0C" w:rsidRPr="00A61195" w:rsidRDefault="00647D0C" w:rsidP="009D20AB">
            <w:pPr>
              <w:spacing w:before="60" w:after="60" w:line="240" w:lineRule="auto"/>
              <w:ind w:left="-57" w:right="-57"/>
              <w:rPr>
                <w:rFonts w:eastAsia="Calibri"/>
                <w:i/>
                <w:iCs/>
                <w:sz w:val="20"/>
                <w:szCs w:val="20"/>
              </w:rPr>
            </w:pPr>
          </w:p>
        </w:tc>
        <w:tc>
          <w:tcPr>
            <w:tcW w:w="392" w:type="pct"/>
          </w:tcPr>
          <w:p w14:paraId="0A76026C" w14:textId="77777777" w:rsidR="00647D0C" w:rsidRPr="00A61195" w:rsidRDefault="00647D0C" w:rsidP="009D20AB">
            <w:pPr>
              <w:spacing w:before="60" w:after="60" w:line="240" w:lineRule="auto"/>
              <w:ind w:left="-57" w:right="-57"/>
              <w:rPr>
                <w:rFonts w:eastAsia="Calibri"/>
                <w:iCs/>
                <w:sz w:val="20"/>
                <w:szCs w:val="20"/>
              </w:rPr>
            </w:pPr>
            <w:r w:rsidRPr="00A61195">
              <w:rPr>
                <w:sz w:val="20"/>
                <w:szCs w:val="20"/>
              </w:rPr>
              <w:t>0,014</w:t>
            </w:r>
          </w:p>
        </w:tc>
        <w:tc>
          <w:tcPr>
            <w:tcW w:w="389" w:type="pct"/>
          </w:tcPr>
          <w:p w14:paraId="6C4791FE" w14:textId="77777777" w:rsidR="00647D0C" w:rsidRPr="00A61195" w:rsidRDefault="00647D0C" w:rsidP="009D20AB">
            <w:pPr>
              <w:spacing w:before="60" w:after="60" w:line="240" w:lineRule="auto"/>
              <w:ind w:left="-57" w:right="-57"/>
              <w:rPr>
                <w:rFonts w:eastAsia="Calibri"/>
                <w:iCs/>
                <w:sz w:val="20"/>
                <w:szCs w:val="20"/>
              </w:rPr>
            </w:pPr>
            <w:r w:rsidRPr="00A61195">
              <w:rPr>
                <w:sz w:val="20"/>
                <w:szCs w:val="20"/>
              </w:rPr>
              <w:t>0,0014</w:t>
            </w:r>
          </w:p>
        </w:tc>
        <w:tc>
          <w:tcPr>
            <w:tcW w:w="349" w:type="pct"/>
          </w:tcPr>
          <w:p w14:paraId="10B8B649" w14:textId="77777777" w:rsidR="00647D0C" w:rsidRPr="00A61195" w:rsidRDefault="00647D0C" w:rsidP="009D20AB">
            <w:pPr>
              <w:spacing w:before="60" w:after="60" w:line="240" w:lineRule="auto"/>
              <w:ind w:left="-57" w:right="-57"/>
              <w:rPr>
                <w:rFonts w:eastAsia="Calibri"/>
                <w:iCs/>
                <w:sz w:val="20"/>
                <w:szCs w:val="20"/>
              </w:rPr>
            </w:pPr>
            <w:r w:rsidRPr="00A61195">
              <w:rPr>
                <w:sz w:val="20"/>
                <w:szCs w:val="20"/>
              </w:rPr>
              <w:t>A se vedea nota de subsol 17</w:t>
            </w:r>
          </w:p>
        </w:tc>
        <w:tc>
          <w:tcPr>
            <w:tcW w:w="393" w:type="pct"/>
          </w:tcPr>
          <w:p w14:paraId="1935CF7C" w14:textId="77777777" w:rsidR="00647D0C" w:rsidRPr="00A61195" w:rsidRDefault="00647D0C" w:rsidP="009D20AB">
            <w:pPr>
              <w:spacing w:before="60" w:after="60" w:line="240" w:lineRule="auto"/>
              <w:ind w:left="-57" w:right="-57"/>
              <w:rPr>
                <w:rFonts w:eastAsia="Calibri"/>
                <w:i/>
                <w:iCs/>
                <w:sz w:val="20"/>
                <w:szCs w:val="20"/>
              </w:rPr>
            </w:pPr>
          </w:p>
        </w:tc>
        <w:tc>
          <w:tcPr>
            <w:tcW w:w="360" w:type="pct"/>
            <w:gridSpan w:val="2"/>
          </w:tcPr>
          <w:p w14:paraId="40658E08" w14:textId="77777777" w:rsidR="00647D0C" w:rsidRPr="00A61195" w:rsidRDefault="00647D0C" w:rsidP="009D20AB">
            <w:pPr>
              <w:spacing w:before="60" w:after="60" w:line="240" w:lineRule="auto"/>
              <w:ind w:left="-57" w:right="-57"/>
              <w:rPr>
                <w:rFonts w:eastAsia="Calibri"/>
                <w:i/>
                <w:iCs/>
                <w:sz w:val="20"/>
                <w:szCs w:val="20"/>
              </w:rPr>
            </w:pPr>
          </w:p>
        </w:tc>
        <w:tc>
          <w:tcPr>
            <w:tcW w:w="296" w:type="pct"/>
          </w:tcPr>
          <w:p w14:paraId="13069569" w14:textId="77777777" w:rsidR="00647D0C" w:rsidRPr="00A61195" w:rsidRDefault="00647D0C" w:rsidP="009D20AB">
            <w:pPr>
              <w:spacing w:before="60" w:after="60" w:line="240" w:lineRule="auto"/>
              <w:ind w:left="-57" w:right="-57"/>
              <w:rPr>
                <w:rFonts w:eastAsia="Calibri"/>
                <w:i/>
                <w:iCs/>
                <w:sz w:val="20"/>
                <w:szCs w:val="20"/>
              </w:rPr>
            </w:pPr>
          </w:p>
        </w:tc>
      </w:tr>
      <w:tr w:rsidR="00647D0C" w:rsidRPr="00A61195" w14:paraId="659FFCCD" w14:textId="77777777" w:rsidTr="00647D0C">
        <w:tc>
          <w:tcPr>
            <w:tcW w:w="296" w:type="pct"/>
            <w:vMerge/>
          </w:tcPr>
          <w:p w14:paraId="26BCB74D" w14:textId="77777777" w:rsidR="00647D0C" w:rsidRPr="00A61195" w:rsidRDefault="00647D0C" w:rsidP="009D20AB">
            <w:pPr>
              <w:spacing w:before="60" w:after="60" w:line="240" w:lineRule="auto"/>
              <w:ind w:left="-57" w:right="-57"/>
              <w:rPr>
                <w:rFonts w:eastAsia="Calibri"/>
                <w:sz w:val="20"/>
                <w:szCs w:val="20"/>
              </w:rPr>
            </w:pPr>
          </w:p>
        </w:tc>
        <w:tc>
          <w:tcPr>
            <w:tcW w:w="628" w:type="pct"/>
            <w:gridSpan w:val="3"/>
          </w:tcPr>
          <w:p w14:paraId="30D0DD50" w14:textId="77777777" w:rsidR="00647D0C" w:rsidRPr="00A61195" w:rsidRDefault="00647D0C" w:rsidP="009D20AB">
            <w:pPr>
              <w:spacing w:before="60" w:after="60" w:line="240" w:lineRule="auto"/>
              <w:ind w:left="-57" w:right="-57"/>
              <w:rPr>
                <w:rFonts w:eastAsia="Calibri"/>
                <w:bCs/>
                <w:sz w:val="20"/>
                <w:szCs w:val="20"/>
              </w:rPr>
            </w:pPr>
            <w:proofErr w:type="spellStart"/>
            <w:r w:rsidRPr="00A61195">
              <w:rPr>
                <w:sz w:val="20"/>
                <w:szCs w:val="20"/>
              </w:rPr>
              <w:t>Fluoranten</w:t>
            </w:r>
            <w:proofErr w:type="spellEnd"/>
          </w:p>
        </w:tc>
        <w:tc>
          <w:tcPr>
            <w:tcW w:w="394" w:type="pct"/>
            <w:gridSpan w:val="2"/>
          </w:tcPr>
          <w:p w14:paraId="57C725D2" w14:textId="77777777" w:rsidR="00647D0C" w:rsidRPr="00A61195" w:rsidRDefault="00647D0C" w:rsidP="009D20AB">
            <w:pPr>
              <w:spacing w:before="60" w:after="60" w:line="240" w:lineRule="auto"/>
              <w:ind w:left="-57" w:right="-57"/>
              <w:rPr>
                <w:rFonts w:eastAsia="Calibri"/>
                <w:bCs/>
                <w:sz w:val="20"/>
                <w:szCs w:val="20"/>
              </w:rPr>
            </w:pPr>
          </w:p>
        </w:tc>
        <w:tc>
          <w:tcPr>
            <w:tcW w:w="339" w:type="pct"/>
          </w:tcPr>
          <w:p w14:paraId="0E02C860" w14:textId="77777777" w:rsidR="00647D0C" w:rsidRPr="00A61195" w:rsidRDefault="00647D0C" w:rsidP="009D20AB">
            <w:pPr>
              <w:spacing w:before="60" w:after="60" w:line="240" w:lineRule="auto"/>
              <w:ind w:left="-57" w:right="-57"/>
              <w:rPr>
                <w:rFonts w:eastAsia="Calibri"/>
                <w:bCs/>
                <w:sz w:val="20"/>
                <w:szCs w:val="20"/>
              </w:rPr>
            </w:pPr>
            <w:r w:rsidRPr="00A61195">
              <w:rPr>
                <w:sz w:val="20"/>
                <w:szCs w:val="20"/>
              </w:rPr>
              <w:t>206-44-0</w:t>
            </w:r>
          </w:p>
        </w:tc>
        <w:tc>
          <w:tcPr>
            <w:tcW w:w="390" w:type="pct"/>
            <w:gridSpan w:val="2"/>
          </w:tcPr>
          <w:p w14:paraId="1BCDD19C" w14:textId="77777777" w:rsidR="00647D0C" w:rsidRPr="00A61195" w:rsidRDefault="00647D0C" w:rsidP="009D20AB">
            <w:pPr>
              <w:spacing w:before="60" w:after="60" w:line="240" w:lineRule="auto"/>
              <w:ind w:left="-57" w:right="-57"/>
              <w:rPr>
                <w:rFonts w:eastAsia="Calibri"/>
                <w:bCs/>
                <w:iCs/>
                <w:sz w:val="20"/>
                <w:szCs w:val="20"/>
              </w:rPr>
            </w:pPr>
            <w:r w:rsidRPr="00A61195">
              <w:rPr>
                <w:sz w:val="20"/>
                <w:szCs w:val="20"/>
              </w:rPr>
              <w:t>205-912-4</w:t>
            </w:r>
          </w:p>
        </w:tc>
        <w:tc>
          <w:tcPr>
            <w:tcW w:w="387" w:type="pct"/>
          </w:tcPr>
          <w:p w14:paraId="41EF1321" w14:textId="77777777" w:rsidR="00647D0C" w:rsidRPr="00A61195" w:rsidRDefault="00647D0C" w:rsidP="009D20AB">
            <w:pPr>
              <w:spacing w:before="60" w:after="60" w:line="240" w:lineRule="auto"/>
              <w:ind w:left="-57" w:right="-57"/>
              <w:rPr>
                <w:rFonts w:eastAsia="Calibri"/>
                <w:bCs/>
                <w:iCs/>
                <w:sz w:val="20"/>
                <w:szCs w:val="20"/>
              </w:rPr>
            </w:pPr>
          </w:p>
        </w:tc>
        <w:tc>
          <w:tcPr>
            <w:tcW w:w="389" w:type="pct"/>
          </w:tcPr>
          <w:p w14:paraId="0BBDC171" w14:textId="77777777" w:rsidR="00647D0C" w:rsidRPr="00A61195" w:rsidRDefault="00647D0C" w:rsidP="009D20AB">
            <w:pPr>
              <w:spacing w:before="60" w:after="60" w:line="240" w:lineRule="auto"/>
              <w:ind w:left="-57" w:right="-57"/>
              <w:rPr>
                <w:rFonts w:eastAsia="Calibri"/>
                <w:bCs/>
                <w:iCs/>
                <w:sz w:val="20"/>
                <w:szCs w:val="20"/>
              </w:rPr>
            </w:pPr>
          </w:p>
        </w:tc>
        <w:tc>
          <w:tcPr>
            <w:tcW w:w="392" w:type="pct"/>
          </w:tcPr>
          <w:p w14:paraId="09B2C779" w14:textId="77777777" w:rsidR="00647D0C" w:rsidRPr="00A61195" w:rsidRDefault="00647D0C" w:rsidP="009D20AB">
            <w:pPr>
              <w:spacing w:before="60" w:after="60" w:line="240" w:lineRule="auto"/>
              <w:ind w:left="-57" w:right="-57"/>
              <w:rPr>
                <w:rFonts w:eastAsia="Calibri"/>
                <w:bCs/>
                <w:iCs/>
                <w:sz w:val="20"/>
                <w:szCs w:val="20"/>
              </w:rPr>
            </w:pPr>
            <w:r w:rsidRPr="00A61195">
              <w:rPr>
                <w:sz w:val="20"/>
                <w:szCs w:val="20"/>
              </w:rPr>
              <w:t>0,12</w:t>
            </w:r>
          </w:p>
        </w:tc>
        <w:tc>
          <w:tcPr>
            <w:tcW w:w="389" w:type="pct"/>
          </w:tcPr>
          <w:p w14:paraId="2A9B2202" w14:textId="77777777" w:rsidR="00647D0C" w:rsidRPr="00A61195" w:rsidRDefault="00647D0C" w:rsidP="009D20AB">
            <w:pPr>
              <w:spacing w:before="60" w:after="60" w:line="240" w:lineRule="auto"/>
              <w:ind w:left="-57" w:right="-57"/>
              <w:rPr>
                <w:rFonts w:eastAsia="Calibri"/>
                <w:bCs/>
                <w:iCs/>
                <w:sz w:val="20"/>
                <w:szCs w:val="20"/>
              </w:rPr>
            </w:pPr>
            <w:r w:rsidRPr="00A61195">
              <w:rPr>
                <w:sz w:val="20"/>
                <w:szCs w:val="20"/>
              </w:rPr>
              <w:t>0,012</w:t>
            </w:r>
          </w:p>
        </w:tc>
        <w:tc>
          <w:tcPr>
            <w:tcW w:w="349" w:type="pct"/>
          </w:tcPr>
          <w:p w14:paraId="1C747148" w14:textId="77777777" w:rsidR="00647D0C" w:rsidRPr="00A61195" w:rsidRDefault="00647D0C" w:rsidP="009D20AB">
            <w:pPr>
              <w:spacing w:before="60" w:after="60" w:line="240" w:lineRule="auto"/>
              <w:ind w:left="-57" w:right="-57"/>
              <w:rPr>
                <w:rFonts w:eastAsia="Calibri"/>
                <w:bCs/>
                <w:iCs/>
                <w:sz w:val="20"/>
                <w:szCs w:val="20"/>
              </w:rPr>
            </w:pPr>
            <w:r w:rsidRPr="00A61195">
              <w:rPr>
                <w:sz w:val="20"/>
                <w:szCs w:val="20"/>
              </w:rPr>
              <w:t>A se vedea nota de subsol 17</w:t>
            </w:r>
          </w:p>
        </w:tc>
        <w:tc>
          <w:tcPr>
            <w:tcW w:w="393" w:type="pct"/>
          </w:tcPr>
          <w:p w14:paraId="3A2AA6BB" w14:textId="77777777" w:rsidR="00647D0C" w:rsidRPr="00A61195" w:rsidRDefault="00647D0C" w:rsidP="009D20AB">
            <w:pPr>
              <w:spacing w:before="60" w:after="60" w:line="240" w:lineRule="auto"/>
              <w:ind w:left="-57" w:right="-57"/>
              <w:rPr>
                <w:rFonts w:eastAsia="Calibri"/>
                <w:i/>
                <w:iCs/>
                <w:sz w:val="20"/>
                <w:szCs w:val="20"/>
              </w:rPr>
            </w:pPr>
          </w:p>
        </w:tc>
        <w:tc>
          <w:tcPr>
            <w:tcW w:w="360" w:type="pct"/>
            <w:gridSpan w:val="2"/>
          </w:tcPr>
          <w:p w14:paraId="114B2A08" w14:textId="77777777" w:rsidR="00647D0C" w:rsidRPr="00A61195" w:rsidRDefault="00647D0C" w:rsidP="009D20AB">
            <w:pPr>
              <w:spacing w:before="60" w:after="60" w:line="240" w:lineRule="auto"/>
              <w:ind w:left="-57" w:right="-57"/>
              <w:rPr>
                <w:rFonts w:eastAsia="Calibri"/>
                <w:i/>
                <w:iCs/>
                <w:sz w:val="20"/>
                <w:szCs w:val="20"/>
              </w:rPr>
            </w:pPr>
          </w:p>
        </w:tc>
        <w:tc>
          <w:tcPr>
            <w:tcW w:w="296" w:type="pct"/>
          </w:tcPr>
          <w:p w14:paraId="0B981D12" w14:textId="77777777" w:rsidR="00647D0C" w:rsidRPr="00A61195" w:rsidRDefault="00647D0C" w:rsidP="009D20AB">
            <w:pPr>
              <w:spacing w:before="60" w:after="60" w:line="240" w:lineRule="auto"/>
              <w:ind w:left="-57" w:right="-57"/>
              <w:rPr>
                <w:rFonts w:eastAsia="Calibri"/>
                <w:i/>
                <w:iCs/>
                <w:sz w:val="20"/>
                <w:szCs w:val="20"/>
              </w:rPr>
            </w:pPr>
          </w:p>
        </w:tc>
      </w:tr>
      <w:tr w:rsidR="00647D0C" w:rsidRPr="00A61195" w14:paraId="542DABFD" w14:textId="77777777" w:rsidTr="009D20AB">
        <w:tc>
          <w:tcPr>
            <w:tcW w:w="296" w:type="pct"/>
          </w:tcPr>
          <w:p w14:paraId="45B22654" w14:textId="4F1753F9"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29.</w:t>
            </w:r>
          </w:p>
        </w:tc>
        <w:tc>
          <w:tcPr>
            <w:tcW w:w="4704" w:type="pct"/>
            <w:gridSpan w:val="17"/>
          </w:tcPr>
          <w:p w14:paraId="5E7546E5" w14:textId="4CFD69DF"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Substanța </w:t>
            </w:r>
            <w:proofErr w:type="spellStart"/>
            <w:r w:rsidRPr="00A61195">
              <w:rPr>
                <w:sz w:val="20"/>
                <w:szCs w:val="20"/>
              </w:rPr>
              <w:t>Simazin</w:t>
            </w:r>
            <w:proofErr w:type="spellEnd"/>
            <w:r w:rsidRPr="00A61195">
              <w:rPr>
                <w:sz w:val="20"/>
                <w:szCs w:val="20"/>
              </w:rPr>
              <w:t xml:space="preserve"> a fost mutată în anexa II partea C.</w:t>
            </w:r>
          </w:p>
        </w:tc>
      </w:tr>
      <w:tr w:rsidR="00647D0C" w:rsidRPr="00A61195" w14:paraId="54FB166A" w14:textId="77777777" w:rsidTr="00647D0C">
        <w:tc>
          <w:tcPr>
            <w:tcW w:w="296" w:type="pct"/>
          </w:tcPr>
          <w:p w14:paraId="772BD8DB" w14:textId="3BAA29AF" w:rsidR="00647D0C" w:rsidRPr="00A61195" w:rsidRDefault="00647D0C" w:rsidP="009D20AB">
            <w:pPr>
              <w:spacing w:before="60" w:after="60" w:line="240" w:lineRule="auto"/>
              <w:ind w:left="-57" w:right="-57"/>
              <w:rPr>
                <w:rFonts w:eastAsia="Calibri"/>
                <w:sz w:val="20"/>
                <w:szCs w:val="20"/>
              </w:rPr>
            </w:pPr>
            <w:r w:rsidRPr="00A61195">
              <w:rPr>
                <w:sz w:val="20"/>
                <w:szCs w:val="20"/>
              </w:rPr>
              <w:t>29a.</w:t>
            </w:r>
          </w:p>
        </w:tc>
        <w:tc>
          <w:tcPr>
            <w:tcW w:w="628" w:type="pct"/>
            <w:gridSpan w:val="3"/>
          </w:tcPr>
          <w:p w14:paraId="682B427E" w14:textId="0A0DF498" w:rsidR="00647D0C" w:rsidRPr="00A61195" w:rsidRDefault="00647D0C" w:rsidP="009D20AB">
            <w:pPr>
              <w:spacing w:before="60" w:after="60" w:line="240" w:lineRule="auto"/>
              <w:ind w:left="-57" w:right="-57"/>
              <w:rPr>
                <w:rFonts w:eastAsia="Calibri"/>
                <w:sz w:val="20"/>
                <w:szCs w:val="20"/>
                <w:vertAlign w:val="superscript"/>
              </w:rPr>
            </w:pPr>
            <w:proofErr w:type="spellStart"/>
            <w:r w:rsidRPr="00A61195">
              <w:rPr>
                <w:sz w:val="20"/>
                <w:szCs w:val="20"/>
              </w:rPr>
              <w:t>Tetracloretilenă</w:t>
            </w:r>
            <w:proofErr w:type="spellEnd"/>
          </w:p>
        </w:tc>
        <w:tc>
          <w:tcPr>
            <w:tcW w:w="394" w:type="pct"/>
            <w:gridSpan w:val="2"/>
          </w:tcPr>
          <w:p w14:paraId="5EA2BC3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Substanțe industriale</w:t>
            </w:r>
          </w:p>
        </w:tc>
        <w:tc>
          <w:tcPr>
            <w:tcW w:w="339" w:type="pct"/>
          </w:tcPr>
          <w:p w14:paraId="241B0E5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127-18-4</w:t>
            </w:r>
          </w:p>
        </w:tc>
        <w:tc>
          <w:tcPr>
            <w:tcW w:w="390" w:type="pct"/>
            <w:gridSpan w:val="2"/>
          </w:tcPr>
          <w:p w14:paraId="3D01748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204-825-9</w:t>
            </w:r>
          </w:p>
        </w:tc>
        <w:tc>
          <w:tcPr>
            <w:tcW w:w="387" w:type="pct"/>
          </w:tcPr>
          <w:p w14:paraId="7BE0018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10</w:t>
            </w:r>
          </w:p>
        </w:tc>
        <w:tc>
          <w:tcPr>
            <w:tcW w:w="389" w:type="pct"/>
          </w:tcPr>
          <w:p w14:paraId="5BA6C75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10</w:t>
            </w:r>
          </w:p>
        </w:tc>
        <w:tc>
          <w:tcPr>
            <w:tcW w:w="392" w:type="pct"/>
          </w:tcPr>
          <w:p w14:paraId="283A633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89" w:type="pct"/>
          </w:tcPr>
          <w:p w14:paraId="62FC420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49" w:type="pct"/>
          </w:tcPr>
          <w:p w14:paraId="027E616A"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456BC293" w14:textId="77777777" w:rsidR="00647D0C" w:rsidRPr="00A61195" w:rsidRDefault="00647D0C" w:rsidP="009D20AB">
            <w:pPr>
              <w:spacing w:before="60" w:after="60" w:line="240" w:lineRule="auto"/>
              <w:ind w:left="-57" w:right="-57"/>
              <w:rPr>
                <w:rFonts w:eastAsia="Calibri"/>
                <w:sz w:val="20"/>
                <w:szCs w:val="20"/>
              </w:rPr>
            </w:pPr>
          </w:p>
        </w:tc>
        <w:tc>
          <w:tcPr>
            <w:tcW w:w="360" w:type="pct"/>
            <w:gridSpan w:val="2"/>
          </w:tcPr>
          <w:p w14:paraId="52145B8B"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7208C1AE"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14815E57" w14:textId="77777777" w:rsidTr="00647D0C">
        <w:tc>
          <w:tcPr>
            <w:tcW w:w="296" w:type="pct"/>
          </w:tcPr>
          <w:p w14:paraId="3F97B10E" w14:textId="7C41C1AC" w:rsidR="00647D0C" w:rsidRPr="00A61195" w:rsidRDefault="00647D0C" w:rsidP="009D20AB">
            <w:pPr>
              <w:keepNext/>
              <w:spacing w:before="60" w:after="60" w:line="240" w:lineRule="auto"/>
              <w:ind w:left="-57" w:right="-57"/>
              <w:rPr>
                <w:rFonts w:eastAsia="Calibri"/>
                <w:sz w:val="20"/>
                <w:szCs w:val="20"/>
              </w:rPr>
            </w:pPr>
            <w:r w:rsidRPr="00A61195">
              <w:rPr>
                <w:sz w:val="20"/>
                <w:szCs w:val="20"/>
              </w:rPr>
              <w:t>29b.</w:t>
            </w:r>
          </w:p>
        </w:tc>
        <w:tc>
          <w:tcPr>
            <w:tcW w:w="628" w:type="pct"/>
            <w:gridSpan w:val="3"/>
          </w:tcPr>
          <w:p w14:paraId="39704A0A" w14:textId="01AFEB55" w:rsidR="00647D0C" w:rsidRPr="00A61195" w:rsidRDefault="00647D0C" w:rsidP="009D20AB">
            <w:pPr>
              <w:keepNext/>
              <w:spacing w:before="60" w:after="60" w:line="240" w:lineRule="auto"/>
              <w:ind w:left="-57" w:right="-57"/>
              <w:rPr>
                <w:rFonts w:eastAsia="Calibri"/>
                <w:sz w:val="20"/>
                <w:szCs w:val="20"/>
                <w:vertAlign w:val="superscript"/>
              </w:rPr>
            </w:pPr>
            <w:r w:rsidRPr="00A61195">
              <w:rPr>
                <w:sz w:val="20"/>
                <w:szCs w:val="20"/>
              </w:rPr>
              <w:t>Tricloretilenă</w:t>
            </w:r>
          </w:p>
        </w:tc>
        <w:tc>
          <w:tcPr>
            <w:tcW w:w="394" w:type="pct"/>
            <w:gridSpan w:val="2"/>
          </w:tcPr>
          <w:p w14:paraId="23D54750"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Substanțe industriale</w:t>
            </w:r>
          </w:p>
        </w:tc>
        <w:tc>
          <w:tcPr>
            <w:tcW w:w="339" w:type="pct"/>
          </w:tcPr>
          <w:p w14:paraId="481D8E32"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79-01-6</w:t>
            </w:r>
          </w:p>
        </w:tc>
        <w:tc>
          <w:tcPr>
            <w:tcW w:w="390" w:type="pct"/>
            <w:gridSpan w:val="2"/>
          </w:tcPr>
          <w:p w14:paraId="30E4EE9B"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201-167-4</w:t>
            </w:r>
          </w:p>
        </w:tc>
        <w:tc>
          <w:tcPr>
            <w:tcW w:w="387" w:type="pct"/>
          </w:tcPr>
          <w:p w14:paraId="59A26D00"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10</w:t>
            </w:r>
          </w:p>
        </w:tc>
        <w:tc>
          <w:tcPr>
            <w:tcW w:w="389" w:type="pct"/>
          </w:tcPr>
          <w:p w14:paraId="473C77C9"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10</w:t>
            </w:r>
          </w:p>
        </w:tc>
        <w:tc>
          <w:tcPr>
            <w:tcW w:w="392" w:type="pct"/>
          </w:tcPr>
          <w:p w14:paraId="75CC2B3D"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Nu se aplică</w:t>
            </w:r>
          </w:p>
        </w:tc>
        <w:tc>
          <w:tcPr>
            <w:tcW w:w="389" w:type="pct"/>
          </w:tcPr>
          <w:p w14:paraId="34A3BF78"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Nu se aplică</w:t>
            </w:r>
          </w:p>
        </w:tc>
        <w:tc>
          <w:tcPr>
            <w:tcW w:w="349" w:type="pct"/>
          </w:tcPr>
          <w:p w14:paraId="08F51F43" w14:textId="77777777" w:rsidR="00647D0C" w:rsidRPr="00A61195" w:rsidRDefault="00647D0C" w:rsidP="009D20AB">
            <w:pPr>
              <w:keepNext/>
              <w:spacing w:before="60" w:after="60" w:line="240" w:lineRule="auto"/>
              <w:ind w:left="-57" w:right="-57"/>
              <w:rPr>
                <w:rFonts w:eastAsia="Calibri"/>
                <w:sz w:val="20"/>
                <w:szCs w:val="20"/>
              </w:rPr>
            </w:pPr>
          </w:p>
        </w:tc>
        <w:tc>
          <w:tcPr>
            <w:tcW w:w="393" w:type="pct"/>
          </w:tcPr>
          <w:p w14:paraId="3EBCF773"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X</w:t>
            </w:r>
          </w:p>
        </w:tc>
        <w:tc>
          <w:tcPr>
            <w:tcW w:w="360" w:type="pct"/>
            <w:gridSpan w:val="2"/>
          </w:tcPr>
          <w:p w14:paraId="726DD3C3" w14:textId="77777777" w:rsidR="00647D0C" w:rsidRPr="00A61195" w:rsidRDefault="00647D0C" w:rsidP="009D20AB">
            <w:pPr>
              <w:keepNext/>
              <w:spacing w:before="60" w:after="60" w:line="240" w:lineRule="auto"/>
              <w:ind w:left="-57" w:right="-57"/>
              <w:rPr>
                <w:rFonts w:eastAsia="Calibri"/>
                <w:sz w:val="20"/>
                <w:szCs w:val="20"/>
              </w:rPr>
            </w:pPr>
          </w:p>
        </w:tc>
        <w:tc>
          <w:tcPr>
            <w:tcW w:w="296" w:type="pct"/>
          </w:tcPr>
          <w:p w14:paraId="7A61C9A3" w14:textId="77777777" w:rsidR="00647D0C" w:rsidRPr="00A61195" w:rsidRDefault="00647D0C" w:rsidP="009D20AB">
            <w:pPr>
              <w:keepNext/>
              <w:spacing w:before="60" w:after="60" w:line="240" w:lineRule="auto"/>
              <w:ind w:left="-57" w:right="-57"/>
              <w:rPr>
                <w:rFonts w:eastAsia="Calibri"/>
                <w:sz w:val="20"/>
                <w:szCs w:val="20"/>
              </w:rPr>
            </w:pPr>
          </w:p>
        </w:tc>
      </w:tr>
      <w:tr w:rsidR="00647D0C" w:rsidRPr="00A61195" w14:paraId="0B3C9DC3" w14:textId="77777777" w:rsidTr="00647D0C">
        <w:tc>
          <w:tcPr>
            <w:tcW w:w="296" w:type="pct"/>
          </w:tcPr>
          <w:p w14:paraId="420CE747" w14:textId="446852C8" w:rsidR="00647D0C" w:rsidRPr="00A61195" w:rsidRDefault="00647D0C" w:rsidP="009D20AB">
            <w:pPr>
              <w:spacing w:before="60" w:after="60" w:line="240" w:lineRule="auto"/>
              <w:ind w:left="-57" w:right="-57"/>
              <w:rPr>
                <w:rFonts w:eastAsia="Calibri"/>
                <w:sz w:val="20"/>
                <w:szCs w:val="20"/>
              </w:rPr>
            </w:pPr>
            <w:r w:rsidRPr="00A61195">
              <w:rPr>
                <w:sz w:val="20"/>
                <w:szCs w:val="20"/>
              </w:rPr>
              <w:t>30.</w:t>
            </w:r>
          </w:p>
        </w:tc>
        <w:tc>
          <w:tcPr>
            <w:tcW w:w="628" w:type="pct"/>
            <w:gridSpan w:val="3"/>
          </w:tcPr>
          <w:p w14:paraId="0411671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Compuși </w:t>
            </w:r>
            <w:proofErr w:type="spellStart"/>
            <w:r w:rsidRPr="00A61195">
              <w:rPr>
                <w:sz w:val="20"/>
                <w:szCs w:val="20"/>
              </w:rPr>
              <w:t>tributilstanici</w:t>
            </w:r>
            <w:proofErr w:type="spellEnd"/>
            <w:r w:rsidRPr="00A61195">
              <w:rPr>
                <w:sz w:val="20"/>
                <w:szCs w:val="20"/>
              </w:rPr>
              <w:t xml:space="preserve"> (</w:t>
            </w:r>
            <w:r w:rsidRPr="00D3772B">
              <w:rPr>
                <w:b/>
                <w:bCs/>
                <w:sz w:val="20"/>
                <w:szCs w:val="20"/>
                <w:vertAlign w:val="superscript"/>
              </w:rPr>
              <w:t>18</w:t>
            </w:r>
            <w:r w:rsidRPr="00A61195">
              <w:rPr>
                <w:sz w:val="20"/>
                <w:szCs w:val="20"/>
              </w:rPr>
              <w:t xml:space="preserve">) (cation </w:t>
            </w:r>
            <w:proofErr w:type="spellStart"/>
            <w:r w:rsidRPr="00A61195">
              <w:rPr>
                <w:sz w:val="20"/>
                <w:szCs w:val="20"/>
              </w:rPr>
              <w:t>tributilstaniu</w:t>
            </w:r>
            <w:proofErr w:type="spellEnd"/>
            <w:r w:rsidRPr="00A61195">
              <w:rPr>
                <w:sz w:val="20"/>
                <w:szCs w:val="20"/>
              </w:rPr>
              <w:t>)</w:t>
            </w:r>
          </w:p>
        </w:tc>
        <w:tc>
          <w:tcPr>
            <w:tcW w:w="394" w:type="pct"/>
            <w:gridSpan w:val="2"/>
          </w:tcPr>
          <w:p w14:paraId="2AAB833E" w14:textId="77777777" w:rsidR="00647D0C" w:rsidRPr="00A61195" w:rsidRDefault="00647D0C" w:rsidP="009D20AB">
            <w:pPr>
              <w:spacing w:before="60" w:after="60" w:line="240" w:lineRule="auto"/>
              <w:ind w:left="-57" w:right="-57"/>
              <w:rPr>
                <w:rFonts w:eastAsia="Calibri"/>
                <w:bCs/>
                <w:sz w:val="20"/>
                <w:szCs w:val="20"/>
              </w:rPr>
            </w:pPr>
            <w:r w:rsidRPr="00A61195">
              <w:rPr>
                <w:sz w:val="20"/>
                <w:szCs w:val="20"/>
              </w:rPr>
              <w:t xml:space="preserve">Pesticide – </w:t>
            </w:r>
            <w:proofErr w:type="spellStart"/>
            <w:r w:rsidRPr="00A61195">
              <w:rPr>
                <w:sz w:val="20"/>
                <w:szCs w:val="20"/>
              </w:rPr>
              <w:t>biocide</w:t>
            </w:r>
            <w:proofErr w:type="spellEnd"/>
          </w:p>
        </w:tc>
        <w:tc>
          <w:tcPr>
            <w:tcW w:w="339" w:type="pct"/>
          </w:tcPr>
          <w:p w14:paraId="10D69E5E" w14:textId="77777777" w:rsidR="00647D0C" w:rsidRPr="00A61195" w:rsidRDefault="00647D0C" w:rsidP="009D20AB">
            <w:pPr>
              <w:spacing w:before="60" w:after="60" w:line="240" w:lineRule="auto"/>
              <w:ind w:left="-57" w:right="-57"/>
              <w:rPr>
                <w:rFonts w:eastAsia="Calibri"/>
                <w:bCs/>
                <w:sz w:val="20"/>
                <w:szCs w:val="20"/>
              </w:rPr>
            </w:pPr>
            <w:r w:rsidRPr="00A61195">
              <w:rPr>
                <w:sz w:val="20"/>
                <w:szCs w:val="20"/>
              </w:rPr>
              <w:t>36643-28-4</w:t>
            </w:r>
          </w:p>
        </w:tc>
        <w:tc>
          <w:tcPr>
            <w:tcW w:w="390" w:type="pct"/>
            <w:gridSpan w:val="2"/>
          </w:tcPr>
          <w:p w14:paraId="14864282" w14:textId="77777777" w:rsidR="00647D0C" w:rsidRPr="00A61195" w:rsidRDefault="00647D0C" w:rsidP="009D20AB">
            <w:pPr>
              <w:spacing w:before="60" w:after="60" w:line="240" w:lineRule="auto"/>
              <w:ind w:left="-57" w:right="-57"/>
              <w:rPr>
                <w:rFonts w:eastAsia="Calibri"/>
                <w:bCs/>
                <w:sz w:val="20"/>
                <w:szCs w:val="20"/>
              </w:rPr>
            </w:pPr>
            <w:r w:rsidRPr="00A61195">
              <w:rPr>
                <w:sz w:val="20"/>
                <w:szCs w:val="20"/>
              </w:rPr>
              <w:t>Nu se aplică</w:t>
            </w:r>
          </w:p>
        </w:tc>
        <w:tc>
          <w:tcPr>
            <w:tcW w:w="387" w:type="pct"/>
          </w:tcPr>
          <w:p w14:paraId="7DB23E34" w14:textId="77777777" w:rsidR="00647D0C" w:rsidRPr="00A61195" w:rsidRDefault="00647D0C" w:rsidP="009D20AB">
            <w:pPr>
              <w:spacing w:before="60" w:after="60" w:line="240" w:lineRule="auto"/>
              <w:ind w:left="-57" w:right="-57"/>
              <w:rPr>
                <w:rFonts w:eastAsia="Calibri"/>
                <w:bCs/>
                <w:sz w:val="20"/>
                <w:szCs w:val="20"/>
              </w:rPr>
            </w:pPr>
            <w:r w:rsidRPr="00A61195">
              <w:rPr>
                <w:sz w:val="20"/>
                <w:szCs w:val="20"/>
              </w:rPr>
              <w:t>0,0002</w:t>
            </w:r>
          </w:p>
        </w:tc>
        <w:tc>
          <w:tcPr>
            <w:tcW w:w="389" w:type="pct"/>
          </w:tcPr>
          <w:p w14:paraId="3A094DF2" w14:textId="77777777" w:rsidR="00647D0C" w:rsidRPr="00A61195" w:rsidRDefault="00647D0C" w:rsidP="009D20AB">
            <w:pPr>
              <w:spacing w:before="60" w:after="60" w:line="240" w:lineRule="auto"/>
              <w:ind w:left="-57" w:right="-57"/>
              <w:rPr>
                <w:rFonts w:eastAsia="Calibri"/>
                <w:bCs/>
                <w:sz w:val="20"/>
                <w:szCs w:val="20"/>
              </w:rPr>
            </w:pPr>
            <w:r w:rsidRPr="00A61195">
              <w:rPr>
                <w:sz w:val="20"/>
                <w:szCs w:val="20"/>
              </w:rPr>
              <w:t>0,0002</w:t>
            </w:r>
          </w:p>
        </w:tc>
        <w:tc>
          <w:tcPr>
            <w:tcW w:w="392" w:type="pct"/>
          </w:tcPr>
          <w:p w14:paraId="12001CE6" w14:textId="77777777" w:rsidR="00647D0C" w:rsidRPr="00A61195" w:rsidRDefault="00647D0C" w:rsidP="009D20AB">
            <w:pPr>
              <w:spacing w:before="60" w:after="60" w:line="240" w:lineRule="auto"/>
              <w:ind w:left="-57" w:right="-57"/>
              <w:rPr>
                <w:rFonts w:eastAsia="Calibri"/>
                <w:bCs/>
                <w:sz w:val="20"/>
                <w:szCs w:val="20"/>
              </w:rPr>
            </w:pPr>
            <w:r w:rsidRPr="00A61195">
              <w:rPr>
                <w:sz w:val="20"/>
                <w:szCs w:val="20"/>
              </w:rPr>
              <w:t>0,0015</w:t>
            </w:r>
          </w:p>
        </w:tc>
        <w:tc>
          <w:tcPr>
            <w:tcW w:w="389" w:type="pct"/>
          </w:tcPr>
          <w:p w14:paraId="2961712F" w14:textId="77777777" w:rsidR="00647D0C" w:rsidRPr="00A61195" w:rsidRDefault="00647D0C" w:rsidP="009D20AB">
            <w:pPr>
              <w:spacing w:before="60" w:after="60" w:line="240" w:lineRule="auto"/>
              <w:ind w:left="-57" w:right="-57"/>
              <w:rPr>
                <w:rFonts w:eastAsia="Calibri"/>
                <w:bCs/>
                <w:sz w:val="20"/>
                <w:szCs w:val="20"/>
              </w:rPr>
            </w:pPr>
            <w:r w:rsidRPr="00A61195">
              <w:rPr>
                <w:sz w:val="20"/>
                <w:szCs w:val="20"/>
              </w:rPr>
              <w:t>0,0015</w:t>
            </w:r>
          </w:p>
        </w:tc>
        <w:tc>
          <w:tcPr>
            <w:tcW w:w="349" w:type="pct"/>
          </w:tcPr>
          <w:p w14:paraId="1A3FD272" w14:textId="77777777" w:rsidR="00647D0C" w:rsidRPr="00A61195" w:rsidRDefault="00647D0C" w:rsidP="009D20AB">
            <w:pPr>
              <w:spacing w:before="60" w:after="60" w:line="240" w:lineRule="auto"/>
              <w:ind w:left="-57" w:right="-57"/>
              <w:rPr>
                <w:rFonts w:eastAsia="Calibri"/>
                <w:bCs/>
                <w:sz w:val="20"/>
                <w:szCs w:val="20"/>
              </w:rPr>
            </w:pPr>
            <w:r w:rsidRPr="00A61195">
              <w:rPr>
                <w:sz w:val="20"/>
                <w:szCs w:val="20"/>
              </w:rPr>
              <w:t>1,6 (</w:t>
            </w:r>
            <w:r w:rsidRPr="00D3772B">
              <w:rPr>
                <w:b/>
                <w:bCs/>
                <w:sz w:val="20"/>
                <w:szCs w:val="20"/>
                <w:vertAlign w:val="superscript"/>
              </w:rPr>
              <w:t>19</w:t>
            </w:r>
            <w:r w:rsidRPr="00A61195">
              <w:rPr>
                <w:sz w:val="20"/>
                <w:szCs w:val="20"/>
              </w:rPr>
              <w:t>)</w:t>
            </w:r>
          </w:p>
        </w:tc>
        <w:tc>
          <w:tcPr>
            <w:tcW w:w="393" w:type="pct"/>
          </w:tcPr>
          <w:p w14:paraId="1D79260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4BB38585"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296" w:type="pct"/>
          </w:tcPr>
          <w:p w14:paraId="4116300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061E87E7" w14:textId="77777777" w:rsidTr="009D20AB">
        <w:tc>
          <w:tcPr>
            <w:tcW w:w="296" w:type="pct"/>
          </w:tcPr>
          <w:p w14:paraId="2F7CFDEF" w14:textId="3E5D9986" w:rsidR="00647D0C" w:rsidRPr="00A61195" w:rsidRDefault="00647D0C" w:rsidP="009D20AB">
            <w:pPr>
              <w:spacing w:before="60" w:after="60" w:line="240" w:lineRule="auto"/>
              <w:ind w:left="-57" w:right="-57"/>
              <w:rPr>
                <w:rFonts w:eastAsia="Calibri"/>
                <w:bCs/>
                <w:sz w:val="20"/>
                <w:szCs w:val="20"/>
              </w:rPr>
            </w:pPr>
            <w:r w:rsidRPr="00A61195">
              <w:rPr>
                <w:sz w:val="20"/>
                <w:szCs w:val="20"/>
              </w:rPr>
              <w:t>31.</w:t>
            </w:r>
          </w:p>
        </w:tc>
        <w:tc>
          <w:tcPr>
            <w:tcW w:w="4704" w:type="pct"/>
            <w:gridSpan w:val="17"/>
          </w:tcPr>
          <w:p w14:paraId="69268739" w14:textId="33F73EE5" w:rsidR="00647D0C" w:rsidRPr="00A61195" w:rsidRDefault="00647D0C" w:rsidP="009D20AB">
            <w:pPr>
              <w:spacing w:before="60" w:after="60" w:line="240" w:lineRule="auto"/>
              <w:ind w:left="-57" w:right="-57"/>
              <w:rPr>
                <w:rFonts w:eastAsia="Calibri"/>
                <w:bCs/>
                <w:sz w:val="20"/>
                <w:szCs w:val="20"/>
              </w:rPr>
            </w:pPr>
            <w:r w:rsidRPr="00A61195">
              <w:rPr>
                <w:sz w:val="20"/>
                <w:szCs w:val="20"/>
              </w:rPr>
              <w:t xml:space="preserve">Substanța </w:t>
            </w:r>
            <w:proofErr w:type="spellStart"/>
            <w:r w:rsidRPr="00A61195">
              <w:rPr>
                <w:sz w:val="20"/>
                <w:szCs w:val="20"/>
              </w:rPr>
              <w:t>Triclorbenzeni</w:t>
            </w:r>
            <w:proofErr w:type="spellEnd"/>
            <w:r w:rsidRPr="00A61195">
              <w:rPr>
                <w:sz w:val="20"/>
                <w:szCs w:val="20"/>
              </w:rPr>
              <w:t xml:space="preserve"> a fost mutată în anexa II partea C.</w:t>
            </w:r>
          </w:p>
        </w:tc>
      </w:tr>
      <w:tr w:rsidR="00647D0C" w:rsidRPr="00A61195" w14:paraId="773F0D0E" w14:textId="77777777" w:rsidTr="00647D0C">
        <w:tc>
          <w:tcPr>
            <w:tcW w:w="296" w:type="pct"/>
          </w:tcPr>
          <w:p w14:paraId="5C505580" w14:textId="11EBA36E"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32.</w:t>
            </w:r>
          </w:p>
        </w:tc>
        <w:tc>
          <w:tcPr>
            <w:tcW w:w="628" w:type="pct"/>
            <w:gridSpan w:val="3"/>
          </w:tcPr>
          <w:p w14:paraId="10ECEC44"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Triclormetan</w:t>
            </w:r>
            <w:proofErr w:type="spellEnd"/>
          </w:p>
        </w:tc>
        <w:tc>
          <w:tcPr>
            <w:tcW w:w="394" w:type="pct"/>
            <w:gridSpan w:val="2"/>
          </w:tcPr>
          <w:p w14:paraId="6C309B3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Substanțe industriale</w:t>
            </w:r>
          </w:p>
        </w:tc>
        <w:tc>
          <w:tcPr>
            <w:tcW w:w="339" w:type="pct"/>
          </w:tcPr>
          <w:p w14:paraId="1FC01EEC"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67-66-3</w:t>
            </w:r>
          </w:p>
        </w:tc>
        <w:tc>
          <w:tcPr>
            <w:tcW w:w="390" w:type="pct"/>
            <w:gridSpan w:val="2"/>
          </w:tcPr>
          <w:p w14:paraId="286EFA3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200-663-8</w:t>
            </w:r>
          </w:p>
        </w:tc>
        <w:tc>
          <w:tcPr>
            <w:tcW w:w="387" w:type="pct"/>
          </w:tcPr>
          <w:p w14:paraId="44819F1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2,5</w:t>
            </w:r>
          </w:p>
        </w:tc>
        <w:tc>
          <w:tcPr>
            <w:tcW w:w="389" w:type="pct"/>
          </w:tcPr>
          <w:p w14:paraId="3BC20FE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2,5</w:t>
            </w:r>
          </w:p>
        </w:tc>
        <w:tc>
          <w:tcPr>
            <w:tcW w:w="392" w:type="pct"/>
          </w:tcPr>
          <w:p w14:paraId="1EE8C7C5"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89" w:type="pct"/>
          </w:tcPr>
          <w:p w14:paraId="6344828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49" w:type="pct"/>
          </w:tcPr>
          <w:p w14:paraId="5650EE41"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79D112B2" w14:textId="77777777" w:rsidR="00647D0C" w:rsidRPr="00A61195" w:rsidRDefault="00647D0C" w:rsidP="009D20AB">
            <w:pPr>
              <w:spacing w:before="60" w:after="60" w:line="240" w:lineRule="auto"/>
              <w:ind w:left="-57" w:right="-57"/>
              <w:rPr>
                <w:rFonts w:eastAsia="Calibri"/>
                <w:sz w:val="20"/>
                <w:szCs w:val="20"/>
              </w:rPr>
            </w:pPr>
          </w:p>
        </w:tc>
        <w:tc>
          <w:tcPr>
            <w:tcW w:w="360" w:type="pct"/>
            <w:gridSpan w:val="2"/>
          </w:tcPr>
          <w:p w14:paraId="64C723C2"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46B3B54C"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6179D6F5" w14:textId="77777777" w:rsidTr="00647D0C">
        <w:tc>
          <w:tcPr>
            <w:tcW w:w="296" w:type="pct"/>
          </w:tcPr>
          <w:p w14:paraId="48E4DA3B" w14:textId="6EF7B4C6" w:rsidR="00647D0C" w:rsidRPr="00A61195" w:rsidRDefault="00647D0C" w:rsidP="009D20AB">
            <w:pPr>
              <w:spacing w:before="60" w:after="60" w:line="240" w:lineRule="auto"/>
              <w:ind w:left="-57" w:right="-57"/>
              <w:rPr>
                <w:rFonts w:eastAsia="Calibri"/>
                <w:sz w:val="20"/>
                <w:szCs w:val="20"/>
              </w:rPr>
            </w:pPr>
            <w:r w:rsidRPr="00A61195">
              <w:rPr>
                <w:sz w:val="20"/>
                <w:szCs w:val="20"/>
              </w:rPr>
              <w:t>33.</w:t>
            </w:r>
          </w:p>
        </w:tc>
        <w:tc>
          <w:tcPr>
            <w:tcW w:w="628" w:type="pct"/>
            <w:gridSpan w:val="3"/>
          </w:tcPr>
          <w:p w14:paraId="0E94E4ED"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Trifluralin</w:t>
            </w:r>
            <w:proofErr w:type="spellEnd"/>
          </w:p>
        </w:tc>
        <w:tc>
          <w:tcPr>
            <w:tcW w:w="394" w:type="pct"/>
            <w:gridSpan w:val="2"/>
          </w:tcPr>
          <w:p w14:paraId="011F0343"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Pesticide – erbicide</w:t>
            </w:r>
          </w:p>
        </w:tc>
        <w:tc>
          <w:tcPr>
            <w:tcW w:w="339" w:type="pct"/>
          </w:tcPr>
          <w:p w14:paraId="1DCCC66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1582-09-8</w:t>
            </w:r>
          </w:p>
        </w:tc>
        <w:tc>
          <w:tcPr>
            <w:tcW w:w="390" w:type="pct"/>
            <w:gridSpan w:val="2"/>
          </w:tcPr>
          <w:p w14:paraId="53E5406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216-428-8</w:t>
            </w:r>
          </w:p>
        </w:tc>
        <w:tc>
          <w:tcPr>
            <w:tcW w:w="387" w:type="pct"/>
          </w:tcPr>
          <w:p w14:paraId="1CE5927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0,03</w:t>
            </w:r>
          </w:p>
        </w:tc>
        <w:tc>
          <w:tcPr>
            <w:tcW w:w="389" w:type="pct"/>
          </w:tcPr>
          <w:p w14:paraId="2E30C0F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0,03</w:t>
            </w:r>
          </w:p>
        </w:tc>
        <w:tc>
          <w:tcPr>
            <w:tcW w:w="392" w:type="pct"/>
          </w:tcPr>
          <w:p w14:paraId="1F668BA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89" w:type="pct"/>
          </w:tcPr>
          <w:p w14:paraId="3C07948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49" w:type="pct"/>
          </w:tcPr>
          <w:p w14:paraId="09D9CE3F"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03C9FA2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768DF3D8"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3ED08B39"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0B6BE760" w14:textId="77777777" w:rsidTr="00647D0C">
        <w:tc>
          <w:tcPr>
            <w:tcW w:w="296" w:type="pct"/>
          </w:tcPr>
          <w:p w14:paraId="1A385943" w14:textId="1775A866" w:rsidR="00647D0C" w:rsidRPr="00A61195" w:rsidRDefault="00647D0C" w:rsidP="009D20AB">
            <w:pPr>
              <w:spacing w:before="60" w:after="60" w:line="240" w:lineRule="auto"/>
              <w:ind w:left="-57" w:right="-57"/>
              <w:rPr>
                <w:rFonts w:eastAsia="Calibri"/>
                <w:sz w:val="20"/>
                <w:szCs w:val="20"/>
              </w:rPr>
            </w:pPr>
            <w:r w:rsidRPr="00A61195">
              <w:rPr>
                <w:sz w:val="20"/>
                <w:szCs w:val="20"/>
              </w:rPr>
              <w:t>34.</w:t>
            </w:r>
          </w:p>
        </w:tc>
        <w:tc>
          <w:tcPr>
            <w:tcW w:w="628" w:type="pct"/>
            <w:gridSpan w:val="3"/>
          </w:tcPr>
          <w:p w14:paraId="7EC51429"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Dicofol</w:t>
            </w:r>
            <w:proofErr w:type="spellEnd"/>
          </w:p>
        </w:tc>
        <w:tc>
          <w:tcPr>
            <w:tcW w:w="394" w:type="pct"/>
            <w:gridSpan w:val="2"/>
          </w:tcPr>
          <w:p w14:paraId="69A36B4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Pesticide – </w:t>
            </w:r>
            <w:proofErr w:type="spellStart"/>
            <w:r w:rsidRPr="00A61195">
              <w:rPr>
                <w:sz w:val="20"/>
                <w:szCs w:val="20"/>
              </w:rPr>
              <w:t>organoclorurate</w:t>
            </w:r>
            <w:proofErr w:type="spellEnd"/>
          </w:p>
        </w:tc>
        <w:tc>
          <w:tcPr>
            <w:tcW w:w="339" w:type="pct"/>
          </w:tcPr>
          <w:p w14:paraId="3D57120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115-32-2</w:t>
            </w:r>
          </w:p>
        </w:tc>
        <w:tc>
          <w:tcPr>
            <w:tcW w:w="390" w:type="pct"/>
            <w:gridSpan w:val="2"/>
          </w:tcPr>
          <w:p w14:paraId="505A8555" w14:textId="77777777" w:rsidR="00647D0C" w:rsidRPr="00A61195" w:rsidRDefault="00647D0C" w:rsidP="009D20AB">
            <w:pPr>
              <w:spacing w:before="60" w:after="60" w:line="240" w:lineRule="auto"/>
              <w:ind w:left="-57" w:right="-57"/>
              <w:rPr>
                <w:rFonts w:eastAsia="Calibri"/>
                <w:strike/>
                <w:sz w:val="20"/>
                <w:szCs w:val="20"/>
              </w:rPr>
            </w:pPr>
            <w:r w:rsidRPr="00A61195">
              <w:rPr>
                <w:sz w:val="20"/>
                <w:szCs w:val="20"/>
              </w:rPr>
              <w:t>204-082-0</w:t>
            </w:r>
          </w:p>
        </w:tc>
        <w:tc>
          <w:tcPr>
            <w:tcW w:w="387" w:type="pct"/>
          </w:tcPr>
          <w:p w14:paraId="3BB9E6F8" w14:textId="77777777" w:rsidR="00647D0C" w:rsidRPr="00A61195" w:rsidRDefault="00647D0C" w:rsidP="009D20AB">
            <w:pPr>
              <w:spacing w:before="60" w:after="60" w:line="240" w:lineRule="auto"/>
              <w:ind w:left="-57" w:right="-57"/>
              <w:rPr>
                <w:rFonts w:eastAsia="Calibri"/>
                <w:sz w:val="20"/>
                <w:szCs w:val="20"/>
                <w:vertAlign w:val="superscript"/>
              </w:rPr>
            </w:pPr>
            <w:r w:rsidRPr="00A61195">
              <w:rPr>
                <w:sz w:val="20"/>
                <w:szCs w:val="20"/>
              </w:rPr>
              <w:t>4,45 × 10</w:t>
            </w:r>
            <w:r w:rsidRPr="00A61195">
              <w:rPr>
                <w:sz w:val="20"/>
                <w:szCs w:val="20"/>
                <w:vertAlign w:val="superscript"/>
              </w:rPr>
              <w:t>-3</w:t>
            </w:r>
          </w:p>
        </w:tc>
        <w:tc>
          <w:tcPr>
            <w:tcW w:w="389" w:type="pct"/>
          </w:tcPr>
          <w:p w14:paraId="65DE90C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0.185 × 10</w:t>
            </w:r>
            <w:r w:rsidRPr="00A61195">
              <w:rPr>
                <w:sz w:val="20"/>
                <w:szCs w:val="20"/>
                <w:vertAlign w:val="superscript"/>
              </w:rPr>
              <w:t>-3</w:t>
            </w:r>
          </w:p>
        </w:tc>
        <w:tc>
          <w:tcPr>
            <w:tcW w:w="392" w:type="pct"/>
          </w:tcPr>
          <w:p w14:paraId="26663170" w14:textId="77777777" w:rsidR="00647D0C" w:rsidRPr="00A61195" w:rsidRDefault="00647D0C" w:rsidP="009D20AB">
            <w:pPr>
              <w:spacing w:before="60" w:after="60" w:line="240" w:lineRule="auto"/>
              <w:ind w:left="-57" w:right="-57"/>
              <w:rPr>
                <w:rFonts w:eastAsia="Calibri"/>
                <w:sz w:val="20"/>
                <w:szCs w:val="20"/>
                <w:vertAlign w:val="superscript"/>
              </w:rPr>
            </w:pPr>
            <w:r w:rsidRPr="00A61195">
              <w:rPr>
                <w:sz w:val="20"/>
                <w:szCs w:val="20"/>
              </w:rPr>
              <w:t>Nu se aplică (</w:t>
            </w:r>
            <w:r w:rsidRPr="00D3772B">
              <w:rPr>
                <w:b/>
                <w:bCs/>
                <w:sz w:val="20"/>
                <w:szCs w:val="20"/>
                <w:vertAlign w:val="superscript"/>
              </w:rPr>
              <w:t>20</w:t>
            </w:r>
            <w:r w:rsidRPr="00A61195">
              <w:rPr>
                <w:sz w:val="20"/>
                <w:szCs w:val="20"/>
              </w:rPr>
              <w:t>)</w:t>
            </w:r>
          </w:p>
        </w:tc>
        <w:tc>
          <w:tcPr>
            <w:tcW w:w="389" w:type="pct"/>
          </w:tcPr>
          <w:p w14:paraId="3983602B" w14:textId="77777777" w:rsidR="00647D0C" w:rsidRPr="00A61195" w:rsidRDefault="00647D0C" w:rsidP="009D20AB">
            <w:pPr>
              <w:spacing w:before="60" w:after="60" w:line="240" w:lineRule="auto"/>
              <w:ind w:left="-57" w:right="-57"/>
              <w:rPr>
                <w:rFonts w:eastAsia="Calibri"/>
                <w:sz w:val="20"/>
                <w:szCs w:val="20"/>
                <w:vertAlign w:val="superscript"/>
              </w:rPr>
            </w:pPr>
            <w:r w:rsidRPr="00A61195">
              <w:rPr>
                <w:sz w:val="20"/>
                <w:szCs w:val="20"/>
              </w:rPr>
              <w:t>Nu se aplică (</w:t>
            </w:r>
            <w:r w:rsidRPr="00D3772B">
              <w:rPr>
                <w:b/>
                <w:bCs/>
                <w:sz w:val="20"/>
                <w:szCs w:val="20"/>
                <w:vertAlign w:val="superscript"/>
              </w:rPr>
              <w:t>20</w:t>
            </w:r>
            <w:r w:rsidRPr="00A61195">
              <w:rPr>
                <w:sz w:val="20"/>
                <w:szCs w:val="20"/>
              </w:rPr>
              <w:t>)</w:t>
            </w:r>
          </w:p>
        </w:tc>
        <w:tc>
          <w:tcPr>
            <w:tcW w:w="349" w:type="pct"/>
          </w:tcPr>
          <w:p w14:paraId="000D1A3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111 – pește AD</w:t>
            </w:r>
          </w:p>
          <w:p w14:paraId="11B3FD4A" w14:textId="77777777" w:rsidR="00647D0C" w:rsidRPr="00A61195" w:rsidRDefault="00647D0C" w:rsidP="009D20AB">
            <w:pPr>
              <w:spacing w:before="60" w:after="60" w:line="240" w:lineRule="auto"/>
              <w:ind w:left="-57" w:right="-57"/>
              <w:rPr>
                <w:rFonts w:eastAsia="Calibri"/>
                <w:i/>
                <w:sz w:val="20"/>
                <w:szCs w:val="20"/>
              </w:rPr>
            </w:pPr>
            <w:r w:rsidRPr="00A61195">
              <w:rPr>
                <w:sz w:val="20"/>
                <w:szCs w:val="20"/>
              </w:rPr>
              <w:t>4,6 – pește AS</w:t>
            </w:r>
          </w:p>
        </w:tc>
        <w:tc>
          <w:tcPr>
            <w:tcW w:w="393" w:type="pct"/>
          </w:tcPr>
          <w:p w14:paraId="4108A7AC"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041543EE"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3EDBA59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5286AB36" w14:textId="77777777" w:rsidTr="009D20AB">
        <w:tc>
          <w:tcPr>
            <w:tcW w:w="296" w:type="pct"/>
          </w:tcPr>
          <w:p w14:paraId="459801BA" w14:textId="3FB75D91"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35.</w:t>
            </w:r>
          </w:p>
        </w:tc>
        <w:tc>
          <w:tcPr>
            <w:tcW w:w="628" w:type="pct"/>
            <w:gridSpan w:val="3"/>
          </w:tcPr>
          <w:p w14:paraId="73870AB8" w14:textId="788D4A8E" w:rsidR="00647D0C" w:rsidRPr="00A61195" w:rsidRDefault="00647D0C" w:rsidP="009D20AB">
            <w:pPr>
              <w:pageBreakBefore/>
              <w:spacing w:before="0" w:after="0" w:line="240" w:lineRule="auto"/>
              <w:ind w:left="-57" w:right="-57"/>
              <w:rPr>
                <w:rFonts w:eastAsia="Calibri"/>
                <w:sz w:val="20"/>
                <w:szCs w:val="20"/>
              </w:rPr>
            </w:pPr>
            <w:r w:rsidRPr="00A61195">
              <w:rPr>
                <w:sz w:val="20"/>
                <w:szCs w:val="20"/>
              </w:rPr>
              <w:t xml:space="preserve">Acid </w:t>
            </w:r>
            <w:proofErr w:type="spellStart"/>
            <w:r w:rsidRPr="00A61195">
              <w:rPr>
                <w:sz w:val="20"/>
                <w:szCs w:val="20"/>
              </w:rPr>
              <w:t>perfluoroctansulfonic</w:t>
            </w:r>
            <w:proofErr w:type="spellEnd"/>
            <w:r w:rsidRPr="00A61195">
              <w:rPr>
                <w:sz w:val="20"/>
                <w:szCs w:val="20"/>
              </w:rPr>
              <w:t xml:space="preserve"> (PFOS) și derivații săi </w:t>
            </w:r>
          </w:p>
        </w:tc>
        <w:tc>
          <w:tcPr>
            <w:tcW w:w="394" w:type="pct"/>
            <w:gridSpan w:val="2"/>
          </w:tcPr>
          <w:p w14:paraId="1EB31FF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Substanțe industriale</w:t>
            </w:r>
          </w:p>
        </w:tc>
        <w:tc>
          <w:tcPr>
            <w:tcW w:w="339" w:type="pct"/>
          </w:tcPr>
          <w:p w14:paraId="58DF2385"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1763-23-1</w:t>
            </w:r>
          </w:p>
        </w:tc>
        <w:tc>
          <w:tcPr>
            <w:tcW w:w="390" w:type="pct"/>
            <w:gridSpan w:val="2"/>
          </w:tcPr>
          <w:p w14:paraId="036293C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217-179-8</w:t>
            </w:r>
          </w:p>
        </w:tc>
        <w:tc>
          <w:tcPr>
            <w:tcW w:w="2954" w:type="pct"/>
            <w:gridSpan w:val="9"/>
          </w:tcPr>
          <w:p w14:paraId="77CB6FA3" w14:textId="5F722358"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Incluși în grupul de substanțe 65 [substanțe </w:t>
            </w:r>
            <w:proofErr w:type="spellStart"/>
            <w:r w:rsidRPr="00A61195">
              <w:rPr>
                <w:sz w:val="20"/>
                <w:szCs w:val="20"/>
              </w:rPr>
              <w:t>perfluoroalchilate</w:t>
            </w:r>
            <w:proofErr w:type="spellEnd"/>
            <w:r w:rsidRPr="00A61195">
              <w:rPr>
                <w:sz w:val="20"/>
                <w:szCs w:val="20"/>
              </w:rPr>
              <w:t xml:space="preserve"> și </w:t>
            </w:r>
            <w:proofErr w:type="spellStart"/>
            <w:r w:rsidRPr="00A61195">
              <w:rPr>
                <w:sz w:val="20"/>
                <w:szCs w:val="20"/>
              </w:rPr>
              <w:t>polifluoroalchilate</w:t>
            </w:r>
            <w:proofErr w:type="spellEnd"/>
            <w:r w:rsidRPr="00A61195">
              <w:rPr>
                <w:sz w:val="20"/>
                <w:szCs w:val="20"/>
              </w:rPr>
              <w:t xml:space="preserve"> (PFAS) – suma a 25]</w:t>
            </w:r>
          </w:p>
        </w:tc>
      </w:tr>
      <w:tr w:rsidR="00647D0C" w:rsidRPr="00A61195" w14:paraId="5A717495" w14:textId="77777777" w:rsidTr="00647D0C">
        <w:tc>
          <w:tcPr>
            <w:tcW w:w="296" w:type="pct"/>
          </w:tcPr>
          <w:p w14:paraId="13631F25" w14:textId="2362CBC0" w:rsidR="00647D0C" w:rsidRPr="00A61195" w:rsidRDefault="00647D0C" w:rsidP="009D20AB">
            <w:pPr>
              <w:spacing w:before="60" w:after="60" w:line="240" w:lineRule="auto"/>
              <w:ind w:left="-57" w:right="-57"/>
              <w:rPr>
                <w:rFonts w:eastAsia="Calibri"/>
                <w:sz w:val="20"/>
                <w:szCs w:val="20"/>
              </w:rPr>
            </w:pPr>
            <w:r w:rsidRPr="00A61195">
              <w:rPr>
                <w:sz w:val="20"/>
                <w:szCs w:val="20"/>
              </w:rPr>
              <w:t>36.</w:t>
            </w:r>
          </w:p>
        </w:tc>
        <w:tc>
          <w:tcPr>
            <w:tcW w:w="628" w:type="pct"/>
            <w:gridSpan w:val="3"/>
          </w:tcPr>
          <w:p w14:paraId="5CAE90D4" w14:textId="77777777" w:rsidR="00647D0C" w:rsidRPr="00A61195" w:rsidRDefault="00647D0C" w:rsidP="009D20AB">
            <w:pPr>
              <w:pageBreakBefore/>
              <w:spacing w:before="60" w:after="60" w:line="240" w:lineRule="auto"/>
              <w:ind w:left="-57" w:right="-57"/>
              <w:rPr>
                <w:rFonts w:eastAsia="Calibri"/>
                <w:sz w:val="20"/>
                <w:szCs w:val="20"/>
              </w:rPr>
            </w:pPr>
            <w:proofErr w:type="spellStart"/>
            <w:r w:rsidRPr="00A61195">
              <w:rPr>
                <w:sz w:val="20"/>
                <w:szCs w:val="20"/>
              </w:rPr>
              <w:t>Chinoxifen</w:t>
            </w:r>
            <w:proofErr w:type="spellEnd"/>
          </w:p>
        </w:tc>
        <w:tc>
          <w:tcPr>
            <w:tcW w:w="394" w:type="pct"/>
            <w:gridSpan w:val="2"/>
          </w:tcPr>
          <w:p w14:paraId="2FF6EC4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Pesticide – fungicide</w:t>
            </w:r>
          </w:p>
        </w:tc>
        <w:tc>
          <w:tcPr>
            <w:tcW w:w="339" w:type="pct"/>
          </w:tcPr>
          <w:p w14:paraId="2ED45DA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124495-18-7</w:t>
            </w:r>
          </w:p>
        </w:tc>
        <w:tc>
          <w:tcPr>
            <w:tcW w:w="390" w:type="pct"/>
            <w:gridSpan w:val="2"/>
          </w:tcPr>
          <w:p w14:paraId="2418B58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87" w:type="pct"/>
          </w:tcPr>
          <w:p w14:paraId="62F956F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0,15</w:t>
            </w:r>
          </w:p>
        </w:tc>
        <w:tc>
          <w:tcPr>
            <w:tcW w:w="389" w:type="pct"/>
          </w:tcPr>
          <w:p w14:paraId="128AD1F3"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0,015</w:t>
            </w:r>
          </w:p>
        </w:tc>
        <w:tc>
          <w:tcPr>
            <w:tcW w:w="392" w:type="pct"/>
          </w:tcPr>
          <w:p w14:paraId="72A506E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2,7</w:t>
            </w:r>
          </w:p>
        </w:tc>
        <w:tc>
          <w:tcPr>
            <w:tcW w:w="389" w:type="pct"/>
          </w:tcPr>
          <w:p w14:paraId="4007C66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0,54</w:t>
            </w:r>
          </w:p>
        </w:tc>
        <w:tc>
          <w:tcPr>
            <w:tcW w:w="349" w:type="pct"/>
          </w:tcPr>
          <w:p w14:paraId="05526310"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44AF1EE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0D413F57"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1B27A1A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26A54E7F" w14:textId="77777777" w:rsidTr="00647D0C">
        <w:tc>
          <w:tcPr>
            <w:tcW w:w="296" w:type="pct"/>
          </w:tcPr>
          <w:p w14:paraId="4D926E11" w14:textId="52DCA915" w:rsidR="00647D0C" w:rsidRPr="00A61195" w:rsidRDefault="00647D0C" w:rsidP="009D20AB">
            <w:pPr>
              <w:spacing w:before="60" w:after="60" w:line="240" w:lineRule="auto"/>
              <w:ind w:left="-57" w:right="-57"/>
              <w:rPr>
                <w:rFonts w:eastAsia="Calibri"/>
                <w:sz w:val="20"/>
                <w:szCs w:val="20"/>
              </w:rPr>
            </w:pPr>
            <w:r w:rsidRPr="00A61195">
              <w:rPr>
                <w:sz w:val="20"/>
                <w:szCs w:val="20"/>
              </w:rPr>
              <w:t>37.</w:t>
            </w:r>
          </w:p>
        </w:tc>
        <w:tc>
          <w:tcPr>
            <w:tcW w:w="599" w:type="pct"/>
          </w:tcPr>
          <w:p w14:paraId="05955846" w14:textId="77777777" w:rsidR="00647D0C" w:rsidRPr="00D3772B" w:rsidRDefault="00647D0C" w:rsidP="009D20AB">
            <w:pPr>
              <w:spacing w:before="60" w:after="60" w:line="240" w:lineRule="auto"/>
              <w:ind w:left="-57" w:right="-57"/>
              <w:rPr>
                <w:rFonts w:eastAsia="Calibri"/>
                <w:sz w:val="20"/>
                <w:szCs w:val="20"/>
              </w:rPr>
            </w:pPr>
            <w:proofErr w:type="spellStart"/>
            <w:r w:rsidRPr="00D3772B">
              <w:rPr>
                <w:sz w:val="20"/>
                <w:szCs w:val="20"/>
              </w:rPr>
              <w:t>Dioxine</w:t>
            </w:r>
            <w:proofErr w:type="spellEnd"/>
            <w:r w:rsidRPr="00D3772B">
              <w:rPr>
                <w:sz w:val="20"/>
                <w:szCs w:val="20"/>
              </w:rPr>
              <w:t xml:space="preserve"> și compuși de tip </w:t>
            </w:r>
            <w:proofErr w:type="spellStart"/>
            <w:r w:rsidRPr="00D3772B">
              <w:rPr>
                <w:sz w:val="20"/>
                <w:szCs w:val="20"/>
              </w:rPr>
              <w:t>dioxină</w:t>
            </w:r>
            <w:proofErr w:type="spellEnd"/>
            <w:r w:rsidRPr="00D3772B">
              <w:rPr>
                <w:sz w:val="20"/>
                <w:szCs w:val="20"/>
              </w:rPr>
              <w:t xml:space="preserve"> (</w:t>
            </w:r>
            <w:r w:rsidRPr="00D3772B">
              <w:rPr>
                <w:b/>
                <w:bCs/>
                <w:sz w:val="20"/>
                <w:szCs w:val="20"/>
                <w:vertAlign w:val="superscript"/>
              </w:rPr>
              <w:t>21</w:t>
            </w:r>
            <w:r w:rsidRPr="00D3772B">
              <w:rPr>
                <w:sz w:val="20"/>
                <w:szCs w:val="20"/>
              </w:rPr>
              <w:t>)</w:t>
            </w:r>
          </w:p>
        </w:tc>
        <w:tc>
          <w:tcPr>
            <w:tcW w:w="423" w:type="pct"/>
            <w:gridSpan w:val="4"/>
          </w:tcPr>
          <w:p w14:paraId="4D681D9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Produse secundare industriale</w:t>
            </w:r>
          </w:p>
        </w:tc>
        <w:tc>
          <w:tcPr>
            <w:tcW w:w="339" w:type="pct"/>
          </w:tcPr>
          <w:p w14:paraId="2E44117C"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90" w:type="pct"/>
            <w:gridSpan w:val="2"/>
          </w:tcPr>
          <w:p w14:paraId="045F7D8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87" w:type="pct"/>
          </w:tcPr>
          <w:p w14:paraId="5E5FF983" w14:textId="77777777" w:rsidR="00647D0C" w:rsidRPr="00A61195" w:rsidRDefault="00647D0C" w:rsidP="009D20AB">
            <w:pPr>
              <w:spacing w:before="60" w:after="60" w:line="240" w:lineRule="auto"/>
              <w:ind w:left="-57" w:right="-57"/>
              <w:rPr>
                <w:rFonts w:eastAsia="Calibri"/>
                <w:sz w:val="20"/>
                <w:szCs w:val="20"/>
              </w:rPr>
            </w:pPr>
          </w:p>
        </w:tc>
        <w:tc>
          <w:tcPr>
            <w:tcW w:w="389" w:type="pct"/>
          </w:tcPr>
          <w:p w14:paraId="22F40363" w14:textId="77777777" w:rsidR="00647D0C" w:rsidRPr="00A61195" w:rsidRDefault="00647D0C" w:rsidP="009D20AB">
            <w:pPr>
              <w:spacing w:before="60" w:after="60" w:line="240" w:lineRule="auto"/>
              <w:ind w:left="-57" w:right="-57"/>
              <w:rPr>
                <w:rFonts w:eastAsia="Calibri"/>
                <w:sz w:val="20"/>
                <w:szCs w:val="20"/>
              </w:rPr>
            </w:pPr>
          </w:p>
        </w:tc>
        <w:tc>
          <w:tcPr>
            <w:tcW w:w="392" w:type="pct"/>
          </w:tcPr>
          <w:p w14:paraId="0632BCEB" w14:textId="77777777" w:rsidR="00647D0C" w:rsidRPr="00A61195" w:rsidRDefault="00647D0C" w:rsidP="009D20AB">
            <w:pPr>
              <w:spacing w:before="60" w:after="60" w:line="240" w:lineRule="auto"/>
              <w:ind w:left="-57" w:right="-57"/>
              <w:rPr>
                <w:rFonts w:eastAsia="Calibri"/>
                <w:b/>
                <w:i/>
                <w:sz w:val="20"/>
                <w:szCs w:val="20"/>
              </w:rPr>
            </w:pPr>
            <w:r w:rsidRPr="00A61195">
              <w:rPr>
                <w:sz w:val="20"/>
                <w:szCs w:val="20"/>
              </w:rPr>
              <w:t>Nu se aplică</w:t>
            </w:r>
          </w:p>
        </w:tc>
        <w:tc>
          <w:tcPr>
            <w:tcW w:w="389" w:type="pct"/>
          </w:tcPr>
          <w:p w14:paraId="63862F94" w14:textId="77777777" w:rsidR="00647D0C" w:rsidRPr="00A61195" w:rsidRDefault="00647D0C" w:rsidP="009D20AB">
            <w:pPr>
              <w:spacing w:before="60" w:after="60" w:line="240" w:lineRule="auto"/>
              <w:ind w:left="-57" w:right="-57"/>
              <w:rPr>
                <w:rFonts w:eastAsia="Calibri"/>
                <w:b/>
                <w:i/>
                <w:sz w:val="20"/>
                <w:szCs w:val="20"/>
              </w:rPr>
            </w:pPr>
            <w:r w:rsidRPr="00A61195">
              <w:rPr>
                <w:sz w:val="20"/>
                <w:szCs w:val="20"/>
              </w:rPr>
              <w:t>Nu se aplică</w:t>
            </w:r>
          </w:p>
        </w:tc>
        <w:tc>
          <w:tcPr>
            <w:tcW w:w="349" w:type="pct"/>
          </w:tcPr>
          <w:p w14:paraId="70ECB2DB" w14:textId="76A678C5" w:rsidR="00647D0C" w:rsidRPr="00A61195" w:rsidRDefault="00647D0C" w:rsidP="00A61195">
            <w:pPr>
              <w:spacing w:before="60" w:after="60" w:line="240" w:lineRule="auto"/>
              <w:ind w:left="-57" w:right="-57"/>
              <w:rPr>
                <w:rFonts w:eastAsia="Calibri"/>
                <w:sz w:val="20"/>
                <w:szCs w:val="20"/>
                <w:vertAlign w:val="superscript"/>
              </w:rPr>
            </w:pPr>
            <w:r w:rsidRPr="00A61195">
              <w:rPr>
                <w:sz w:val="20"/>
                <w:szCs w:val="20"/>
              </w:rPr>
              <w:t>Suma echivalenților de PCDD-uri + PCDF-uri + PCB-DL-uri 3,5 x 10</w:t>
            </w:r>
            <w:r w:rsidRPr="00A61195">
              <w:rPr>
                <w:sz w:val="20"/>
                <w:szCs w:val="20"/>
                <w:vertAlign w:val="superscript"/>
              </w:rPr>
              <w:t>-5</w:t>
            </w:r>
            <w:r w:rsidR="00A61195" w:rsidRPr="00A61195">
              <w:rPr>
                <w:sz w:val="20"/>
                <w:szCs w:val="20"/>
                <w:vertAlign w:val="superscript"/>
              </w:rPr>
              <w:t xml:space="preserve"> </w:t>
            </w:r>
            <w:r w:rsidRPr="00A61195">
              <w:rPr>
                <w:sz w:val="20"/>
                <w:szCs w:val="20"/>
              </w:rPr>
              <w:t>(</w:t>
            </w:r>
            <w:r w:rsidRPr="00D3772B">
              <w:rPr>
                <w:b/>
                <w:bCs/>
                <w:sz w:val="20"/>
                <w:szCs w:val="20"/>
                <w:vertAlign w:val="superscript"/>
              </w:rPr>
              <w:t>22</w:t>
            </w:r>
            <w:r w:rsidRPr="00A61195">
              <w:rPr>
                <w:sz w:val="20"/>
                <w:szCs w:val="20"/>
              </w:rPr>
              <w:t>)</w:t>
            </w:r>
          </w:p>
        </w:tc>
        <w:tc>
          <w:tcPr>
            <w:tcW w:w="393" w:type="pct"/>
          </w:tcPr>
          <w:p w14:paraId="4396722C"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7DA6CA23"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296" w:type="pct"/>
          </w:tcPr>
          <w:p w14:paraId="02A59DD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28F21BED" w14:textId="77777777" w:rsidTr="00647D0C">
        <w:tc>
          <w:tcPr>
            <w:tcW w:w="296" w:type="pct"/>
          </w:tcPr>
          <w:p w14:paraId="2EC12E9D" w14:textId="5D4CF298"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38.</w:t>
            </w:r>
          </w:p>
        </w:tc>
        <w:tc>
          <w:tcPr>
            <w:tcW w:w="628" w:type="pct"/>
            <w:gridSpan w:val="3"/>
          </w:tcPr>
          <w:p w14:paraId="44260AA9"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Aclonifen</w:t>
            </w:r>
            <w:proofErr w:type="spellEnd"/>
          </w:p>
        </w:tc>
        <w:tc>
          <w:tcPr>
            <w:tcW w:w="394" w:type="pct"/>
            <w:gridSpan w:val="2"/>
          </w:tcPr>
          <w:p w14:paraId="0273D62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Pesticide – erbicide</w:t>
            </w:r>
          </w:p>
        </w:tc>
        <w:tc>
          <w:tcPr>
            <w:tcW w:w="339" w:type="pct"/>
          </w:tcPr>
          <w:p w14:paraId="30EA769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74070-46-5</w:t>
            </w:r>
          </w:p>
        </w:tc>
        <w:tc>
          <w:tcPr>
            <w:tcW w:w="390" w:type="pct"/>
            <w:gridSpan w:val="2"/>
          </w:tcPr>
          <w:p w14:paraId="2DD39CE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277-704-1</w:t>
            </w:r>
          </w:p>
        </w:tc>
        <w:tc>
          <w:tcPr>
            <w:tcW w:w="387" w:type="pct"/>
          </w:tcPr>
          <w:p w14:paraId="2A38116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0,12</w:t>
            </w:r>
          </w:p>
        </w:tc>
        <w:tc>
          <w:tcPr>
            <w:tcW w:w="389" w:type="pct"/>
          </w:tcPr>
          <w:p w14:paraId="440180E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0,012</w:t>
            </w:r>
          </w:p>
        </w:tc>
        <w:tc>
          <w:tcPr>
            <w:tcW w:w="392" w:type="pct"/>
          </w:tcPr>
          <w:p w14:paraId="08BBE76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0,12</w:t>
            </w:r>
          </w:p>
        </w:tc>
        <w:tc>
          <w:tcPr>
            <w:tcW w:w="389" w:type="pct"/>
          </w:tcPr>
          <w:p w14:paraId="2BA8419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0,012</w:t>
            </w:r>
          </w:p>
        </w:tc>
        <w:tc>
          <w:tcPr>
            <w:tcW w:w="349" w:type="pct"/>
          </w:tcPr>
          <w:p w14:paraId="70E81C88"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139B8AD7" w14:textId="77777777" w:rsidR="00647D0C" w:rsidRPr="00A61195" w:rsidRDefault="00647D0C" w:rsidP="009D20AB">
            <w:pPr>
              <w:spacing w:before="60" w:after="60" w:line="240" w:lineRule="auto"/>
              <w:ind w:left="-57" w:right="-57"/>
              <w:rPr>
                <w:rFonts w:eastAsia="Calibri"/>
                <w:sz w:val="20"/>
                <w:szCs w:val="20"/>
              </w:rPr>
            </w:pPr>
          </w:p>
        </w:tc>
        <w:tc>
          <w:tcPr>
            <w:tcW w:w="360" w:type="pct"/>
            <w:gridSpan w:val="2"/>
          </w:tcPr>
          <w:p w14:paraId="512A1047"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55BF5A25"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7BD3D10F" w14:textId="77777777" w:rsidTr="00647D0C">
        <w:tc>
          <w:tcPr>
            <w:tcW w:w="296" w:type="pct"/>
          </w:tcPr>
          <w:p w14:paraId="6B262ECF" w14:textId="612DF6C6" w:rsidR="00647D0C" w:rsidRPr="00A61195" w:rsidRDefault="00647D0C" w:rsidP="009D20AB">
            <w:pPr>
              <w:spacing w:before="60" w:after="60" w:line="240" w:lineRule="auto"/>
              <w:ind w:left="-57" w:right="-57"/>
              <w:rPr>
                <w:rFonts w:eastAsia="Calibri"/>
                <w:sz w:val="20"/>
                <w:szCs w:val="20"/>
              </w:rPr>
            </w:pPr>
            <w:r w:rsidRPr="00A61195">
              <w:rPr>
                <w:sz w:val="20"/>
                <w:szCs w:val="20"/>
              </w:rPr>
              <w:t>39.</w:t>
            </w:r>
          </w:p>
        </w:tc>
        <w:tc>
          <w:tcPr>
            <w:tcW w:w="628" w:type="pct"/>
            <w:gridSpan w:val="3"/>
          </w:tcPr>
          <w:p w14:paraId="32DEA1A1"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Bifenox</w:t>
            </w:r>
            <w:proofErr w:type="spellEnd"/>
          </w:p>
        </w:tc>
        <w:tc>
          <w:tcPr>
            <w:tcW w:w="394" w:type="pct"/>
            <w:gridSpan w:val="2"/>
          </w:tcPr>
          <w:p w14:paraId="21EB5CA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Pesticide – erbicide</w:t>
            </w:r>
          </w:p>
        </w:tc>
        <w:tc>
          <w:tcPr>
            <w:tcW w:w="339" w:type="pct"/>
          </w:tcPr>
          <w:p w14:paraId="5D4E513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42576-02-3</w:t>
            </w:r>
          </w:p>
        </w:tc>
        <w:tc>
          <w:tcPr>
            <w:tcW w:w="390" w:type="pct"/>
            <w:gridSpan w:val="2"/>
          </w:tcPr>
          <w:p w14:paraId="208F00C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255-894-7</w:t>
            </w:r>
          </w:p>
        </w:tc>
        <w:tc>
          <w:tcPr>
            <w:tcW w:w="387" w:type="pct"/>
          </w:tcPr>
          <w:p w14:paraId="291CA80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0,012</w:t>
            </w:r>
          </w:p>
        </w:tc>
        <w:tc>
          <w:tcPr>
            <w:tcW w:w="389" w:type="pct"/>
          </w:tcPr>
          <w:p w14:paraId="4B6806E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0,0012</w:t>
            </w:r>
          </w:p>
        </w:tc>
        <w:tc>
          <w:tcPr>
            <w:tcW w:w="392" w:type="pct"/>
          </w:tcPr>
          <w:p w14:paraId="70DE1313"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0,04</w:t>
            </w:r>
          </w:p>
        </w:tc>
        <w:tc>
          <w:tcPr>
            <w:tcW w:w="389" w:type="pct"/>
          </w:tcPr>
          <w:p w14:paraId="128EB87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0,004</w:t>
            </w:r>
          </w:p>
        </w:tc>
        <w:tc>
          <w:tcPr>
            <w:tcW w:w="349" w:type="pct"/>
          </w:tcPr>
          <w:p w14:paraId="08476AC0"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36D70019" w14:textId="77777777" w:rsidR="00647D0C" w:rsidRPr="00A61195" w:rsidRDefault="00647D0C" w:rsidP="009D20AB">
            <w:pPr>
              <w:spacing w:before="60" w:after="60" w:line="240" w:lineRule="auto"/>
              <w:ind w:left="-57" w:right="-57"/>
              <w:rPr>
                <w:rFonts w:eastAsia="Calibri"/>
                <w:sz w:val="20"/>
                <w:szCs w:val="20"/>
              </w:rPr>
            </w:pPr>
          </w:p>
        </w:tc>
        <w:tc>
          <w:tcPr>
            <w:tcW w:w="360" w:type="pct"/>
            <w:gridSpan w:val="2"/>
          </w:tcPr>
          <w:p w14:paraId="712B8955"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2E40824F"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0A6823C3" w14:textId="77777777" w:rsidTr="00647D0C">
        <w:tc>
          <w:tcPr>
            <w:tcW w:w="296" w:type="pct"/>
          </w:tcPr>
          <w:p w14:paraId="08082DC7" w14:textId="0EB2D261" w:rsidR="00647D0C" w:rsidRPr="00A61195" w:rsidRDefault="00647D0C" w:rsidP="009D20AB">
            <w:pPr>
              <w:spacing w:before="60" w:after="60" w:line="240" w:lineRule="auto"/>
              <w:ind w:left="-57" w:right="-57"/>
              <w:rPr>
                <w:rFonts w:eastAsia="Calibri"/>
                <w:sz w:val="20"/>
                <w:szCs w:val="20"/>
              </w:rPr>
            </w:pPr>
            <w:r w:rsidRPr="00A61195">
              <w:rPr>
                <w:sz w:val="20"/>
                <w:szCs w:val="20"/>
              </w:rPr>
              <w:t>40.</w:t>
            </w:r>
          </w:p>
        </w:tc>
        <w:tc>
          <w:tcPr>
            <w:tcW w:w="628" w:type="pct"/>
            <w:gridSpan w:val="3"/>
          </w:tcPr>
          <w:p w14:paraId="3CD0F28D"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Cibutrin</w:t>
            </w:r>
            <w:proofErr w:type="spellEnd"/>
          </w:p>
        </w:tc>
        <w:tc>
          <w:tcPr>
            <w:tcW w:w="394" w:type="pct"/>
            <w:gridSpan w:val="2"/>
          </w:tcPr>
          <w:p w14:paraId="36F5DB1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Pesticide – </w:t>
            </w:r>
            <w:proofErr w:type="spellStart"/>
            <w:r w:rsidRPr="00A61195">
              <w:rPr>
                <w:sz w:val="20"/>
                <w:szCs w:val="20"/>
              </w:rPr>
              <w:t>biocide</w:t>
            </w:r>
            <w:proofErr w:type="spellEnd"/>
          </w:p>
        </w:tc>
        <w:tc>
          <w:tcPr>
            <w:tcW w:w="339" w:type="pct"/>
          </w:tcPr>
          <w:p w14:paraId="10E319B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28159-98-0</w:t>
            </w:r>
          </w:p>
        </w:tc>
        <w:tc>
          <w:tcPr>
            <w:tcW w:w="390" w:type="pct"/>
            <w:gridSpan w:val="2"/>
          </w:tcPr>
          <w:p w14:paraId="735D32F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248-872-3</w:t>
            </w:r>
          </w:p>
        </w:tc>
        <w:tc>
          <w:tcPr>
            <w:tcW w:w="387" w:type="pct"/>
          </w:tcPr>
          <w:p w14:paraId="597989F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0,0025</w:t>
            </w:r>
          </w:p>
        </w:tc>
        <w:tc>
          <w:tcPr>
            <w:tcW w:w="389" w:type="pct"/>
          </w:tcPr>
          <w:p w14:paraId="26ADDCC3"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0,0025</w:t>
            </w:r>
          </w:p>
        </w:tc>
        <w:tc>
          <w:tcPr>
            <w:tcW w:w="392" w:type="pct"/>
          </w:tcPr>
          <w:p w14:paraId="76FAE22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0,016</w:t>
            </w:r>
          </w:p>
        </w:tc>
        <w:tc>
          <w:tcPr>
            <w:tcW w:w="389" w:type="pct"/>
          </w:tcPr>
          <w:p w14:paraId="11C1FC2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0,016</w:t>
            </w:r>
          </w:p>
        </w:tc>
        <w:tc>
          <w:tcPr>
            <w:tcW w:w="349" w:type="pct"/>
          </w:tcPr>
          <w:p w14:paraId="59F36139"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68E5A79D" w14:textId="77777777" w:rsidR="00647D0C" w:rsidRPr="00A61195" w:rsidRDefault="00647D0C" w:rsidP="009D20AB">
            <w:pPr>
              <w:spacing w:before="60" w:after="60" w:line="240" w:lineRule="auto"/>
              <w:ind w:left="-57" w:right="-57"/>
              <w:rPr>
                <w:rFonts w:eastAsia="Calibri"/>
                <w:sz w:val="20"/>
                <w:szCs w:val="20"/>
              </w:rPr>
            </w:pPr>
          </w:p>
        </w:tc>
        <w:tc>
          <w:tcPr>
            <w:tcW w:w="360" w:type="pct"/>
            <w:gridSpan w:val="2"/>
          </w:tcPr>
          <w:p w14:paraId="4D5C1F0E"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622040F0"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1116B367" w14:textId="77777777" w:rsidTr="00647D0C">
        <w:tc>
          <w:tcPr>
            <w:tcW w:w="296" w:type="pct"/>
          </w:tcPr>
          <w:p w14:paraId="5830AAE2" w14:textId="3ED88FF6" w:rsidR="00647D0C" w:rsidRPr="00A61195" w:rsidRDefault="00647D0C" w:rsidP="009D20AB">
            <w:pPr>
              <w:spacing w:before="60" w:after="60" w:line="240" w:lineRule="auto"/>
              <w:ind w:left="-57" w:right="-57"/>
              <w:rPr>
                <w:rFonts w:eastAsia="Calibri"/>
                <w:sz w:val="20"/>
                <w:szCs w:val="20"/>
              </w:rPr>
            </w:pPr>
            <w:r w:rsidRPr="00A61195">
              <w:rPr>
                <w:sz w:val="20"/>
                <w:szCs w:val="20"/>
              </w:rPr>
              <w:t>41.</w:t>
            </w:r>
          </w:p>
        </w:tc>
        <w:tc>
          <w:tcPr>
            <w:tcW w:w="628" w:type="pct"/>
            <w:gridSpan w:val="3"/>
          </w:tcPr>
          <w:p w14:paraId="5E187F09"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Cipermetrin</w:t>
            </w:r>
            <w:proofErr w:type="spellEnd"/>
            <w:r w:rsidRPr="00A61195">
              <w:rPr>
                <w:sz w:val="20"/>
                <w:szCs w:val="20"/>
              </w:rPr>
              <w:t xml:space="preserve"> (</w:t>
            </w:r>
            <w:r w:rsidRPr="00D3772B">
              <w:rPr>
                <w:b/>
                <w:bCs/>
                <w:sz w:val="20"/>
                <w:szCs w:val="20"/>
                <w:vertAlign w:val="superscript"/>
              </w:rPr>
              <w:t>23</w:t>
            </w:r>
            <w:r w:rsidRPr="00A61195">
              <w:rPr>
                <w:sz w:val="20"/>
                <w:szCs w:val="20"/>
              </w:rPr>
              <w:t>)</w:t>
            </w:r>
          </w:p>
        </w:tc>
        <w:tc>
          <w:tcPr>
            <w:tcW w:w="394" w:type="pct"/>
            <w:gridSpan w:val="2"/>
          </w:tcPr>
          <w:p w14:paraId="6CCE5B6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Pesticide – </w:t>
            </w:r>
            <w:proofErr w:type="spellStart"/>
            <w:r w:rsidRPr="00A61195">
              <w:rPr>
                <w:sz w:val="20"/>
                <w:szCs w:val="20"/>
              </w:rPr>
              <w:t>piretroide</w:t>
            </w:r>
            <w:proofErr w:type="spellEnd"/>
          </w:p>
        </w:tc>
        <w:tc>
          <w:tcPr>
            <w:tcW w:w="339" w:type="pct"/>
          </w:tcPr>
          <w:p w14:paraId="439658A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52315-07-8</w:t>
            </w:r>
          </w:p>
        </w:tc>
        <w:tc>
          <w:tcPr>
            <w:tcW w:w="390" w:type="pct"/>
            <w:gridSpan w:val="2"/>
          </w:tcPr>
          <w:p w14:paraId="79D4332B" w14:textId="77777777" w:rsidR="00647D0C" w:rsidRPr="00A61195" w:rsidRDefault="00647D0C" w:rsidP="009D20AB">
            <w:pPr>
              <w:spacing w:before="60" w:after="60" w:line="240" w:lineRule="auto"/>
              <w:ind w:left="-57" w:right="-57"/>
              <w:rPr>
                <w:rFonts w:eastAsia="Calibri"/>
                <w:strike/>
                <w:sz w:val="20"/>
                <w:szCs w:val="20"/>
              </w:rPr>
            </w:pPr>
            <w:r w:rsidRPr="00A61195">
              <w:rPr>
                <w:sz w:val="20"/>
                <w:szCs w:val="20"/>
              </w:rPr>
              <w:t>257-842-9</w:t>
            </w:r>
          </w:p>
        </w:tc>
        <w:tc>
          <w:tcPr>
            <w:tcW w:w="387" w:type="pct"/>
          </w:tcPr>
          <w:p w14:paraId="5CBBE86A"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3 × 10</w:t>
            </w:r>
            <w:r w:rsidRPr="00A61195">
              <w:rPr>
                <w:sz w:val="20"/>
                <w:szCs w:val="20"/>
                <w:vertAlign w:val="superscript"/>
              </w:rPr>
              <w:t>-5</w:t>
            </w:r>
          </w:p>
        </w:tc>
        <w:tc>
          <w:tcPr>
            <w:tcW w:w="389" w:type="pct"/>
          </w:tcPr>
          <w:p w14:paraId="2FD004A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3 × 10</w:t>
            </w:r>
            <w:r w:rsidRPr="00A61195">
              <w:rPr>
                <w:sz w:val="20"/>
                <w:szCs w:val="20"/>
                <w:vertAlign w:val="superscript"/>
              </w:rPr>
              <w:t>-6</w:t>
            </w:r>
          </w:p>
        </w:tc>
        <w:tc>
          <w:tcPr>
            <w:tcW w:w="392" w:type="pct"/>
          </w:tcPr>
          <w:p w14:paraId="5A4F1B7C" w14:textId="77777777" w:rsidR="00647D0C" w:rsidRPr="00A61195" w:rsidRDefault="00647D0C" w:rsidP="009D20AB">
            <w:pPr>
              <w:spacing w:before="60" w:after="60" w:line="240" w:lineRule="auto"/>
              <w:ind w:left="-57" w:right="-57"/>
              <w:rPr>
                <w:rFonts w:eastAsia="Calibri"/>
                <w:sz w:val="20"/>
                <w:szCs w:val="20"/>
                <w:vertAlign w:val="superscript"/>
              </w:rPr>
            </w:pPr>
            <w:r w:rsidRPr="00A61195">
              <w:rPr>
                <w:sz w:val="20"/>
                <w:szCs w:val="20"/>
              </w:rPr>
              <w:t>6 × 10</w:t>
            </w:r>
            <w:r w:rsidRPr="00A61195">
              <w:rPr>
                <w:sz w:val="20"/>
                <w:szCs w:val="20"/>
                <w:vertAlign w:val="superscript"/>
              </w:rPr>
              <w:t>-4</w:t>
            </w:r>
          </w:p>
        </w:tc>
        <w:tc>
          <w:tcPr>
            <w:tcW w:w="389" w:type="pct"/>
          </w:tcPr>
          <w:p w14:paraId="27DE5351" w14:textId="77777777" w:rsidR="00647D0C" w:rsidRPr="00A61195" w:rsidRDefault="00647D0C" w:rsidP="009D20AB">
            <w:pPr>
              <w:spacing w:before="60" w:after="60" w:line="240" w:lineRule="auto"/>
              <w:ind w:left="-57" w:right="-57"/>
              <w:rPr>
                <w:rFonts w:eastAsia="Calibri"/>
                <w:sz w:val="20"/>
                <w:szCs w:val="20"/>
                <w:vertAlign w:val="superscript"/>
              </w:rPr>
            </w:pPr>
            <w:r w:rsidRPr="00A61195">
              <w:rPr>
                <w:sz w:val="20"/>
                <w:szCs w:val="20"/>
              </w:rPr>
              <w:t>6 × 10</w:t>
            </w:r>
            <w:r w:rsidRPr="00A61195">
              <w:rPr>
                <w:sz w:val="20"/>
                <w:szCs w:val="20"/>
                <w:vertAlign w:val="superscript"/>
              </w:rPr>
              <w:t>-5</w:t>
            </w:r>
          </w:p>
        </w:tc>
        <w:tc>
          <w:tcPr>
            <w:tcW w:w="349" w:type="pct"/>
          </w:tcPr>
          <w:p w14:paraId="172F1A27"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050B07D6" w14:textId="77777777" w:rsidR="00647D0C" w:rsidRPr="00A61195" w:rsidRDefault="00647D0C" w:rsidP="009D20AB">
            <w:pPr>
              <w:spacing w:before="60" w:after="60" w:line="240" w:lineRule="auto"/>
              <w:ind w:left="-57" w:right="-57"/>
              <w:rPr>
                <w:rFonts w:eastAsia="Calibri"/>
                <w:sz w:val="20"/>
                <w:szCs w:val="20"/>
                <w:vertAlign w:val="superscript"/>
              </w:rPr>
            </w:pPr>
          </w:p>
        </w:tc>
        <w:tc>
          <w:tcPr>
            <w:tcW w:w="360" w:type="pct"/>
            <w:gridSpan w:val="2"/>
          </w:tcPr>
          <w:p w14:paraId="13386307" w14:textId="77777777" w:rsidR="00647D0C" w:rsidRPr="00A61195" w:rsidRDefault="00647D0C" w:rsidP="009D20AB">
            <w:pPr>
              <w:spacing w:before="60" w:after="60" w:line="240" w:lineRule="auto"/>
              <w:ind w:left="-57" w:right="-57"/>
              <w:rPr>
                <w:rFonts w:eastAsia="Calibri"/>
                <w:sz w:val="20"/>
                <w:szCs w:val="20"/>
                <w:vertAlign w:val="superscript"/>
              </w:rPr>
            </w:pPr>
          </w:p>
        </w:tc>
        <w:tc>
          <w:tcPr>
            <w:tcW w:w="296" w:type="pct"/>
          </w:tcPr>
          <w:p w14:paraId="753BC58D" w14:textId="77777777" w:rsidR="00647D0C" w:rsidRPr="00A61195" w:rsidRDefault="00647D0C" w:rsidP="009D20AB">
            <w:pPr>
              <w:spacing w:before="60" w:after="60" w:line="240" w:lineRule="auto"/>
              <w:ind w:left="-57" w:right="-57"/>
              <w:rPr>
                <w:rFonts w:eastAsia="Calibri"/>
                <w:sz w:val="20"/>
                <w:szCs w:val="20"/>
                <w:vertAlign w:val="superscript"/>
              </w:rPr>
            </w:pPr>
            <w:r w:rsidRPr="00A61195">
              <w:rPr>
                <w:sz w:val="20"/>
                <w:szCs w:val="20"/>
              </w:rPr>
              <w:t>X</w:t>
            </w:r>
          </w:p>
        </w:tc>
      </w:tr>
      <w:tr w:rsidR="00647D0C" w:rsidRPr="00A61195" w14:paraId="6A242B6E" w14:textId="77777777" w:rsidTr="00647D0C">
        <w:tc>
          <w:tcPr>
            <w:tcW w:w="296" w:type="pct"/>
          </w:tcPr>
          <w:p w14:paraId="2EED2F97" w14:textId="45712161"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42.</w:t>
            </w:r>
          </w:p>
        </w:tc>
        <w:tc>
          <w:tcPr>
            <w:tcW w:w="628" w:type="pct"/>
            <w:gridSpan w:val="3"/>
          </w:tcPr>
          <w:p w14:paraId="5C477E08"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Diclorvos</w:t>
            </w:r>
            <w:proofErr w:type="spellEnd"/>
          </w:p>
        </w:tc>
        <w:tc>
          <w:tcPr>
            <w:tcW w:w="394" w:type="pct"/>
            <w:gridSpan w:val="2"/>
          </w:tcPr>
          <w:p w14:paraId="3DBAF25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Pesticide – </w:t>
            </w:r>
            <w:proofErr w:type="spellStart"/>
            <w:r w:rsidRPr="00A61195">
              <w:rPr>
                <w:sz w:val="20"/>
                <w:szCs w:val="20"/>
              </w:rPr>
              <w:t>organofosfatice</w:t>
            </w:r>
            <w:proofErr w:type="spellEnd"/>
          </w:p>
        </w:tc>
        <w:tc>
          <w:tcPr>
            <w:tcW w:w="339" w:type="pct"/>
          </w:tcPr>
          <w:p w14:paraId="47F0C47C"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62-73-7</w:t>
            </w:r>
          </w:p>
        </w:tc>
        <w:tc>
          <w:tcPr>
            <w:tcW w:w="390" w:type="pct"/>
            <w:gridSpan w:val="2"/>
          </w:tcPr>
          <w:p w14:paraId="7AAE95B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200-547-7</w:t>
            </w:r>
          </w:p>
        </w:tc>
        <w:tc>
          <w:tcPr>
            <w:tcW w:w="387" w:type="pct"/>
          </w:tcPr>
          <w:p w14:paraId="16B1C6E7" w14:textId="77777777" w:rsidR="00647D0C" w:rsidRPr="00A61195" w:rsidRDefault="00647D0C" w:rsidP="009D20AB">
            <w:pPr>
              <w:spacing w:before="60" w:after="60" w:line="240" w:lineRule="auto"/>
              <w:ind w:left="-57" w:right="-57"/>
              <w:rPr>
                <w:rFonts w:eastAsia="Calibri"/>
                <w:sz w:val="20"/>
                <w:szCs w:val="20"/>
                <w:vertAlign w:val="superscript"/>
              </w:rPr>
            </w:pPr>
            <w:r w:rsidRPr="00A61195">
              <w:rPr>
                <w:sz w:val="20"/>
                <w:szCs w:val="20"/>
              </w:rPr>
              <w:t>6 × 10</w:t>
            </w:r>
            <w:r w:rsidRPr="00A61195">
              <w:rPr>
                <w:sz w:val="20"/>
                <w:szCs w:val="20"/>
                <w:vertAlign w:val="superscript"/>
              </w:rPr>
              <w:t>-4</w:t>
            </w:r>
          </w:p>
        </w:tc>
        <w:tc>
          <w:tcPr>
            <w:tcW w:w="389" w:type="pct"/>
          </w:tcPr>
          <w:p w14:paraId="3D283B7F" w14:textId="77777777" w:rsidR="00647D0C" w:rsidRPr="00A61195" w:rsidRDefault="00647D0C" w:rsidP="009D20AB">
            <w:pPr>
              <w:spacing w:before="60" w:after="60" w:line="240" w:lineRule="auto"/>
              <w:ind w:left="-57" w:right="-57"/>
              <w:rPr>
                <w:rFonts w:eastAsia="Calibri"/>
                <w:sz w:val="20"/>
                <w:szCs w:val="20"/>
                <w:vertAlign w:val="superscript"/>
              </w:rPr>
            </w:pPr>
            <w:r w:rsidRPr="00A61195">
              <w:rPr>
                <w:sz w:val="20"/>
                <w:szCs w:val="20"/>
              </w:rPr>
              <w:t>6 × 10</w:t>
            </w:r>
            <w:r w:rsidRPr="00A61195">
              <w:rPr>
                <w:sz w:val="20"/>
                <w:szCs w:val="20"/>
                <w:vertAlign w:val="superscript"/>
              </w:rPr>
              <w:t>-5</w:t>
            </w:r>
          </w:p>
        </w:tc>
        <w:tc>
          <w:tcPr>
            <w:tcW w:w="392" w:type="pct"/>
          </w:tcPr>
          <w:p w14:paraId="4B7F5E16" w14:textId="77777777" w:rsidR="00647D0C" w:rsidRPr="00A61195" w:rsidRDefault="00647D0C" w:rsidP="009D20AB">
            <w:pPr>
              <w:spacing w:before="60" w:after="60" w:line="240" w:lineRule="auto"/>
              <w:ind w:left="-57" w:right="-57"/>
              <w:rPr>
                <w:rFonts w:eastAsia="Calibri"/>
                <w:sz w:val="20"/>
                <w:szCs w:val="20"/>
                <w:vertAlign w:val="superscript"/>
              </w:rPr>
            </w:pPr>
            <w:r w:rsidRPr="00A61195">
              <w:rPr>
                <w:sz w:val="20"/>
                <w:szCs w:val="20"/>
              </w:rPr>
              <w:t>7 × 10</w:t>
            </w:r>
            <w:r w:rsidRPr="00A61195">
              <w:rPr>
                <w:sz w:val="20"/>
                <w:szCs w:val="20"/>
                <w:vertAlign w:val="superscript"/>
              </w:rPr>
              <w:t>-4</w:t>
            </w:r>
          </w:p>
        </w:tc>
        <w:tc>
          <w:tcPr>
            <w:tcW w:w="389" w:type="pct"/>
          </w:tcPr>
          <w:p w14:paraId="704961DC" w14:textId="77777777" w:rsidR="00647D0C" w:rsidRPr="00A61195" w:rsidRDefault="00647D0C" w:rsidP="009D20AB">
            <w:pPr>
              <w:spacing w:before="60" w:after="60" w:line="240" w:lineRule="auto"/>
              <w:ind w:left="-57" w:right="-57"/>
              <w:rPr>
                <w:rFonts w:eastAsia="Calibri"/>
                <w:sz w:val="20"/>
                <w:szCs w:val="20"/>
                <w:vertAlign w:val="superscript"/>
              </w:rPr>
            </w:pPr>
            <w:r w:rsidRPr="00A61195">
              <w:rPr>
                <w:sz w:val="20"/>
                <w:szCs w:val="20"/>
              </w:rPr>
              <w:t>7 × 10</w:t>
            </w:r>
            <w:r w:rsidRPr="00A61195">
              <w:rPr>
                <w:sz w:val="20"/>
                <w:szCs w:val="20"/>
                <w:vertAlign w:val="superscript"/>
              </w:rPr>
              <w:t>-5</w:t>
            </w:r>
          </w:p>
        </w:tc>
        <w:tc>
          <w:tcPr>
            <w:tcW w:w="349" w:type="pct"/>
          </w:tcPr>
          <w:p w14:paraId="4A3C1607" w14:textId="77777777" w:rsidR="00647D0C" w:rsidRPr="00A61195" w:rsidRDefault="00647D0C" w:rsidP="009D20AB">
            <w:pPr>
              <w:spacing w:before="60" w:after="60" w:line="240" w:lineRule="auto"/>
              <w:ind w:left="-57" w:right="-57"/>
              <w:rPr>
                <w:rFonts w:eastAsia="Calibri"/>
                <w:sz w:val="20"/>
                <w:szCs w:val="20"/>
                <w:vertAlign w:val="superscript"/>
              </w:rPr>
            </w:pPr>
          </w:p>
        </w:tc>
        <w:tc>
          <w:tcPr>
            <w:tcW w:w="393" w:type="pct"/>
          </w:tcPr>
          <w:p w14:paraId="7E25F3F7" w14:textId="77777777" w:rsidR="00647D0C" w:rsidRPr="00A61195" w:rsidRDefault="00647D0C" w:rsidP="009D20AB">
            <w:pPr>
              <w:spacing w:before="60" w:after="60" w:line="240" w:lineRule="auto"/>
              <w:ind w:left="-57" w:right="-57"/>
              <w:rPr>
                <w:rFonts w:eastAsia="Calibri"/>
                <w:sz w:val="20"/>
                <w:szCs w:val="20"/>
                <w:vertAlign w:val="superscript"/>
              </w:rPr>
            </w:pPr>
          </w:p>
        </w:tc>
        <w:tc>
          <w:tcPr>
            <w:tcW w:w="360" w:type="pct"/>
            <w:gridSpan w:val="2"/>
          </w:tcPr>
          <w:p w14:paraId="110D3A60" w14:textId="77777777" w:rsidR="00647D0C" w:rsidRPr="00A61195" w:rsidRDefault="00647D0C" w:rsidP="009D20AB">
            <w:pPr>
              <w:spacing w:before="60" w:after="60" w:line="240" w:lineRule="auto"/>
              <w:ind w:left="-57" w:right="-57"/>
              <w:rPr>
                <w:rFonts w:eastAsia="Calibri"/>
                <w:sz w:val="20"/>
                <w:szCs w:val="20"/>
                <w:vertAlign w:val="superscript"/>
              </w:rPr>
            </w:pPr>
          </w:p>
        </w:tc>
        <w:tc>
          <w:tcPr>
            <w:tcW w:w="296" w:type="pct"/>
          </w:tcPr>
          <w:p w14:paraId="4385413A" w14:textId="77777777" w:rsidR="00647D0C" w:rsidRPr="00A61195" w:rsidRDefault="00647D0C" w:rsidP="009D20AB">
            <w:pPr>
              <w:spacing w:before="60" w:after="60" w:line="240" w:lineRule="auto"/>
              <w:ind w:left="-57" w:right="-57"/>
              <w:rPr>
                <w:rFonts w:eastAsia="Calibri"/>
                <w:sz w:val="20"/>
                <w:szCs w:val="20"/>
                <w:vertAlign w:val="superscript"/>
              </w:rPr>
            </w:pPr>
          </w:p>
        </w:tc>
      </w:tr>
      <w:tr w:rsidR="00647D0C" w:rsidRPr="00A61195" w14:paraId="1F08D944" w14:textId="77777777" w:rsidTr="00647D0C">
        <w:tc>
          <w:tcPr>
            <w:tcW w:w="296" w:type="pct"/>
          </w:tcPr>
          <w:p w14:paraId="08A3013E" w14:textId="2CB70A07" w:rsidR="00647D0C" w:rsidRPr="00A61195" w:rsidRDefault="00647D0C" w:rsidP="009D20AB">
            <w:pPr>
              <w:spacing w:before="60" w:after="60" w:line="240" w:lineRule="auto"/>
              <w:ind w:left="-57" w:right="-57"/>
              <w:rPr>
                <w:rFonts w:eastAsia="Calibri"/>
                <w:sz w:val="20"/>
                <w:szCs w:val="20"/>
              </w:rPr>
            </w:pPr>
            <w:r w:rsidRPr="00A61195">
              <w:rPr>
                <w:sz w:val="20"/>
                <w:szCs w:val="20"/>
              </w:rPr>
              <w:t>43.</w:t>
            </w:r>
          </w:p>
        </w:tc>
        <w:tc>
          <w:tcPr>
            <w:tcW w:w="628" w:type="pct"/>
            <w:gridSpan w:val="3"/>
          </w:tcPr>
          <w:p w14:paraId="707358AC"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Hexabromociclododecan</w:t>
            </w:r>
            <w:proofErr w:type="spellEnd"/>
            <w:r w:rsidRPr="00A61195">
              <w:rPr>
                <w:sz w:val="20"/>
                <w:szCs w:val="20"/>
              </w:rPr>
              <w:t xml:space="preserve"> (HBCDD) (</w:t>
            </w:r>
            <w:r w:rsidRPr="00D3772B">
              <w:rPr>
                <w:b/>
                <w:bCs/>
                <w:sz w:val="20"/>
                <w:szCs w:val="20"/>
                <w:vertAlign w:val="superscript"/>
              </w:rPr>
              <w:t>24</w:t>
            </w:r>
            <w:r w:rsidRPr="00A61195">
              <w:rPr>
                <w:sz w:val="20"/>
                <w:szCs w:val="20"/>
              </w:rPr>
              <w:t>)</w:t>
            </w:r>
          </w:p>
        </w:tc>
        <w:tc>
          <w:tcPr>
            <w:tcW w:w="394" w:type="pct"/>
            <w:gridSpan w:val="2"/>
          </w:tcPr>
          <w:p w14:paraId="141DC4A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Substanțe industriale</w:t>
            </w:r>
          </w:p>
        </w:tc>
        <w:tc>
          <w:tcPr>
            <w:tcW w:w="339" w:type="pct"/>
          </w:tcPr>
          <w:p w14:paraId="550F2D5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A se vedea nota de subsol 24</w:t>
            </w:r>
          </w:p>
        </w:tc>
        <w:tc>
          <w:tcPr>
            <w:tcW w:w="390" w:type="pct"/>
            <w:gridSpan w:val="2"/>
          </w:tcPr>
          <w:p w14:paraId="424B2C2F"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A se vedea nota de subsol 24</w:t>
            </w:r>
          </w:p>
        </w:tc>
        <w:tc>
          <w:tcPr>
            <w:tcW w:w="387" w:type="pct"/>
          </w:tcPr>
          <w:p w14:paraId="58EAEF2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4,6 × 10</w:t>
            </w:r>
            <w:r w:rsidRPr="00A61195">
              <w:rPr>
                <w:sz w:val="20"/>
                <w:szCs w:val="20"/>
                <w:vertAlign w:val="superscript"/>
              </w:rPr>
              <w:t>-4</w:t>
            </w:r>
          </w:p>
        </w:tc>
        <w:tc>
          <w:tcPr>
            <w:tcW w:w="389" w:type="pct"/>
          </w:tcPr>
          <w:p w14:paraId="47E56A1C"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 × 10</w:t>
            </w:r>
            <w:r w:rsidRPr="00A61195">
              <w:rPr>
                <w:sz w:val="20"/>
                <w:szCs w:val="20"/>
                <w:vertAlign w:val="superscript"/>
              </w:rPr>
              <w:t>-5</w:t>
            </w:r>
          </w:p>
        </w:tc>
        <w:tc>
          <w:tcPr>
            <w:tcW w:w="392" w:type="pct"/>
          </w:tcPr>
          <w:p w14:paraId="47247DD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0,5</w:t>
            </w:r>
          </w:p>
        </w:tc>
        <w:tc>
          <w:tcPr>
            <w:tcW w:w="389" w:type="pct"/>
          </w:tcPr>
          <w:p w14:paraId="5DFBF6B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0,05</w:t>
            </w:r>
          </w:p>
        </w:tc>
        <w:tc>
          <w:tcPr>
            <w:tcW w:w="349" w:type="pct"/>
          </w:tcPr>
          <w:p w14:paraId="2633EBD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90 – pește AD</w:t>
            </w:r>
          </w:p>
          <w:p w14:paraId="30EBADDD" w14:textId="77777777" w:rsidR="00647D0C" w:rsidRPr="00A61195" w:rsidRDefault="00647D0C" w:rsidP="009D20AB">
            <w:pPr>
              <w:spacing w:before="60" w:after="60" w:line="240" w:lineRule="auto"/>
              <w:ind w:left="-57" w:right="-57"/>
              <w:rPr>
                <w:rFonts w:eastAsia="Calibri"/>
                <w:i/>
                <w:sz w:val="20"/>
                <w:szCs w:val="20"/>
              </w:rPr>
            </w:pPr>
            <w:r w:rsidRPr="00A61195">
              <w:rPr>
                <w:sz w:val="20"/>
                <w:szCs w:val="20"/>
              </w:rPr>
              <w:t>3,5 – pește AS</w:t>
            </w:r>
          </w:p>
        </w:tc>
        <w:tc>
          <w:tcPr>
            <w:tcW w:w="393" w:type="pct"/>
          </w:tcPr>
          <w:p w14:paraId="5C79BC7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453F2DF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296" w:type="pct"/>
          </w:tcPr>
          <w:p w14:paraId="23D4352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141CA732" w14:textId="77777777" w:rsidTr="00647D0C">
        <w:tc>
          <w:tcPr>
            <w:tcW w:w="296" w:type="pct"/>
          </w:tcPr>
          <w:p w14:paraId="3183B7FB" w14:textId="3267F4A8" w:rsidR="00647D0C" w:rsidRPr="00A61195" w:rsidRDefault="00647D0C" w:rsidP="009D20AB">
            <w:pPr>
              <w:spacing w:before="60" w:after="60" w:line="240" w:lineRule="auto"/>
              <w:ind w:left="-57" w:right="-57"/>
              <w:rPr>
                <w:rFonts w:eastAsia="Calibri"/>
                <w:sz w:val="20"/>
                <w:szCs w:val="20"/>
              </w:rPr>
            </w:pPr>
            <w:r w:rsidRPr="00A61195">
              <w:rPr>
                <w:sz w:val="20"/>
                <w:szCs w:val="20"/>
              </w:rPr>
              <w:t>44.</w:t>
            </w:r>
          </w:p>
        </w:tc>
        <w:tc>
          <w:tcPr>
            <w:tcW w:w="628" w:type="pct"/>
            <w:gridSpan w:val="3"/>
          </w:tcPr>
          <w:p w14:paraId="2535ED74" w14:textId="3FC3F80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Heptaclor</w:t>
            </w:r>
            <w:proofErr w:type="spellEnd"/>
            <w:r w:rsidRPr="00A61195">
              <w:rPr>
                <w:sz w:val="20"/>
                <w:szCs w:val="20"/>
              </w:rPr>
              <w:t xml:space="preserve"> și </w:t>
            </w:r>
            <w:proofErr w:type="spellStart"/>
            <w:r w:rsidRPr="00A61195">
              <w:rPr>
                <w:sz w:val="20"/>
                <w:szCs w:val="20"/>
              </w:rPr>
              <w:t>heptaclor</w:t>
            </w:r>
            <w:proofErr w:type="spellEnd"/>
            <w:r w:rsidRPr="00A61195">
              <w:rPr>
                <w:sz w:val="20"/>
                <w:szCs w:val="20"/>
              </w:rPr>
              <w:t xml:space="preserve"> </w:t>
            </w:r>
            <w:proofErr w:type="spellStart"/>
            <w:r w:rsidRPr="00A61195">
              <w:rPr>
                <w:sz w:val="20"/>
                <w:szCs w:val="20"/>
              </w:rPr>
              <w:t>epoxid</w:t>
            </w:r>
            <w:proofErr w:type="spellEnd"/>
          </w:p>
        </w:tc>
        <w:tc>
          <w:tcPr>
            <w:tcW w:w="394" w:type="pct"/>
            <w:gridSpan w:val="2"/>
          </w:tcPr>
          <w:p w14:paraId="20E349BE"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Pesticide – </w:t>
            </w:r>
            <w:proofErr w:type="spellStart"/>
            <w:r w:rsidRPr="00A61195">
              <w:rPr>
                <w:sz w:val="20"/>
                <w:szCs w:val="20"/>
              </w:rPr>
              <w:t>organoclorurate</w:t>
            </w:r>
            <w:proofErr w:type="spellEnd"/>
          </w:p>
        </w:tc>
        <w:tc>
          <w:tcPr>
            <w:tcW w:w="339" w:type="pct"/>
          </w:tcPr>
          <w:p w14:paraId="4A90C641"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76-44-8/1024-57-3</w:t>
            </w:r>
          </w:p>
        </w:tc>
        <w:tc>
          <w:tcPr>
            <w:tcW w:w="390" w:type="pct"/>
            <w:gridSpan w:val="2"/>
          </w:tcPr>
          <w:p w14:paraId="2F12895A" w14:textId="77777777" w:rsidR="00647D0C" w:rsidRPr="00A61195" w:rsidRDefault="00647D0C" w:rsidP="009D20AB">
            <w:pPr>
              <w:spacing w:before="60" w:after="60" w:line="240" w:lineRule="auto"/>
              <w:ind w:left="-57" w:right="-57"/>
              <w:rPr>
                <w:rFonts w:eastAsia="Calibri"/>
                <w:strike/>
                <w:sz w:val="20"/>
                <w:szCs w:val="20"/>
              </w:rPr>
            </w:pPr>
            <w:r w:rsidRPr="00A61195">
              <w:rPr>
                <w:sz w:val="20"/>
                <w:szCs w:val="20"/>
              </w:rPr>
              <w:t>200-962-3/213-831-0</w:t>
            </w:r>
          </w:p>
        </w:tc>
        <w:tc>
          <w:tcPr>
            <w:tcW w:w="387" w:type="pct"/>
          </w:tcPr>
          <w:p w14:paraId="752BFE1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1,7 × 10</w:t>
            </w:r>
            <w:r w:rsidRPr="00A61195">
              <w:rPr>
                <w:sz w:val="20"/>
                <w:szCs w:val="20"/>
                <w:vertAlign w:val="superscript"/>
              </w:rPr>
              <w:t>-7</w:t>
            </w:r>
          </w:p>
        </w:tc>
        <w:tc>
          <w:tcPr>
            <w:tcW w:w="389" w:type="pct"/>
          </w:tcPr>
          <w:p w14:paraId="33BF7B4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1,7 × 10</w:t>
            </w:r>
            <w:r w:rsidRPr="00A61195">
              <w:rPr>
                <w:sz w:val="20"/>
                <w:szCs w:val="20"/>
                <w:vertAlign w:val="superscript"/>
              </w:rPr>
              <w:t>-7</w:t>
            </w:r>
          </w:p>
        </w:tc>
        <w:tc>
          <w:tcPr>
            <w:tcW w:w="392" w:type="pct"/>
          </w:tcPr>
          <w:p w14:paraId="53E8C17C" w14:textId="77777777" w:rsidR="00647D0C" w:rsidRPr="00A61195" w:rsidRDefault="00647D0C" w:rsidP="009D20AB">
            <w:pPr>
              <w:spacing w:before="60" w:after="60" w:line="240" w:lineRule="auto"/>
              <w:ind w:left="-57" w:right="-57"/>
              <w:rPr>
                <w:rFonts w:eastAsia="Calibri"/>
                <w:sz w:val="20"/>
                <w:szCs w:val="20"/>
                <w:vertAlign w:val="superscript"/>
              </w:rPr>
            </w:pPr>
            <w:r w:rsidRPr="00A61195">
              <w:rPr>
                <w:sz w:val="20"/>
                <w:szCs w:val="20"/>
              </w:rPr>
              <w:t>3 × 10</w:t>
            </w:r>
            <w:r w:rsidRPr="00A61195">
              <w:rPr>
                <w:sz w:val="20"/>
                <w:szCs w:val="20"/>
                <w:vertAlign w:val="superscript"/>
              </w:rPr>
              <w:t>-4</w:t>
            </w:r>
          </w:p>
        </w:tc>
        <w:tc>
          <w:tcPr>
            <w:tcW w:w="389" w:type="pct"/>
          </w:tcPr>
          <w:p w14:paraId="23538D76" w14:textId="77777777" w:rsidR="00647D0C" w:rsidRPr="00A61195" w:rsidRDefault="00647D0C" w:rsidP="009D20AB">
            <w:pPr>
              <w:spacing w:before="60" w:after="60" w:line="240" w:lineRule="auto"/>
              <w:ind w:left="-57" w:right="-57"/>
              <w:rPr>
                <w:rFonts w:eastAsia="Calibri"/>
                <w:sz w:val="20"/>
                <w:szCs w:val="20"/>
                <w:vertAlign w:val="superscript"/>
              </w:rPr>
            </w:pPr>
            <w:r w:rsidRPr="00A61195">
              <w:rPr>
                <w:sz w:val="20"/>
                <w:szCs w:val="20"/>
              </w:rPr>
              <w:t>3 × 10</w:t>
            </w:r>
            <w:r w:rsidRPr="00A61195">
              <w:rPr>
                <w:sz w:val="20"/>
                <w:szCs w:val="20"/>
                <w:vertAlign w:val="superscript"/>
              </w:rPr>
              <w:t>-5</w:t>
            </w:r>
          </w:p>
        </w:tc>
        <w:tc>
          <w:tcPr>
            <w:tcW w:w="349" w:type="pct"/>
          </w:tcPr>
          <w:p w14:paraId="5766B26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0,013</w:t>
            </w:r>
          </w:p>
        </w:tc>
        <w:tc>
          <w:tcPr>
            <w:tcW w:w="393" w:type="pct"/>
          </w:tcPr>
          <w:p w14:paraId="19D7A8D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360" w:type="pct"/>
            <w:gridSpan w:val="2"/>
          </w:tcPr>
          <w:p w14:paraId="0173E34C"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c>
          <w:tcPr>
            <w:tcW w:w="296" w:type="pct"/>
          </w:tcPr>
          <w:p w14:paraId="55E382C5"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5A52FA93" w14:textId="77777777" w:rsidTr="00647D0C">
        <w:tc>
          <w:tcPr>
            <w:tcW w:w="296" w:type="pct"/>
          </w:tcPr>
          <w:p w14:paraId="2A46F01F" w14:textId="51210C3C"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45.</w:t>
            </w:r>
          </w:p>
        </w:tc>
        <w:tc>
          <w:tcPr>
            <w:tcW w:w="628" w:type="pct"/>
            <w:gridSpan w:val="3"/>
          </w:tcPr>
          <w:p w14:paraId="7E76AF9F"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sz w:val="20"/>
                <w:szCs w:val="20"/>
              </w:rPr>
              <w:t>Terbutrin</w:t>
            </w:r>
            <w:proofErr w:type="spellEnd"/>
          </w:p>
        </w:tc>
        <w:tc>
          <w:tcPr>
            <w:tcW w:w="394" w:type="pct"/>
            <w:gridSpan w:val="2"/>
          </w:tcPr>
          <w:p w14:paraId="2A3C693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Pesticide – </w:t>
            </w:r>
            <w:proofErr w:type="spellStart"/>
            <w:r w:rsidRPr="00A61195">
              <w:rPr>
                <w:sz w:val="20"/>
                <w:szCs w:val="20"/>
              </w:rPr>
              <w:t>biocide</w:t>
            </w:r>
            <w:proofErr w:type="spellEnd"/>
          </w:p>
        </w:tc>
        <w:tc>
          <w:tcPr>
            <w:tcW w:w="339" w:type="pct"/>
          </w:tcPr>
          <w:p w14:paraId="6A9D1F9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886-50-0</w:t>
            </w:r>
          </w:p>
        </w:tc>
        <w:tc>
          <w:tcPr>
            <w:tcW w:w="390" w:type="pct"/>
            <w:gridSpan w:val="2"/>
          </w:tcPr>
          <w:p w14:paraId="28D2086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212-950-5</w:t>
            </w:r>
          </w:p>
        </w:tc>
        <w:tc>
          <w:tcPr>
            <w:tcW w:w="387" w:type="pct"/>
          </w:tcPr>
          <w:p w14:paraId="1C99066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0,065</w:t>
            </w:r>
          </w:p>
        </w:tc>
        <w:tc>
          <w:tcPr>
            <w:tcW w:w="389" w:type="pct"/>
          </w:tcPr>
          <w:p w14:paraId="35974CA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0,0065</w:t>
            </w:r>
          </w:p>
        </w:tc>
        <w:tc>
          <w:tcPr>
            <w:tcW w:w="392" w:type="pct"/>
          </w:tcPr>
          <w:p w14:paraId="08635A3D"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0,34</w:t>
            </w:r>
          </w:p>
        </w:tc>
        <w:tc>
          <w:tcPr>
            <w:tcW w:w="389" w:type="pct"/>
          </w:tcPr>
          <w:p w14:paraId="66898DE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0,034</w:t>
            </w:r>
          </w:p>
        </w:tc>
        <w:tc>
          <w:tcPr>
            <w:tcW w:w="349" w:type="pct"/>
          </w:tcPr>
          <w:p w14:paraId="4615DC84"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4FB9889F" w14:textId="77777777" w:rsidR="00647D0C" w:rsidRPr="00A61195" w:rsidRDefault="00647D0C" w:rsidP="009D20AB">
            <w:pPr>
              <w:spacing w:before="60" w:after="60" w:line="240" w:lineRule="auto"/>
              <w:ind w:left="-57" w:right="-57"/>
              <w:rPr>
                <w:rFonts w:eastAsia="Calibri"/>
                <w:sz w:val="20"/>
                <w:szCs w:val="20"/>
              </w:rPr>
            </w:pPr>
          </w:p>
        </w:tc>
        <w:tc>
          <w:tcPr>
            <w:tcW w:w="360" w:type="pct"/>
            <w:gridSpan w:val="2"/>
          </w:tcPr>
          <w:p w14:paraId="1BBB1F58"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74AE35CD" w14:textId="77777777" w:rsidR="00647D0C" w:rsidRPr="00A61195" w:rsidRDefault="00647D0C" w:rsidP="009D20AB">
            <w:pPr>
              <w:spacing w:before="60" w:after="60" w:line="240" w:lineRule="auto"/>
              <w:ind w:left="-57" w:right="-57"/>
              <w:rPr>
                <w:rFonts w:eastAsia="Calibri"/>
                <w:sz w:val="20"/>
                <w:szCs w:val="20"/>
              </w:rPr>
            </w:pPr>
          </w:p>
        </w:tc>
      </w:tr>
      <w:tr w:rsidR="00647D0C" w:rsidRPr="00A61195" w14:paraId="738E5B36" w14:textId="77777777" w:rsidTr="00647D0C">
        <w:tc>
          <w:tcPr>
            <w:tcW w:w="296" w:type="pct"/>
          </w:tcPr>
          <w:p w14:paraId="3C63B20B" w14:textId="3C42CC18" w:rsidR="00647D0C" w:rsidRPr="00A61195" w:rsidRDefault="00647D0C" w:rsidP="009D20AB">
            <w:pPr>
              <w:spacing w:before="60" w:after="60" w:line="240" w:lineRule="auto"/>
              <w:ind w:left="-57" w:right="-57"/>
              <w:rPr>
                <w:rFonts w:eastAsia="Calibri"/>
                <w:sz w:val="20"/>
                <w:szCs w:val="20"/>
              </w:rPr>
            </w:pPr>
            <w:r w:rsidRPr="00A61195">
              <w:rPr>
                <w:sz w:val="20"/>
                <w:szCs w:val="20"/>
              </w:rPr>
              <w:t>46.</w:t>
            </w:r>
          </w:p>
        </w:tc>
        <w:tc>
          <w:tcPr>
            <w:tcW w:w="628" w:type="pct"/>
            <w:gridSpan w:val="3"/>
          </w:tcPr>
          <w:p w14:paraId="57B22543"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17-alfa-etinilestradiol (EE2)</w:t>
            </w:r>
          </w:p>
        </w:tc>
        <w:tc>
          <w:tcPr>
            <w:tcW w:w="394" w:type="pct"/>
            <w:gridSpan w:val="2"/>
          </w:tcPr>
          <w:p w14:paraId="684C704D"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Produse farmaceutice – hormoni estrogeni</w:t>
            </w:r>
          </w:p>
        </w:tc>
        <w:tc>
          <w:tcPr>
            <w:tcW w:w="339" w:type="pct"/>
          </w:tcPr>
          <w:p w14:paraId="577D2891"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57-63-6</w:t>
            </w:r>
          </w:p>
        </w:tc>
        <w:tc>
          <w:tcPr>
            <w:tcW w:w="390" w:type="pct"/>
            <w:gridSpan w:val="2"/>
          </w:tcPr>
          <w:p w14:paraId="778A2068"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200-342-2</w:t>
            </w:r>
          </w:p>
        </w:tc>
        <w:tc>
          <w:tcPr>
            <w:tcW w:w="387" w:type="pct"/>
          </w:tcPr>
          <w:p w14:paraId="090A3EE7"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1,7 × 10</w:t>
            </w:r>
            <w:r w:rsidRPr="00A61195">
              <w:rPr>
                <w:color w:val="000000"/>
                <w:sz w:val="20"/>
                <w:szCs w:val="20"/>
                <w:vertAlign w:val="superscript"/>
              </w:rPr>
              <w:t>-5</w:t>
            </w:r>
          </w:p>
        </w:tc>
        <w:tc>
          <w:tcPr>
            <w:tcW w:w="389" w:type="pct"/>
          </w:tcPr>
          <w:p w14:paraId="691BE6FA"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1,6 × 10</w:t>
            </w:r>
            <w:r w:rsidRPr="00A61195">
              <w:rPr>
                <w:color w:val="000000"/>
                <w:sz w:val="20"/>
                <w:szCs w:val="20"/>
                <w:vertAlign w:val="superscript"/>
              </w:rPr>
              <w:t>-6</w:t>
            </w:r>
          </w:p>
        </w:tc>
        <w:tc>
          <w:tcPr>
            <w:tcW w:w="392" w:type="pct"/>
          </w:tcPr>
          <w:p w14:paraId="6E78F476" w14:textId="4408A0E1"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nederivat</w:t>
            </w:r>
          </w:p>
        </w:tc>
        <w:tc>
          <w:tcPr>
            <w:tcW w:w="389" w:type="pct"/>
          </w:tcPr>
          <w:p w14:paraId="3147456F" w14:textId="5C0EEF8B"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nederivat</w:t>
            </w:r>
          </w:p>
        </w:tc>
        <w:tc>
          <w:tcPr>
            <w:tcW w:w="349" w:type="pct"/>
          </w:tcPr>
          <w:p w14:paraId="163F82D3"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1D8AA7C7"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6B534FF0"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762E9170" w14:textId="77777777" w:rsidR="00647D0C" w:rsidRPr="00A61195" w:rsidRDefault="00647D0C" w:rsidP="009D20AB">
            <w:pPr>
              <w:spacing w:before="60" w:after="60" w:line="240" w:lineRule="auto"/>
              <w:ind w:left="-57" w:right="-57"/>
              <w:rPr>
                <w:rFonts w:eastAsia="Calibri"/>
                <w:color w:val="000000"/>
                <w:sz w:val="20"/>
                <w:szCs w:val="20"/>
              </w:rPr>
            </w:pPr>
          </w:p>
        </w:tc>
      </w:tr>
      <w:tr w:rsidR="00647D0C" w:rsidRPr="00A61195" w14:paraId="1E4E943F" w14:textId="77777777" w:rsidTr="00647D0C">
        <w:tc>
          <w:tcPr>
            <w:tcW w:w="296" w:type="pct"/>
          </w:tcPr>
          <w:p w14:paraId="374E2B9E" w14:textId="64208BCD" w:rsidR="00647D0C" w:rsidRPr="00A61195" w:rsidRDefault="00647D0C" w:rsidP="009D20AB">
            <w:pPr>
              <w:spacing w:before="60" w:after="60" w:line="240" w:lineRule="auto"/>
              <w:ind w:left="-57" w:right="-57"/>
              <w:rPr>
                <w:rFonts w:eastAsia="Calibri"/>
                <w:sz w:val="20"/>
                <w:szCs w:val="20"/>
              </w:rPr>
            </w:pPr>
            <w:r w:rsidRPr="00A61195">
              <w:rPr>
                <w:sz w:val="20"/>
                <w:szCs w:val="20"/>
              </w:rPr>
              <w:t>47.</w:t>
            </w:r>
          </w:p>
        </w:tc>
        <w:tc>
          <w:tcPr>
            <w:tcW w:w="628" w:type="pct"/>
            <w:gridSpan w:val="3"/>
          </w:tcPr>
          <w:p w14:paraId="4CEC0FC2"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17-beta-estradiol (E2)</w:t>
            </w:r>
          </w:p>
        </w:tc>
        <w:tc>
          <w:tcPr>
            <w:tcW w:w="394" w:type="pct"/>
            <w:gridSpan w:val="2"/>
          </w:tcPr>
          <w:p w14:paraId="17256AA2"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Produse farmaceutice – hormoni estrogeni</w:t>
            </w:r>
          </w:p>
        </w:tc>
        <w:tc>
          <w:tcPr>
            <w:tcW w:w="339" w:type="pct"/>
          </w:tcPr>
          <w:p w14:paraId="11788493"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50-28-2</w:t>
            </w:r>
          </w:p>
        </w:tc>
        <w:tc>
          <w:tcPr>
            <w:tcW w:w="390" w:type="pct"/>
            <w:gridSpan w:val="2"/>
          </w:tcPr>
          <w:p w14:paraId="5782A5F6"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200-023-8</w:t>
            </w:r>
          </w:p>
        </w:tc>
        <w:tc>
          <w:tcPr>
            <w:tcW w:w="387" w:type="pct"/>
          </w:tcPr>
          <w:p w14:paraId="4A25AECD"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0,00018</w:t>
            </w:r>
          </w:p>
        </w:tc>
        <w:tc>
          <w:tcPr>
            <w:tcW w:w="389" w:type="pct"/>
          </w:tcPr>
          <w:p w14:paraId="22AFBF8C"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9 × 10</w:t>
            </w:r>
            <w:r w:rsidRPr="00A61195">
              <w:rPr>
                <w:color w:val="000000"/>
                <w:sz w:val="20"/>
                <w:szCs w:val="20"/>
                <w:vertAlign w:val="superscript"/>
              </w:rPr>
              <w:t>-6</w:t>
            </w:r>
          </w:p>
        </w:tc>
        <w:tc>
          <w:tcPr>
            <w:tcW w:w="392" w:type="pct"/>
          </w:tcPr>
          <w:p w14:paraId="4B5425DD" w14:textId="1A10BB78"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nederivat</w:t>
            </w:r>
          </w:p>
        </w:tc>
        <w:tc>
          <w:tcPr>
            <w:tcW w:w="389" w:type="pct"/>
          </w:tcPr>
          <w:p w14:paraId="763D7E7A" w14:textId="0EF4BB5F"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nederivat</w:t>
            </w:r>
          </w:p>
        </w:tc>
        <w:tc>
          <w:tcPr>
            <w:tcW w:w="349" w:type="pct"/>
          </w:tcPr>
          <w:p w14:paraId="3029FD71"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55EC99E9"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70D972E2"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61192FE0" w14:textId="77777777" w:rsidR="00647D0C" w:rsidRPr="00A61195" w:rsidRDefault="00647D0C" w:rsidP="009D20AB">
            <w:pPr>
              <w:spacing w:before="60" w:after="60" w:line="240" w:lineRule="auto"/>
              <w:ind w:left="-57" w:right="-57"/>
              <w:rPr>
                <w:rFonts w:eastAsia="Calibri"/>
                <w:color w:val="000000"/>
                <w:sz w:val="20"/>
                <w:szCs w:val="20"/>
              </w:rPr>
            </w:pPr>
          </w:p>
        </w:tc>
      </w:tr>
      <w:tr w:rsidR="00647D0C" w:rsidRPr="00A61195" w14:paraId="07BD579D" w14:textId="77777777" w:rsidTr="00647D0C">
        <w:tc>
          <w:tcPr>
            <w:tcW w:w="296" w:type="pct"/>
          </w:tcPr>
          <w:p w14:paraId="4799EFA1" w14:textId="77777777"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48.</w:t>
            </w:r>
          </w:p>
        </w:tc>
        <w:tc>
          <w:tcPr>
            <w:tcW w:w="628" w:type="pct"/>
            <w:gridSpan w:val="3"/>
          </w:tcPr>
          <w:p w14:paraId="778ADCE9"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color w:val="000000"/>
                <w:sz w:val="20"/>
                <w:szCs w:val="20"/>
              </w:rPr>
              <w:t>Acetamipridă</w:t>
            </w:r>
            <w:proofErr w:type="spellEnd"/>
          </w:p>
        </w:tc>
        <w:tc>
          <w:tcPr>
            <w:tcW w:w="394" w:type="pct"/>
            <w:gridSpan w:val="2"/>
          </w:tcPr>
          <w:p w14:paraId="2549C64A"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 xml:space="preserve">Pesticide – </w:t>
            </w:r>
            <w:proofErr w:type="spellStart"/>
            <w:r w:rsidRPr="00A61195">
              <w:rPr>
                <w:color w:val="000000"/>
                <w:sz w:val="20"/>
                <w:szCs w:val="20"/>
              </w:rPr>
              <w:t>neonicotinoide</w:t>
            </w:r>
            <w:proofErr w:type="spellEnd"/>
          </w:p>
        </w:tc>
        <w:tc>
          <w:tcPr>
            <w:tcW w:w="339" w:type="pct"/>
          </w:tcPr>
          <w:p w14:paraId="1A48D13D"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135410-20-7/160430-64-8</w:t>
            </w:r>
          </w:p>
        </w:tc>
        <w:tc>
          <w:tcPr>
            <w:tcW w:w="390" w:type="pct"/>
            <w:gridSpan w:val="2"/>
          </w:tcPr>
          <w:p w14:paraId="768FC828"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603-921-1</w:t>
            </w:r>
          </w:p>
        </w:tc>
        <w:tc>
          <w:tcPr>
            <w:tcW w:w="387" w:type="pct"/>
          </w:tcPr>
          <w:p w14:paraId="04FE8CD0"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0,037</w:t>
            </w:r>
          </w:p>
        </w:tc>
        <w:tc>
          <w:tcPr>
            <w:tcW w:w="389" w:type="pct"/>
          </w:tcPr>
          <w:p w14:paraId="346CB8CB"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0,0037</w:t>
            </w:r>
          </w:p>
        </w:tc>
        <w:tc>
          <w:tcPr>
            <w:tcW w:w="392" w:type="pct"/>
          </w:tcPr>
          <w:p w14:paraId="49FA042F"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0,16</w:t>
            </w:r>
          </w:p>
        </w:tc>
        <w:tc>
          <w:tcPr>
            <w:tcW w:w="389" w:type="pct"/>
          </w:tcPr>
          <w:p w14:paraId="177F6102"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0,016</w:t>
            </w:r>
          </w:p>
        </w:tc>
        <w:tc>
          <w:tcPr>
            <w:tcW w:w="349" w:type="pct"/>
          </w:tcPr>
          <w:p w14:paraId="0CB94CB7"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3BC0CACB"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6E309E11"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5A2CE796" w14:textId="77777777" w:rsidR="00647D0C" w:rsidRPr="00A61195" w:rsidRDefault="00647D0C" w:rsidP="009D20AB">
            <w:pPr>
              <w:spacing w:before="60" w:after="60" w:line="240" w:lineRule="auto"/>
              <w:ind w:left="-57" w:right="-57"/>
              <w:rPr>
                <w:rFonts w:eastAsia="Calibri"/>
                <w:color w:val="000000"/>
                <w:sz w:val="20"/>
                <w:szCs w:val="20"/>
              </w:rPr>
            </w:pPr>
          </w:p>
        </w:tc>
      </w:tr>
      <w:tr w:rsidR="00647D0C" w:rsidRPr="00A61195" w14:paraId="0C604817" w14:textId="77777777" w:rsidTr="00647D0C">
        <w:tc>
          <w:tcPr>
            <w:tcW w:w="296" w:type="pct"/>
          </w:tcPr>
          <w:p w14:paraId="05D6C7A7" w14:textId="4AED564B" w:rsidR="00647D0C" w:rsidRPr="00A61195" w:rsidRDefault="00647D0C" w:rsidP="009D20AB">
            <w:pPr>
              <w:spacing w:before="60" w:after="60" w:line="240" w:lineRule="auto"/>
              <w:ind w:left="-57" w:right="-57"/>
              <w:rPr>
                <w:rFonts w:eastAsia="Calibri"/>
                <w:sz w:val="20"/>
                <w:szCs w:val="20"/>
              </w:rPr>
            </w:pPr>
            <w:r w:rsidRPr="00A61195">
              <w:rPr>
                <w:sz w:val="20"/>
                <w:szCs w:val="20"/>
              </w:rPr>
              <w:t>49.</w:t>
            </w:r>
          </w:p>
        </w:tc>
        <w:tc>
          <w:tcPr>
            <w:tcW w:w="628" w:type="pct"/>
            <w:gridSpan w:val="3"/>
          </w:tcPr>
          <w:p w14:paraId="1BB60C31"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color w:val="000000"/>
                <w:sz w:val="20"/>
                <w:szCs w:val="20"/>
              </w:rPr>
              <w:t>Azitromicină</w:t>
            </w:r>
            <w:proofErr w:type="spellEnd"/>
          </w:p>
        </w:tc>
        <w:tc>
          <w:tcPr>
            <w:tcW w:w="394" w:type="pct"/>
            <w:gridSpan w:val="2"/>
          </w:tcPr>
          <w:p w14:paraId="31FE61F5"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 xml:space="preserve">Produse farmaceutice – antibiotice </w:t>
            </w:r>
            <w:proofErr w:type="spellStart"/>
            <w:r w:rsidRPr="00A61195">
              <w:rPr>
                <w:color w:val="000000"/>
                <w:sz w:val="20"/>
                <w:szCs w:val="20"/>
              </w:rPr>
              <w:t>macrolide</w:t>
            </w:r>
            <w:proofErr w:type="spellEnd"/>
          </w:p>
        </w:tc>
        <w:tc>
          <w:tcPr>
            <w:tcW w:w="339" w:type="pct"/>
          </w:tcPr>
          <w:p w14:paraId="0700C9A7"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83905-01-5</w:t>
            </w:r>
          </w:p>
        </w:tc>
        <w:tc>
          <w:tcPr>
            <w:tcW w:w="390" w:type="pct"/>
            <w:gridSpan w:val="2"/>
          </w:tcPr>
          <w:p w14:paraId="4444B062"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617-500-5</w:t>
            </w:r>
          </w:p>
        </w:tc>
        <w:tc>
          <w:tcPr>
            <w:tcW w:w="387" w:type="pct"/>
          </w:tcPr>
          <w:p w14:paraId="1A2F7998"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0,019</w:t>
            </w:r>
          </w:p>
        </w:tc>
        <w:tc>
          <w:tcPr>
            <w:tcW w:w="389" w:type="pct"/>
          </w:tcPr>
          <w:p w14:paraId="2A587577"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0,0019</w:t>
            </w:r>
          </w:p>
        </w:tc>
        <w:tc>
          <w:tcPr>
            <w:tcW w:w="392" w:type="pct"/>
          </w:tcPr>
          <w:p w14:paraId="1E9F2761"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0,18</w:t>
            </w:r>
          </w:p>
        </w:tc>
        <w:tc>
          <w:tcPr>
            <w:tcW w:w="389" w:type="pct"/>
          </w:tcPr>
          <w:p w14:paraId="5AB68336"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0,018</w:t>
            </w:r>
          </w:p>
        </w:tc>
        <w:tc>
          <w:tcPr>
            <w:tcW w:w="349" w:type="pct"/>
          </w:tcPr>
          <w:p w14:paraId="26D499B1"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4518E46E" w14:textId="77777777" w:rsidR="00647D0C" w:rsidRPr="00A61195" w:rsidRDefault="00647D0C" w:rsidP="009D20AB">
            <w:pPr>
              <w:spacing w:before="60" w:after="60" w:line="240" w:lineRule="auto"/>
              <w:ind w:left="-57" w:right="-57"/>
              <w:rPr>
                <w:rFonts w:eastAsia="Calibri"/>
                <w:sz w:val="20"/>
                <w:szCs w:val="20"/>
              </w:rPr>
            </w:pPr>
          </w:p>
        </w:tc>
        <w:tc>
          <w:tcPr>
            <w:tcW w:w="360" w:type="pct"/>
            <w:gridSpan w:val="2"/>
          </w:tcPr>
          <w:p w14:paraId="67003496" w14:textId="77777777" w:rsidR="00647D0C" w:rsidRPr="00A61195" w:rsidRDefault="00647D0C" w:rsidP="009D20AB">
            <w:pPr>
              <w:spacing w:before="60" w:after="60" w:line="240" w:lineRule="auto"/>
              <w:ind w:left="-57" w:right="-57"/>
              <w:rPr>
                <w:rFonts w:eastAsia="Calibri"/>
                <w:sz w:val="20"/>
                <w:szCs w:val="20"/>
              </w:rPr>
            </w:pPr>
          </w:p>
        </w:tc>
        <w:tc>
          <w:tcPr>
            <w:tcW w:w="296" w:type="pct"/>
          </w:tcPr>
          <w:p w14:paraId="0DEE5C8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X</w:t>
            </w:r>
          </w:p>
        </w:tc>
      </w:tr>
      <w:tr w:rsidR="00647D0C" w:rsidRPr="00A61195" w14:paraId="0AABE468" w14:textId="77777777" w:rsidTr="00647D0C">
        <w:tc>
          <w:tcPr>
            <w:tcW w:w="296" w:type="pct"/>
          </w:tcPr>
          <w:p w14:paraId="64BA51CD" w14:textId="3BDA8CA2" w:rsidR="00647D0C" w:rsidRPr="00A61195" w:rsidRDefault="00647D0C" w:rsidP="009D20AB">
            <w:pPr>
              <w:spacing w:before="60" w:after="60" w:line="240" w:lineRule="auto"/>
              <w:ind w:left="-57" w:right="-57"/>
              <w:rPr>
                <w:rFonts w:eastAsia="Calibri"/>
                <w:sz w:val="20"/>
                <w:szCs w:val="20"/>
              </w:rPr>
            </w:pPr>
            <w:r w:rsidRPr="00A61195">
              <w:rPr>
                <w:sz w:val="20"/>
                <w:szCs w:val="20"/>
              </w:rPr>
              <w:t>50.</w:t>
            </w:r>
          </w:p>
        </w:tc>
        <w:tc>
          <w:tcPr>
            <w:tcW w:w="628" w:type="pct"/>
            <w:gridSpan w:val="3"/>
          </w:tcPr>
          <w:p w14:paraId="5AE10F32"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color w:val="000000"/>
                <w:sz w:val="20"/>
                <w:szCs w:val="20"/>
              </w:rPr>
              <w:t>Bifentrin</w:t>
            </w:r>
            <w:proofErr w:type="spellEnd"/>
          </w:p>
        </w:tc>
        <w:tc>
          <w:tcPr>
            <w:tcW w:w="394" w:type="pct"/>
            <w:gridSpan w:val="2"/>
          </w:tcPr>
          <w:p w14:paraId="0710D652"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 xml:space="preserve">Pesticide – </w:t>
            </w:r>
            <w:proofErr w:type="spellStart"/>
            <w:r w:rsidRPr="00A61195">
              <w:rPr>
                <w:color w:val="000000"/>
                <w:sz w:val="20"/>
                <w:szCs w:val="20"/>
              </w:rPr>
              <w:t>piretroide</w:t>
            </w:r>
            <w:proofErr w:type="spellEnd"/>
          </w:p>
        </w:tc>
        <w:tc>
          <w:tcPr>
            <w:tcW w:w="339" w:type="pct"/>
          </w:tcPr>
          <w:p w14:paraId="2BFAC382"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82657-04-3</w:t>
            </w:r>
          </w:p>
        </w:tc>
        <w:tc>
          <w:tcPr>
            <w:tcW w:w="390" w:type="pct"/>
            <w:gridSpan w:val="2"/>
          </w:tcPr>
          <w:p w14:paraId="4E2B2326"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617-373-6</w:t>
            </w:r>
          </w:p>
        </w:tc>
        <w:tc>
          <w:tcPr>
            <w:tcW w:w="387" w:type="pct"/>
          </w:tcPr>
          <w:p w14:paraId="67F0493C"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9,5 × 10</w:t>
            </w:r>
            <w:r w:rsidRPr="00A61195">
              <w:rPr>
                <w:color w:val="000000"/>
                <w:sz w:val="20"/>
                <w:szCs w:val="20"/>
                <w:vertAlign w:val="superscript"/>
              </w:rPr>
              <w:t>-5</w:t>
            </w:r>
          </w:p>
        </w:tc>
        <w:tc>
          <w:tcPr>
            <w:tcW w:w="389" w:type="pct"/>
          </w:tcPr>
          <w:p w14:paraId="08367A3C"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9,5 × 10</w:t>
            </w:r>
            <w:r w:rsidRPr="00A61195">
              <w:rPr>
                <w:color w:val="000000"/>
                <w:sz w:val="20"/>
                <w:szCs w:val="20"/>
                <w:vertAlign w:val="superscript"/>
              </w:rPr>
              <w:t>-6</w:t>
            </w:r>
          </w:p>
        </w:tc>
        <w:tc>
          <w:tcPr>
            <w:tcW w:w="392" w:type="pct"/>
          </w:tcPr>
          <w:p w14:paraId="2CFC17CE"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0,011</w:t>
            </w:r>
          </w:p>
        </w:tc>
        <w:tc>
          <w:tcPr>
            <w:tcW w:w="389" w:type="pct"/>
          </w:tcPr>
          <w:p w14:paraId="5E2A02AA"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0,001</w:t>
            </w:r>
          </w:p>
        </w:tc>
        <w:tc>
          <w:tcPr>
            <w:tcW w:w="349" w:type="pct"/>
          </w:tcPr>
          <w:p w14:paraId="0CB522E1"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1C07D387"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734AA7F3"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121A012D" w14:textId="77777777" w:rsidR="00647D0C" w:rsidRPr="00A61195" w:rsidRDefault="00647D0C" w:rsidP="009D20AB">
            <w:pPr>
              <w:spacing w:before="60" w:after="60" w:line="240" w:lineRule="auto"/>
              <w:ind w:left="-57" w:right="-57"/>
              <w:rPr>
                <w:rFonts w:eastAsia="Calibri"/>
                <w:color w:val="000000"/>
                <w:sz w:val="20"/>
                <w:szCs w:val="20"/>
              </w:rPr>
            </w:pPr>
            <w:r w:rsidRPr="00A61195">
              <w:rPr>
                <w:sz w:val="20"/>
                <w:szCs w:val="20"/>
              </w:rPr>
              <w:t>X</w:t>
            </w:r>
          </w:p>
        </w:tc>
      </w:tr>
      <w:tr w:rsidR="00647D0C" w:rsidRPr="00A61195" w14:paraId="39CE3DD2" w14:textId="77777777" w:rsidTr="00647D0C">
        <w:tc>
          <w:tcPr>
            <w:tcW w:w="296" w:type="pct"/>
          </w:tcPr>
          <w:p w14:paraId="7F662113" w14:textId="43FC3F22"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51.</w:t>
            </w:r>
          </w:p>
        </w:tc>
        <w:tc>
          <w:tcPr>
            <w:tcW w:w="628" w:type="pct"/>
            <w:gridSpan w:val="3"/>
          </w:tcPr>
          <w:p w14:paraId="0C0FD80E" w14:textId="77777777" w:rsidR="00647D0C" w:rsidRPr="00A61195" w:rsidRDefault="00647D0C" w:rsidP="009D20AB">
            <w:pPr>
              <w:keepNext/>
              <w:spacing w:before="60" w:after="60" w:line="240" w:lineRule="auto"/>
              <w:ind w:left="-57" w:right="-57"/>
              <w:rPr>
                <w:rFonts w:eastAsia="Calibri"/>
                <w:sz w:val="20"/>
                <w:szCs w:val="20"/>
              </w:rPr>
            </w:pPr>
            <w:proofErr w:type="spellStart"/>
            <w:r w:rsidRPr="00A61195">
              <w:rPr>
                <w:color w:val="000000"/>
                <w:sz w:val="20"/>
                <w:szCs w:val="20"/>
              </w:rPr>
              <w:t>Bisfenol</w:t>
            </w:r>
            <w:proofErr w:type="spellEnd"/>
            <w:r w:rsidRPr="00A61195">
              <w:rPr>
                <w:color w:val="000000"/>
                <w:sz w:val="20"/>
                <w:szCs w:val="20"/>
              </w:rPr>
              <w:t xml:space="preserve"> A (BPA)</w:t>
            </w:r>
          </w:p>
        </w:tc>
        <w:tc>
          <w:tcPr>
            <w:tcW w:w="394" w:type="pct"/>
            <w:gridSpan w:val="2"/>
          </w:tcPr>
          <w:p w14:paraId="56E05831" w14:textId="77777777" w:rsidR="00647D0C" w:rsidRPr="00A61195" w:rsidRDefault="00647D0C" w:rsidP="009D20AB">
            <w:pPr>
              <w:keepNext/>
              <w:spacing w:before="60" w:after="60" w:line="240" w:lineRule="auto"/>
              <w:ind w:left="-57" w:right="-57"/>
              <w:rPr>
                <w:rFonts w:eastAsia="Calibri"/>
                <w:sz w:val="20"/>
                <w:szCs w:val="20"/>
              </w:rPr>
            </w:pPr>
            <w:r w:rsidRPr="00A61195">
              <w:rPr>
                <w:color w:val="000000"/>
                <w:sz w:val="20"/>
                <w:szCs w:val="20"/>
              </w:rPr>
              <w:t>Substanțe industriale</w:t>
            </w:r>
          </w:p>
        </w:tc>
        <w:tc>
          <w:tcPr>
            <w:tcW w:w="339" w:type="pct"/>
          </w:tcPr>
          <w:p w14:paraId="77A43819" w14:textId="77777777" w:rsidR="00647D0C" w:rsidRPr="00A61195" w:rsidRDefault="00647D0C" w:rsidP="009D20AB">
            <w:pPr>
              <w:keepNext/>
              <w:spacing w:before="60" w:after="60" w:line="240" w:lineRule="auto"/>
              <w:ind w:left="-57" w:right="-57"/>
              <w:rPr>
                <w:rFonts w:eastAsia="Calibri"/>
                <w:sz w:val="20"/>
                <w:szCs w:val="20"/>
              </w:rPr>
            </w:pPr>
            <w:r w:rsidRPr="00A61195">
              <w:rPr>
                <w:color w:val="000000"/>
                <w:sz w:val="20"/>
                <w:szCs w:val="20"/>
              </w:rPr>
              <w:t>80-05-7</w:t>
            </w:r>
          </w:p>
        </w:tc>
        <w:tc>
          <w:tcPr>
            <w:tcW w:w="390" w:type="pct"/>
            <w:gridSpan w:val="2"/>
          </w:tcPr>
          <w:p w14:paraId="7209114A" w14:textId="77777777" w:rsidR="00647D0C" w:rsidRPr="00A61195" w:rsidDel="00E110E0" w:rsidRDefault="00647D0C" w:rsidP="009D20AB">
            <w:pPr>
              <w:keepNext/>
              <w:spacing w:before="60" w:after="60" w:line="240" w:lineRule="auto"/>
              <w:ind w:left="-57" w:right="-57"/>
              <w:rPr>
                <w:rFonts w:eastAsia="Calibri"/>
                <w:sz w:val="20"/>
                <w:szCs w:val="20"/>
              </w:rPr>
            </w:pPr>
            <w:r w:rsidRPr="00A61195">
              <w:rPr>
                <w:color w:val="000000"/>
                <w:sz w:val="20"/>
                <w:szCs w:val="20"/>
              </w:rPr>
              <w:t>201-245-8</w:t>
            </w:r>
          </w:p>
        </w:tc>
        <w:tc>
          <w:tcPr>
            <w:tcW w:w="387" w:type="pct"/>
          </w:tcPr>
          <w:p w14:paraId="60E9279C" w14:textId="77777777" w:rsidR="00647D0C" w:rsidRPr="00A61195" w:rsidRDefault="00647D0C" w:rsidP="009D20AB">
            <w:pPr>
              <w:keepNext/>
              <w:spacing w:before="60" w:after="60" w:line="240" w:lineRule="auto"/>
              <w:ind w:left="-57" w:right="-57"/>
              <w:rPr>
                <w:rFonts w:eastAsia="Calibri"/>
                <w:sz w:val="20"/>
                <w:szCs w:val="20"/>
              </w:rPr>
            </w:pPr>
            <w:r w:rsidRPr="00A61195">
              <w:rPr>
                <w:color w:val="000000"/>
                <w:sz w:val="20"/>
                <w:szCs w:val="20"/>
              </w:rPr>
              <w:t>1,7 x 10</w:t>
            </w:r>
            <w:r w:rsidRPr="00A61195">
              <w:rPr>
                <w:color w:val="000000"/>
                <w:sz w:val="20"/>
                <w:szCs w:val="20"/>
                <w:vertAlign w:val="superscript"/>
              </w:rPr>
              <w:t>-4</w:t>
            </w:r>
          </w:p>
        </w:tc>
        <w:tc>
          <w:tcPr>
            <w:tcW w:w="389" w:type="pct"/>
          </w:tcPr>
          <w:p w14:paraId="6BA182E1" w14:textId="77777777" w:rsidR="00647D0C" w:rsidRPr="00A61195" w:rsidRDefault="00647D0C" w:rsidP="009D20AB">
            <w:pPr>
              <w:keepNext/>
              <w:spacing w:before="60" w:after="60" w:line="240" w:lineRule="auto"/>
              <w:ind w:left="-57" w:right="-57"/>
              <w:rPr>
                <w:rFonts w:eastAsia="Calibri"/>
                <w:sz w:val="20"/>
                <w:szCs w:val="20"/>
              </w:rPr>
            </w:pPr>
            <w:r w:rsidRPr="00A61195">
              <w:rPr>
                <w:color w:val="000000"/>
                <w:sz w:val="20"/>
                <w:szCs w:val="20"/>
              </w:rPr>
              <w:t>1,7 x 10</w:t>
            </w:r>
            <w:r w:rsidRPr="00A61195">
              <w:rPr>
                <w:color w:val="000000"/>
                <w:sz w:val="20"/>
                <w:szCs w:val="20"/>
                <w:vertAlign w:val="superscript"/>
              </w:rPr>
              <w:t>-4</w:t>
            </w:r>
          </w:p>
        </w:tc>
        <w:tc>
          <w:tcPr>
            <w:tcW w:w="392" w:type="pct"/>
          </w:tcPr>
          <w:p w14:paraId="2E26F191" w14:textId="77777777" w:rsidR="00647D0C" w:rsidRPr="00A61195" w:rsidRDefault="00647D0C" w:rsidP="009D20AB">
            <w:pPr>
              <w:keepNext/>
              <w:spacing w:before="60" w:after="60" w:line="240" w:lineRule="auto"/>
              <w:ind w:left="-57" w:right="-57"/>
              <w:rPr>
                <w:rFonts w:eastAsia="Calibri"/>
                <w:sz w:val="20"/>
                <w:szCs w:val="20"/>
              </w:rPr>
            </w:pPr>
            <w:r w:rsidRPr="00A61195">
              <w:rPr>
                <w:color w:val="000000"/>
                <w:sz w:val="20"/>
                <w:szCs w:val="20"/>
              </w:rPr>
              <w:t>130</w:t>
            </w:r>
          </w:p>
        </w:tc>
        <w:tc>
          <w:tcPr>
            <w:tcW w:w="389" w:type="pct"/>
          </w:tcPr>
          <w:p w14:paraId="270E1D05" w14:textId="77777777" w:rsidR="00647D0C" w:rsidRPr="00A61195" w:rsidRDefault="00647D0C" w:rsidP="009D20AB">
            <w:pPr>
              <w:keepNext/>
              <w:spacing w:before="60" w:after="60" w:line="240" w:lineRule="auto"/>
              <w:ind w:left="-57" w:right="-57"/>
              <w:rPr>
                <w:rFonts w:eastAsia="Calibri"/>
                <w:sz w:val="20"/>
                <w:szCs w:val="20"/>
              </w:rPr>
            </w:pPr>
            <w:r w:rsidRPr="00A61195">
              <w:rPr>
                <w:color w:val="000000"/>
                <w:sz w:val="20"/>
                <w:szCs w:val="20"/>
              </w:rPr>
              <w:t>51</w:t>
            </w:r>
          </w:p>
        </w:tc>
        <w:tc>
          <w:tcPr>
            <w:tcW w:w="349" w:type="pct"/>
          </w:tcPr>
          <w:p w14:paraId="637C1E62"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0,025</w:t>
            </w:r>
          </w:p>
        </w:tc>
        <w:tc>
          <w:tcPr>
            <w:tcW w:w="393" w:type="pct"/>
          </w:tcPr>
          <w:p w14:paraId="2BA68014" w14:textId="77777777" w:rsidR="00647D0C" w:rsidRPr="00A61195" w:rsidRDefault="00647D0C" w:rsidP="009D20AB">
            <w:pPr>
              <w:keepNext/>
              <w:spacing w:before="60" w:after="60" w:line="240" w:lineRule="auto"/>
              <w:ind w:left="-57" w:right="-57"/>
              <w:rPr>
                <w:rFonts w:eastAsia="Calibri"/>
                <w:color w:val="000000"/>
                <w:sz w:val="20"/>
                <w:szCs w:val="20"/>
              </w:rPr>
            </w:pPr>
            <w:r w:rsidRPr="00A61195">
              <w:rPr>
                <w:sz w:val="20"/>
                <w:szCs w:val="20"/>
              </w:rPr>
              <w:t>X</w:t>
            </w:r>
          </w:p>
        </w:tc>
        <w:tc>
          <w:tcPr>
            <w:tcW w:w="360" w:type="pct"/>
            <w:gridSpan w:val="2"/>
          </w:tcPr>
          <w:p w14:paraId="2D8C3704" w14:textId="77777777" w:rsidR="00647D0C" w:rsidRPr="00A61195" w:rsidRDefault="00647D0C" w:rsidP="009D20AB">
            <w:pPr>
              <w:keepNext/>
              <w:spacing w:before="60" w:after="60" w:line="240" w:lineRule="auto"/>
              <w:ind w:left="-57" w:right="-57"/>
              <w:rPr>
                <w:rFonts w:eastAsia="Calibri"/>
                <w:color w:val="000000"/>
                <w:sz w:val="20"/>
                <w:szCs w:val="20"/>
              </w:rPr>
            </w:pPr>
          </w:p>
        </w:tc>
        <w:tc>
          <w:tcPr>
            <w:tcW w:w="296" w:type="pct"/>
          </w:tcPr>
          <w:p w14:paraId="77274D52" w14:textId="77777777" w:rsidR="00647D0C" w:rsidRPr="00A61195" w:rsidRDefault="00647D0C" w:rsidP="009D20AB">
            <w:pPr>
              <w:keepNext/>
              <w:spacing w:before="60" w:after="60" w:line="240" w:lineRule="auto"/>
              <w:ind w:left="-57" w:right="-57"/>
              <w:rPr>
                <w:rFonts w:eastAsia="Calibri"/>
                <w:color w:val="000000"/>
                <w:sz w:val="20"/>
                <w:szCs w:val="20"/>
              </w:rPr>
            </w:pPr>
          </w:p>
        </w:tc>
      </w:tr>
      <w:tr w:rsidR="00647D0C" w:rsidRPr="00A61195" w14:paraId="2983AE03" w14:textId="77777777" w:rsidTr="00647D0C">
        <w:tc>
          <w:tcPr>
            <w:tcW w:w="296" w:type="pct"/>
          </w:tcPr>
          <w:p w14:paraId="38268505" w14:textId="347AA87A" w:rsidR="00647D0C" w:rsidRPr="00A61195" w:rsidRDefault="00647D0C" w:rsidP="009D20AB">
            <w:pPr>
              <w:spacing w:before="60" w:after="60" w:line="240" w:lineRule="auto"/>
              <w:ind w:left="-57" w:right="-57"/>
              <w:rPr>
                <w:rFonts w:eastAsia="Calibri"/>
                <w:sz w:val="20"/>
                <w:szCs w:val="20"/>
              </w:rPr>
            </w:pPr>
            <w:r w:rsidRPr="00A61195">
              <w:rPr>
                <w:sz w:val="20"/>
                <w:szCs w:val="20"/>
              </w:rPr>
              <w:t>52.</w:t>
            </w:r>
          </w:p>
        </w:tc>
        <w:tc>
          <w:tcPr>
            <w:tcW w:w="628" w:type="pct"/>
            <w:gridSpan w:val="3"/>
          </w:tcPr>
          <w:p w14:paraId="38C9E197"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color w:val="000000"/>
                <w:sz w:val="20"/>
                <w:szCs w:val="20"/>
              </w:rPr>
              <w:t>Carbamazepină</w:t>
            </w:r>
            <w:proofErr w:type="spellEnd"/>
          </w:p>
        </w:tc>
        <w:tc>
          <w:tcPr>
            <w:tcW w:w="394" w:type="pct"/>
            <w:gridSpan w:val="2"/>
          </w:tcPr>
          <w:p w14:paraId="33E0305A"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 xml:space="preserve">Produse farmaceutice – </w:t>
            </w:r>
            <w:proofErr w:type="spellStart"/>
            <w:r w:rsidRPr="00A61195">
              <w:rPr>
                <w:color w:val="000000"/>
                <w:sz w:val="20"/>
                <w:szCs w:val="20"/>
              </w:rPr>
              <w:t>anticonvulsivante</w:t>
            </w:r>
            <w:proofErr w:type="spellEnd"/>
          </w:p>
        </w:tc>
        <w:tc>
          <w:tcPr>
            <w:tcW w:w="339" w:type="pct"/>
          </w:tcPr>
          <w:p w14:paraId="3AABC603"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298-46-4</w:t>
            </w:r>
          </w:p>
        </w:tc>
        <w:tc>
          <w:tcPr>
            <w:tcW w:w="390" w:type="pct"/>
            <w:gridSpan w:val="2"/>
          </w:tcPr>
          <w:p w14:paraId="6AD82858" w14:textId="77777777" w:rsidR="00647D0C" w:rsidRPr="00A61195" w:rsidDel="00F376D5" w:rsidRDefault="00647D0C" w:rsidP="009D20AB">
            <w:pPr>
              <w:spacing w:before="60" w:after="60" w:line="240" w:lineRule="auto"/>
              <w:ind w:left="-57" w:right="-57"/>
              <w:rPr>
                <w:rFonts w:eastAsia="Calibri"/>
                <w:sz w:val="20"/>
                <w:szCs w:val="20"/>
              </w:rPr>
            </w:pPr>
            <w:r w:rsidRPr="00A61195">
              <w:rPr>
                <w:color w:val="000000"/>
                <w:sz w:val="20"/>
                <w:szCs w:val="20"/>
              </w:rPr>
              <w:t>206-062-7</w:t>
            </w:r>
          </w:p>
        </w:tc>
        <w:tc>
          <w:tcPr>
            <w:tcW w:w="387" w:type="pct"/>
          </w:tcPr>
          <w:p w14:paraId="0190AE36"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2,5</w:t>
            </w:r>
          </w:p>
        </w:tc>
        <w:tc>
          <w:tcPr>
            <w:tcW w:w="389" w:type="pct"/>
          </w:tcPr>
          <w:p w14:paraId="2677F302"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0,25</w:t>
            </w:r>
          </w:p>
        </w:tc>
        <w:tc>
          <w:tcPr>
            <w:tcW w:w="392" w:type="pct"/>
          </w:tcPr>
          <w:p w14:paraId="62B25FB4"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1,6 × 10</w:t>
            </w:r>
            <w:r w:rsidRPr="00A61195">
              <w:rPr>
                <w:color w:val="000000"/>
                <w:sz w:val="20"/>
                <w:szCs w:val="20"/>
                <w:vertAlign w:val="superscript"/>
              </w:rPr>
              <w:t>3</w:t>
            </w:r>
          </w:p>
        </w:tc>
        <w:tc>
          <w:tcPr>
            <w:tcW w:w="389" w:type="pct"/>
          </w:tcPr>
          <w:p w14:paraId="700E68C6"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160</w:t>
            </w:r>
          </w:p>
        </w:tc>
        <w:tc>
          <w:tcPr>
            <w:tcW w:w="349" w:type="pct"/>
          </w:tcPr>
          <w:p w14:paraId="73D65722"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00D9A014"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37DEC1F5"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77C3B1AA" w14:textId="77777777" w:rsidR="00647D0C" w:rsidRPr="00A61195" w:rsidRDefault="00647D0C" w:rsidP="009D20AB">
            <w:pPr>
              <w:spacing w:before="60" w:after="60" w:line="240" w:lineRule="auto"/>
              <w:ind w:left="-57" w:right="-57"/>
              <w:rPr>
                <w:rFonts w:eastAsia="Calibri"/>
                <w:color w:val="000000"/>
                <w:sz w:val="20"/>
                <w:szCs w:val="20"/>
              </w:rPr>
            </w:pPr>
          </w:p>
        </w:tc>
      </w:tr>
      <w:tr w:rsidR="00647D0C" w:rsidRPr="00A61195" w14:paraId="1521DF4A" w14:textId="77777777" w:rsidTr="00647D0C">
        <w:tc>
          <w:tcPr>
            <w:tcW w:w="296" w:type="pct"/>
          </w:tcPr>
          <w:p w14:paraId="3BB76841" w14:textId="2E3FFE84" w:rsidR="00647D0C" w:rsidRPr="00A61195" w:rsidRDefault="00647D0C" w:rsidP="009D20AB">
            <w:pPr>
              <w:spacing w:before="60" w:after="60" w:line="240" w:lineRule="auto"/>
              <w:ind w:left="-57" w:right="-57"/>
              <w:rPr>
                <w:rFonts w:eastAsia="Calibri"/>
                <w:sz w:val="20"/>
                <w:szCs w:val="20"/>
              </w:rPr>
            </w:pPr>
            <w:r w:rsidRPr="00A61195">
              <w:rPr>
                <w:sz w:val="20"/>
                <w:szCs w:val="20"/>
              </w:rPr>
              <w:t>53.</w:t>
            </w:r>
          </w:p>
        </w:tc>
        <w:tc>
          <w:tcPr>
            <w:tcW w:w="628" w:type="pct"/>
            <w:gridSpan w:val="3"/>
          </w:tcPr>
          <w:p w14:paraId="0627642D"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color w:val="000000"/>
                <w:sz w:val="20"/>
                <w:szCs w:val="20"/>
              </w:rPr>
              <w:t>Claritromicină</w:t>
            </w:r>
            <w:proofErr w:type="spellEnd"/>
          </w:p>
        </w:tc>
        <w:tc>
          <w:tcPr>
            <w:tcW w:w="394" w:type="pct"/>
            <w:gridSpan w:val="2"/>
          </w:tcPr>
          <w:p w14:paraId="303ACEAB"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 xml:space="preserve">Produse farmaceutice – antibiotice </w:t>
            </w:r>
            <w:proofErr w:type="spellStart"/>
            <w:r w:rsidRPr="00A61195">
              <w:rPr>
                <w:color w:val="000000"/>
                <w:sz w:val="20"/>
                <w:szCs w:val="20"/>
              </w:rPr>
              <w:t>macrolide</w:t>
            </w:r>
            <w:proofErr w:type="spellEnd"/>
          </w:p>
        </w:tc>
        <w:tc>
          <w:tcPr>
            <w:tcW w:w="339" w:type="pct"/>
          </w:tcPr>
          <w:p w14:paraId="5B173210"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81103-11-9</w:t>
            </w:r>
          </w:p>
        </w:tc>
        <w:tc>
          <w:tcPr>
            <w:tcW w:w="390" w:type="pct"/>
            <w:gridSpan w:val="2"/>
          </w:tcPr>
          <w:p w14:paraId="23E875A4"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658-034-2</w:t>
            </w:r>
          </w:p>
        </w:tc>
        <w:tc>
          <w:tcPr>
            <w:tcW w:w="387" w:type="pct"/>
          </w:tcPr>
          <w:p w14:paraId="27F5E8A6"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0,13</w:t>
            </w:r>
          </w:p>
        </w:tc>
        <w:tc>
          <w:tcPr>
            <w:tcW w:w="389" w:type="pct"/>
          </w:tcPr>
          <w:p w14:paraId="1FEAFA81"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0,013</w:t>
            </w:r>
          </w:p>
        </w:tc>
        <w:tc>
          <w:tcPr>
            <w:tcW w:w="392" w:type="pct"/>
          </w:tcPr>
          <w:p w14:paraId="1498E44F"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0,13</w:t>
            </w:r>
          </w:p>
        </w:tc>
        <w:tc>
          <w:tcPr>
            <w:tcW w:w="389" w:type="pct"/>
          </w:tcPr>
          <w:p w14:paraId="487B5C14"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0,013</w:t>
            </w:r>
          </w:p>
        </w:tc>
        <w:tc>
          <w:tcPr>
            <w:tcW w:w="349" w:type="pct"/>
          </w:tcPr>
          <w:p w14:paraId="3F8839A4"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68182244"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00E774CE"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4A78BE1B" w14:textId="77777777" w:rsidR="00647D0C" w:rsidRPr="00A61195" w:rsidRDefault="00647D0C" w:rsidP="009D20AB">
            <w:pPr>
              <w:spacing w:before="60" w:after="60" w:line="240" w:lineRule="auto"/>
              <w:ind w:left="-57" w:right="-57"/>
              <w:rPr>
                <w:rFonts w:eastAsia="Calibri"/>
                <w:color w:val="000000"/>
                <w:sz w:val="20"/>
                <w:szCs w:val="20"/>
              </w:rPr>
            </w:pPr>
            <w:r w:rsidRPr="00A61195">
              <w:rPr>
                <w:sz w:val="20"/>
                <w:szCs w:val="20"/>
              </w:rPr>
              <w:t>X</w:t>
            </w:r>
          </w:p>
        </w:tc>
      </w:tr>
      <w:tr w:rsidR="00647D0C" w:rsidRPr="00A61195" w14:paraId="5306143D" w14:textId="77777777" w:rsidTr="00647D0C">
        <w:tc>
          <w:tcPr>
            <w:tcW w:w="296" w:type="pct"/>
          </w:tcPr>
          <w:p w14:paraId="4F7FD1C7" w14:textId="5E48AD12"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54.</w:t>
            </w:r>
          </w:p>
        </w:tc>
        <w:tc>
          <w:tcPr>
            <w:tcW w:w="628" w:type="pct"/>
            <w:gridSpan w:val="3"/>
          </w:tcPr>
          <w:p w14:paraId="759FAC76"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color w:val="000000"/>
                <w:sz w:val="20"/>
                <w:szCs w:val="20"/>
              </w:rPr>
              <w:t>Clotianidin</w:t>
            </w:r>
            <w:proofErr w:type="spellEnd"/>
          </w:p>
        </w:tc>
        <w:tc>
          <w:tcPr>
            <w:tcW w:w="394" w:type="pct"/>
            <w:gridSpan w:val="2"/>
          </w:tcPr>
          <w:p w14:paraId="09A81DA9"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 xml:space="preserve">Pesticide – </w:t>
            </w:r>
            <w:proofErr w:type="spellStart"/>
            <w:r w:rsidRPr="00A61195">
              <w:rPr>
                <w:color w:val="000000"/>
                <w:sz w:val="20"/>
                <w:szCs w:val="20"/>
              </w:rPr>
              <w:t>neonicotinoide</w:t>
            </w:r>
            <w:proofErr w:type="spellEnd"/>
          </w:p>
        </w:tc>
        <w:tc>
          <w:tcPr>
            <w:tcW w:w="339" w:type="pct"/>
          </w:tcPr>
          <w:p w14:paraId="11869A5D"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210880-92-5</w:t>
            </w:r>
          </w:p>
        </w:tc>
        <w:tc>
          <w:tcPr>
            <w:tcW w:w="390" w:type="pct"/>
            <w:gridSpan w:val="2"/>
          </w:tcPr>
          <w:p w14:paraId="73DC9D93"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433-460-1</w:t>
            </w:r>
          </w:p>
        </w:tc>
        <w:tc>
          <w:tcPr>
            <w:tcW w:w="387" w:type="pct"/>
          </w:tcPr>
          <w:p w14:paraId="71960EA7"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0,01</w:t>
            </w:r>
          </w:p>
        </w:tc>
        <w:tc>
          <w:tcPr>
            <w:tcW w:w="389" w:type="pct"/>
          </w:tcPr>
          <w:p w14:paraId="24BD1F6B"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0,001</w:t>
            </w:r>
          </w:p>
        </w:tc>
        <w:tc>
          <w:tcPr>
            <w:tcW w:w="392" w:type="pct"/>
          </w:tcPr>
          <w:p w14:paraId="066B245E"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0,34</w:t>
            </w:r>
          </w:p>
        </w:tc>
        <w:tc>
          <w:tcPr>
            <w:tcW w:w="389" w:type="pct"/>
          </w:tcPr>
          <w:p w14:paraId="575ECB1E"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0,034</w:t>
            </w:r>
          </w:p>
        </w:tc>
        <w:tc>
          <w:tcPr>
            <w:tcW w:w="349" w:type="pct"/>
          </w:tcPr>
          <w:p w14:paraId="6AA314BD"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0D5F8482"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246B2DA5"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3EC2D22E" w14:textId="77777777" w:rsidR="00647D0C" w:rsidRPr="00A61195" w:rsidRDefault="00647D0C" w:rsidP="009D20AB">
            <w:pPr>
              <w:spacing w:before="60" w:after="60" w:line="240" w:lineRule="auto"/>
              <w:ind w:left="-57" w:right="-57"/>
              <w:rPr>
                <w:rFonts w:eastAsia="Calibri"/>
                <w:color w:val="000000"/>
                <w:sz w:val="20"/>
                <w:szCs w:val="20"/>
              </w:rPr>
            </w:pPr>
          </w:p>
        </w:tc>
      </w:tr>
      <w:tr w:rsidR="00647D0C" w:rsidRPr="00A61195" w14:paraId="61BB2E11" w14:textId="77777777" w:rsidTr="00647D0C">
        <w:tc>
          <w:tcPr>
            <w:tcW w:w="296" w:type="pct"/>
          </w:tcPr>
          <w:p w14:paraId="2B4346B9" w14:textId="053D1345" w:rsidR="00647D0C" w:rsidRPr="00A61195" w:rsidRDefault="00647D0C" w:rsidP="009D20AB">
            <w:pPr>
              <w:spacing w:before="60" w:after="60" w:line="240" w:lineRule="auto"/>
              <w:ind w:left="-57" w:right="-57"/>
              <w:rPr>
                <w:rFonts w:eastAsia="Calibri"/>
                <w:sz w:val="20"/>
                <w:szCs w:val="20"/>
              </w:rPr>
            </w:pPr>
            <w:r w:rsidRPr="00A61195">
              <w:rPr>
                <w:sz w:val="20"/>
                <w:szCs w:val="20"/>
              </w:rPr>
              <w:t>55.</w:t>
            </w:r>
          </w:p>
        </w:tc>
        <w:tc>
          <w:tcPr>
            <w:tcW w:w="628" w:type="pct"/>
            <w:gridSpan w:val="3"/>
          </w:tcPr>
          <w:p w14:paraId="4EFCE386"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color w:val="000000"/>
                <w:sz w:val="20"/>
                <w:szCs w:val="20"/>
              </w:rPr>
              <w:t>Deltametrin</w:t>
            </w:r>
            <w:proofErr w:type="spellEnd"/>
          </w:p>
        </w:tc>
        <w:tc>
          <w:tcPr>
            <w:tcW w:w="394" w:type="pct"/>
            <w:gridSpan w:val="2"/>
          </w:tcPr>
          <w:p w14:paraId="56B16DFC"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 xml:space="preserve">Pesticide – </w:t>
            </w:r>
            <w:proofErr w:type="spellStart"/>
            <w:r w:rsidRPr="00A61195">
              <w:rPr>
                <w:color w:val="000000"/>
                <w:sz w:val="20"/>
                <w:szCs w:val="20"/>
              </w:rPr>
              <w:t>piretroide</w:t>
            </w:r>
            <w:proofErr w:type="spellEnd"/>
          </w:p>
        </w:tc>
        <w:tc>
          <w:tcPr>
            <w:tcW w:w="339" w:type="pct"/>
          </w:tcPr>
          <w:p w14:paraId="6FD5425F"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52918-63-5</w:t>
            </w:r>
          </w:p>
        </w:tc>
        <w:tc>
          <w:tcPr>
            <w:tcW w:w="390" w:type="pct"/>
            <w:gridSpan w:val="2"/>
          </w:tcPr>
          <w:p w14:paraId="636030F1"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258-256-6</w:t>
            </w:r>
          </w:p>
        </w:tc>
        <w:tc>
          <w:tcPr>
            <w:tcW w:w="387" w:type="pct"/>
          </w:tcPr>
          <w:p w14:paraId="7C428642"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1,7 × 10</w:t>
            </w:r>
            <w:r w:rsidRPr="00A61195">
              <w:rPr>
                <w:color w:val="000000"/>
                <w:sz w:val="20"/>
                <w:szCs w:val="20"/>
                <w:vertAlign w:val="superscript"/>
              </w:rPr>
              <w:t>-6</w:t>
            </w:r>
          </w:p>
        </w:tc>
        <w:tc>
          <w:tcPr>
            <w:tcW w:w="389" w:type="pct"/>
          </w:tcPr>
          <w:p w14:paraId="1F2583B8"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1,7 × 10</w:t>
            </w:r>
            <w:r w:rsidRPr="00A61195">
              <w:rPr>
                <w:color w:val="000000"/>
                <w:sz w:val="20"/>
                <w:szCs w:val="20"/>
                <w:vertAlign w:val="superscript"/>
              </w:rPr>
              <w:t>-7</w:t>
            </w:r>
          </w:p>
        </w:tc>
        <w:tc>
          <w:tcPr>
            <w:tcW w:w="392" w:type="pct"/>
          </w:tcPr>
          <w:p w14:paraId="7D3AF97D"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1,7 × 10</w:t>
            </w:r>
            <w:r w:rsidRPr="00A61195">
              <w:rPr>
                <w:color w:val="000000"/>
                <w:sz w:val="20"/>
                <w:szCs w:val="20"/>
                <w:vertAlign w:val="superscript"/>
              </w:rPr>
              <w:t>-5</w:t>
            </w:r>
          </w:p>
        </w:tc>
        <w:tc>
          <w:tcPr>
            <w:tcW w:w="389" w:type="pct"/>
          </w:tcPr>
          <w:p w14:paraId="5A8233D5"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3,4 × 10</w:t>
            </w:r>
            <w:r w:rsidRPr="00A61195">
              <w:rPr>
                <w:color w:val="000000"/>
                <w:sz w:val="20"/>
                <w:szCs w:val="20"/>
                <w:vertAlign w:val="superscript"/>
              </w:rPr>
              <w:t>-6</w:t>
            </w:r>
          </w:p>
        </w:tc>
        <w:tc>
          <w:tcPr>
            <w:tcW w:w="349" w:type="pct"/>
          </w:tcPr>
          <w:p w14:paraId="500B634C"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5FED2A2E"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2878232B"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23E9F726" w14:textId="77777777" w:rsidR="00647D0C" w:rsidRPr="00A61195" w:rsidRDefault="00647D0C" w:rsidP="009D20AB">
            <w:pPr>
              <w:spacing w:before="60" w:after="60" w:line="240" w:lineRule="auto"/>
              <w:ind w:left="-57" w:right="-57"/>
              <w:rPr>
                <w:rFonts w:eastAsia="Calibri"/>
                <w:color w:val="000000"/>
                <w:sz w:val="20"/>
                <w:szCs w:val="20"/>
              </w:rPr>
            </w:pPr>
            <w:r w:rsidRPr="00A61195">
              <w:rPr>
                <w:sz w:val="20"/>
                <w:szCs w:val="20"/>
              </w:rPr>
              <w:t>X</w:t>
            </w:r>
          </w:p>
        </w:tc>
      </w:tr>
      <w:tr w:rsidR="00647D0C" w:rsidRPr="00A61195" w14:paraId="5388DCEA" w14:textId="77777777" w:rsidTr="00647D0C">
        <w:tc>
          <w:tcPr>
            <w:tcW w:w="296" w:type="pct"/>
          </w:tcPr>
          <w:p w14:paraId="64E32408" w14:textId="3E9B374F" w:rsidR="00647D0C" w:rsidRPr="00A61195" w:rsidRDefault="00647D0C" w:rsidP="009D20AB">
            <w:pPr>
              <w:spacing w:before="60" w:after="60" w:line="240" w:lineRule="auto"/>
              <w:ind w:left="-57" w:right="-57"/>
              <w:rPr>
                <w:rFonts w:eastAsia="Calibri"/>
                <w:sz w:val="20"/>
                <w:szCs w:val="20"/>
              </w:rPr>
            </w:pPr>
            <w:r w:rsidRPr="00A61195">
              <w:rPr>
                <w:sz w:val="20"/>
                <w:szCs w:val="20"/>
              </w:rPr>
              <w:t>56.</w:t>
            </w:r>
          </w:p>
        </w:tc>
        <w:tc>
          <w:tcPr>
            <w:tcW w:w="628" w:type="pct"/>
            <w:gridSpan w:val="3"/>
          </w:tcPr>
          <w:p w14:paraId="78EA2949"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color w:val="000000"/>
                <w:sz w:val="20"/>
                <w:szCs w:val="20"/>
              </w:rPr>
              <w:t>Diclofenac</w:t>
            </w:r>
            <w:proofErr w:type="spellEnd"/>
          </w:p>
        </w:tc>
        <w:tc>
          <w:tcPr>
            <w:tcW w:w="394" w:type="pct"/>
            <w:gridSpan w:val="2"/>
          </w:tcPr>
          <w:p w14:paraId="4A3EC251"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Produse farmaceutice – antiinflamatoare</w:t>
            </w:r>
          </w:p>
        </w:tc>
        <w:tc>
          <w:tcPr>
            <w:tcW w:w="339" w:type="pct"/>
          </w:tcPr>
          <w:p w14:paraId="64B16D5F"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15307-86-5/15307-79-6</w:t>
            </w:r>
          </w:p>
        </w:tc>
        <w:tc>
          <w:tcPr>
            <w:tcW w:w="390" w:type="pct"/>
            <w:gridSpan w:val="2"/>
          </w:tcPr>
          <w:p w14:paraId="05BDCE73"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239-348-5/239-346-4</w:t>
            </w:r>
          </w:p>
        </w:tc>
        <w:tc>
          <w:tcPr>
            <w:tcW w:w="387" w:type="pct"/>
          </w:tcPr>
          <w:p w14:paraId="5DA5CBB2"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0,04</w:t>
            </w:r>
          </w:p>
        </w:tc>
        <w:tc>
          <w:tcPr>
            <w:tcW w:w="389" w:type="pct"/>
          </w:tcPr>
          <w:p w14:paraId="3C84552A"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0,004</w:t>
            </w:r>
          </w:p>
        </w:tc>
        <w:tc>
          <w:tcPr>
            <w:tcW w:w="392" w:type="pct"/>
          </w:tcPr>
          <w:p w14:paraId="3BC3FC82"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250</w:t>
            </w:r>
          </w:p>
        </w:tc>
        <w:tc>
          <w:tcPr>
            <w:tcW w:w="389" w:type="pct"/>
          </w:tcPr>
          <w:p w14:paraId="68BACF4E"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25</w:t>
            </w:r>
          </w:p>
        </w:tc>
        <w:tc>
          <w:tcPr>
            <w:tcW w:w="349" w:type="pct"/>
          </w:tcPr>
          <w:p w14:paraId="61AFD97F"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3237C823"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2105A8E1"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712C821F" w14:textId="77777777" w:rsidR="00647D0C" w:rsidRPr="00A61195" w:rsidRDefault="00647D0C" w:rsidP="009D20AB">
            <w:pPr>
              <w:spacing w:before="60" w:after="60" w:line="240" w:lineRule="auto"/>
              <w:ind w:left="-57" w:right="-57"/>
              <w:rPr>
                <w:rFonts w:eastAsia="Calibri"/>
                <w:color w:val="000000"/>
                <w:sz w:val="20"/>
                <w:szCs w:val="20"/>
              </w:rPr>
            </w:pPr>
            <w:r w:rsidRPr="00A61195">
              <w:rPr>
                <w:color w:val="000000"/>
                <w:sz w:val="20"/>
                <w:szCs w:val="20"/>
              </w:rPr>
              <w:t>X</w:t>
            </w:r>
          </w:p>
        </w:tc>
      </w:tr>
      <w:tr w:rsidR="00647D0C" w:rsidRPr="00A61195" w14:paraId="3C558C63" w14:textId="77777777" w:rsidTr="00647D0C">
        <w:tc>
          <w:tcPr>
            <w:tcW w:w="296" w:type="pct"/>
          </w:tcPr>
          <w:p w14:paraId="448FEE60" w14:textId="626584D3"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57.</w:t>
            </w:r>
          </w:p>
        </w:tc>
        <w:tc>
          <w:tcPr>
            <w:tcW w:w="628" w:type="pct"/>
            <w:gridSpan w:val="3"/>
          </w:tcPr>
          <w:p w14:paraId="60B8ABE5"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Eritromicină</w:t>
            </w:r>
          </w:p>
        </w:tc>
        <w:tc>
          <w:tcPr>
            <w:tcW w:w="394" w:type="pct"/>
            <w:gridSpan w:val="2"/>
          </w:tcPr>
          <w:p w14:paraId="27A753EC"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 xml:space="preserve">Produse farmaceutice – antibiotice </w:t>
            </w:r>
            <w:proofErr w:type="spellStart"/>
            <w:r w:rsidRPr="00A61195">
              <w:rPr>
                <w:color w:val="000000"/>
                <w:sz w:val="20"/>
                <w:szCs w:val="20"/>
              </w:rPr>
              <w:t>macrolide</w:t>
            </w:r>
            <w:proofErr w:type="spellEnd"/>
          </w:p>
        </w:tc>
        <w:tc>
          <w:tcPr>
            <w:tcW w:w="339" w:type="pct"/>
          </w:tcPr>
          <w:p w14:paraId="594B5581"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114-07-8</w:t>
            </w:r>
          </w:p>
        </w:tc>
        <w:tc>
          <w:tcPr>
            <w:tcW w:w="390" w:type="pct"/>
            <w:gridSpan w:val="2"/>
          </w:tcPr>
          <w:p w14:paraId="3A1C2EB9"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204-040-1</w:t>
            </w:r>
          </w:p>
        </w:tc>
        <w:tc>
          <w:tcPr>
            <w:tcW w:w="387" w:type="pct"/>
          </w:tcPr>
          <w:p w14:paraId="66394885"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0,5</w:t>
            </w:r>
          </w:p>
        </w:tc>
        <w:tc>
          <w:tcPr>
            <w:tcW w:w="389" w:type="pct"/>
          </w:tcPr>
          <w:p w14:paraId="3EA003F0"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0,05</w:t>
            </w:r>
          </w:p>
        </w:tc>
        <w:tc>
          <w:tcPr>
            <w:tcW w:w="392" w:type="pct"/>
          </w:tcPr>
          <w:p w14:paraId="1BC3DE10"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w:t>
            </w:r>
          </w:p>
        </w:tc>
        <w:tc>
          <w:tcPr>
            <w:tcW w:w="389" w:type="pct"/>
          </w:tcPr>
          <w:p w14:paraId="442AD76A"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0,1</w:t>
            </w:r>
          </w:p>
        </w:tc>
        <w:tc>
          <w:tcPr>
            <w:tcW w:w="349" w:type="pct"/>
          </w:tcPr>
          <w:p w14:paraId="3A96E1EA"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496590C5"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586FA956"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4EC024EE" w14:textId="77777777" w:rsidR="00647D0C" w:rsidRPr="00A61195" w:rsidRDefault="00647D0C" w:rsidP="009D20AB">
            <w:pPr>
              <w:spacing w:before="60" w:after="60" w:line="240" w:lineRule="auto"/>
              <w:ind w:left="-57" w:right="-57"/>
              <w:rPr>
                <w:rFonts w:eastAsia="Calibri"/>
                <w:color w:val="000000"/>
                <w:sz w:val="20"/>
                <w:szCs w:val="20"/>
              </w:rPr>
            </w:pPr>
            <w:r w:rsidRPr="00A61195">
              <w:rPr>
                <w:sz w:val="20"/>
                <w:szCs w:val="20"/>
              </w:rPr>
              <w:t>X</w:t>
            </w:r>
          </w:p>
        </w:tc>
      </w:tr>
      <w:tr w:rsidR="00647D0C" w:rsidRPr="00A61195" w14:paraId="5AB8C392" w14:textId="77777777" w:rsidTr="00647D0C">
        <w:tc>
          <w:tcPr>
            <w:tcW w:w="296" w:type="pct"/>
          </w:tcPr>
          <w:p w14:paraId="38F78835" w14:textId="478749AF" w:rsidR="00647D0C" w:rsidRPr="00A61195" w:rsidRDefault="00647D0C" w:rsidP="009D20AB">
            <w:pPr>
              <w:spacing w:before="60" w:after="60" w:line="240" w:lineRule="auto"/>
              <w:ind w:left="-57" w:right="-57"/>
              <w:rPr>
                <w:rFonts w:eastAsia="Calibri"/>
                <w:sz w:val="20"/>
                <w:szCs w:val="20"/>
              </w:rPr>
            </w:pPr>
            <w:r w:rsidRPr="00A61195">
              <w:rPr>
                <w:sz w:val="20"/>
                <w:szCs w:val="20"/>
              </w:rPr>
              <w:t>58.</w:t>
            </w:r>
          </w:p>
        </w:tc>
        <w:tc>
          <w:tcPr>
            <w:tcW w:w="628" w:type="pct"/>
            <w:gridSpan w:val="3"/>
          </w:tcPr>
          <w:p w14:paraId="0B3135B8"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color w:val="000000"/>
                <w:sz w:val="20"/>
                <w:szCs w:val="20"/>
              </w:rPr>
              <w:t>Esfenvalerat</w:t>
            </w:r>
            <w:proofErr w:type="spellEnd"/>
          </w:p>
        </w:tc>
        <w:tc>
          <w:tcPr>
            <w:tcW w:w="394" w:type="pct"/>
            <w:gridSpan w:val="2"/>
          </w:tcPr>
          <w:p w14:paraId="79E68CDC"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 xml:space="preserve">Pesticide – </w:t>
            </w:r>
            <w:proofErr w:type="spellStart"/>
            <w:r w:rsidRPr="00A61195">
              <w:rPr>
                <w:color w:val="000000"/>
                <w:sz w:val="20"/>
                <w:szCs w:val="20"/>
              </w:rPr>
              <w:t>piretroide</w:t>
            </w:r>
            <w:proofErr w:type="spellEnd"/>
          </w:p>
        </w:tc>
        <w:tc>
          <w:tcPr>
            <w:tcW w:w="339" w:type="pct"/>
          </w:tcPr>
          <w:p w14:paraId="1CB6DCE5"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66230-04-4</w:t>
            </w:r>
          </w:p>
        </w:tc>
        <w:tc>
          <w:tcPr>
            <w:tcW w:w="390" w:type="pct"/>
            <w:gridSpan w:val="2"/>
          </w:tcPr>
          <w:p w14:paraId="2E44F22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613-911-9</w:t>
            </w:r>
          </w:p>
        </w:tc>
        <w:tc>
          <w:tcPr>
            <w:tcW w:w="387" w:type="pct"/>
          </w:tcPr>
          <w:p w14:paraId="260B1F35"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1,7 × 10</w:t>
            </w:r>
            <w:r w:rsidRPr="00A61195">
              <w:rPr>
                <w:color w:val="000000"/>
                <w:sz w:val="20"/>
                <w:szCs w:val="20"/>
                <w:vertAlign w:val="superscript"/>
              </w:rPr>
              <w:t>-5</w:t>
            </w:r>
          </w:p>
        </w:tc>
        <w:tc>
          <w:tcPr>
            <w:tcW w:w="389" w:type="pct"/>
          </w:tcPr>
          <w:p w14:paraId="13B907F4"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1,7 × 10</w:t>
            </w:r>
            <w:r w:rsidRPr="00A61195">
              <w:rPr>
                <w:color w:val="000000"/>
                <w:sz w:val="20"/>
                <w:szCs w:val="20"/>
                <w:vertAlign w:val="superscript"/>
              </w:rPr>
              <w:t>-6</w:t>
            </w:r>
          </w:p>
        </w:tc>
        <w:tc>
          <w:tcPr>
            <w:tcW w:w="392" w:type="pct"/>
          </w:tcPr>
          <w:p w14:paraId="3C72CAFF"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0,0085</w:t>
            </w:r>
          </w:p>
        </w:tc>
        <w:tc>
          <w:tcPr>
            <w:tcW w:w="389" w:type="pct"/>
          </w:tcPr>
          <w:p w14:paraId="1AE26AB0"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0,00085</w:t>
            </w:r>
          </w:p>
        </w:tc>
        <w:tc>
          <w:tcPr>
            <w:tcW w:w="349" w:type="pct"/>
          </w:tcPr>
          <w:p w14:paraId="7B239170"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1E8F7C09"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019632F9"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7A2E3BCB" w14:textId="77777777" w:rsidR="00647D0C" w:rsidRPr="00A61195" w:rsidRDefault="00647D0C" w:rsidP="009D20AB">
            <w:pPr>
              <w:spacing w:before="60" w:after="60" w:line="240" w:lineRule="auto"/>
              <w:ind w:left="-57" w:right="-57"/>
              <w:rPr>
                <w:rFonts w:eastAsia="Calibri"/>
                <w:color w:val="000000"/>
                <w:sz w:val="20"/>
                <w:szCs w:val="20"/>
              </w:rPr>
            </w:pPr>
            <w:r w:rsidRPr="00A61195">
              <w:rPr>
                <w:sz w:val="20"/>
                <w:szCs w:val="20"/>
              </w:rPr>
              <w:t>X</w:t>
            </w:r>
          </w:p>
        </w:tc>
      </w:tr>
      <w:tr w:rsidR="00647D0C" w:rsidRPr="00A61195" w14:paraId="31599613" w14:textId="77777777" w:rsidTr="00647D0C">
        <w:tc>
          <w:tcPr>
            <w:tcW w:w="296" w:type="pct"/>
          </w:tcPr>
          <w:p w14:paraId="7D33A1E9" w14:textId="44160503" w:rsidR="00647D0C" w:rsidRPr="00A61195" w:rsidRDefault="00647D0C" w:rsidP="009D20AB">
            <w:pPr>
              <w:spacing w:before="60" w:after="60" w:line="240" w:lineRule="auto"/>
              <w:ind w:left="-57" w:right="-57"/>
              <w:rPr>
                <w:rFonts w:eastAsia="Calibri"/>
                <w:sz w:val="20"/>
                <w:szCs w:val="20"/>
              </w:rPr>
            </w:pPr>
            <w:r w:rsidRPr="00A61195">
              <w:rPr>
                <w:sz w:val="20"/>
                <w:szCs w:val="20"/>
              </w:rPr>
              <w:t>59.</w:t>
            </w:r>
          </w:p>
        </w:tc>
        <w:tc>
          <w:tcPr>
            <w:tcW w:w="628" w:type="pct"/>
            <w:gridSpan w:val="3"/>
          </w:tcPr>
          <w:p w14:paraId="40D75ABC"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Estronă (E1)</w:t>
            </w:r>
          </w:p>
        </w:tc>
        <w:tc>
          <w:tcPr>
            <w:tcW w:w="394" w:type="pct"/>
            <w:gridSpan w:val="2"/>
          </w:tcPr>
          <w:p w14:paraId="20C0B823"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Produse farmaceutice – hormoni estrogeni</w:t>
            </w:r>
          </w:p>
        </w:tc>
        <w:tc>
          <w:tcPr>
            <w:tcW w:w="339" w:type="pct"/>
          </w:tcPr>
          <w:p w14:paraId="1C64E864"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53-16-7</w:t>
            </w:r>
          </w:p>
        </w:tc>
        <w:tc>
          <w:tcPr>
            <w:tcW w:w="390" w:type="pct"/>
            <w:gridSpan w:val="2"/>
          </w:tcPr>
          <w:p w14:paraId="6633F75A"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200-164-5</w:t>
            </w:r>
          </w:p>
        </w:tc>
        <w:tc>
          <w:tcPr>
            <w:tcW w:w="387" w:type="pct"/>
          </w:tcPr>
          <w:p w14:paraId="72A52C48"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3,6 × 10</w:t>
            </w:r>
            <w:r w:rsidRPr="00A61195">
              <w:rPr>
                <w:color w:val="000000"/>
                <w:sz w:val="20"/>
                <w:szCs w:val="20"/>
                <w:vertAlign w:val="superscript"/>
              </w:rPr>
              <w:t>-4</w:t>
            </w:r>
          </w:p>
        </w:tc>
        <w:tc>
          <w:tcPr>
            <w:tcW w:w="389" w:type="pct"/>
          </w:tcPr>
          <w:p w14:paraId="45A0B846"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1,8 × 10</w:t>
            </w:r>
            <w:r w:rsidRPr="00A61195">
              <w:rPr>
                <w:color w:val="000000"/>
                <w:sz w:val="20"/>
                <w:szCs w:val="20"/>
                <w:vertAlign w:val="superscript"/>
              </w:rPr>
              <w:t>-5</w:t>
            </w:r>
          </w:p>
        </w:tc>
        <w:tc>
          <w:tcPr>
            <w:tcW w:w="392" w:type="pct"/>
          </w:tcPr>
          <w:p w14:paraId="41CA217B" w14:textId="6391AE41" w:rsidR="00647D0C" w:rsidRPr="00A61195" w:rsidRDefault="00647D0C" w:rsidP="009D20AB">
            <w:pPr>
              <w:spacing w:before="60" w:after="60" w:line="240" w:lineRule="auto"/>
              <w:ind w:left="-57" w:right="-57"/>
              <w:rPr>
                <w:rFonts w:eastAsia="Calibri"/>
                <w:sz w:val="20"/>
                <w:szCs w:val="20"/>
              </w:rPr>
            </w:pPr>
            <w:r w:rsidRPr="00A61195">
              <w:rPr>
                <w:sz w:val="20"/>
                <w:szCs w:val="20"/>
              </w:rPr>
              <w:t>nederivat</w:t>
            </w:r>
          </w:p>
        </w:tc>
        <w:tc>
          <w:tcPr>
            <w:tcW w:w="389" w:type="pct"/>
          </w:tcPr>
          <w:p w14:paraId="0273538A" w14:textId="5DC4D7A5" w:rsidR="00647D0C" w:rsidRPr="00A61195" w:rsidRDefault="00647D0C" w:rsidP="009D20AB">
            <w:pPr>
              <w:spacing w:before="60" w:after="60" w:line="240" w:lineRule="auto"/>
              <w:ind w:left="-57" w:right="-57"/>
              <w:rPr>
                <w:rFonts w:eastAsia="Calibri"/>
                <w:sz w:val="20"/>
                <w:szCs w:val="20"/>
              </w:rPr>
            </w:pPr>
            <w:r w:rsidRPr="00A61195">
              <w:rPr>
                <w:sz w:val="20"/>
                <w:szCs w:val="20"/>
              </w:rPr>
              <w:t>nederivat</w:t>
            </w:r>
          </w:p>
        </w:tc>
        <w:tc>
          <w:tcPr>
            <w:tcW w:w="349" w:type="pct"/>
          </w:tcPr>
          <w:p w14:paraId="1D587F2C"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67136AA4"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6EEEF423"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6018C565" w14:textId="77777777" w:rsidR="00647D0C" w:rsidRPr="00A61195" w:rsidRDefault="00647D0C" w:rsidP="009D20AB">
            <w:pPr>
              <w:spacing w:before="60" w:after="60" w:line="240" w:lineRule="auto"/>
              <w:ind w:left="-57" w:right="-57"/>
              <w:rPr>
                <w:rFonts w:eastAsia="Calibri"/>
                <w:color w:val="000000"/>
                <w:sz w:val="20"/>
                <w:szCs w:val="20"/>
              </w:rPr>
            </w:pPr>
          </w:p>
        </w:tc>
      </w:tr>
      <w:tr w:rsidR="00647D0C" w:rsidRPr="00A61195" w14:paraId="27E7F122" w14:textId="77777777" w:rsidTr="00647D0C">
        <w:tc>
          <w:tcPr>
            <w:tcW w:w="296" w:type="pct"/>
          </w:tcPr>
          <w:p w14:paraId="54DF1D56" w14:textId="56AAB91A"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60.</w:t>
            </w:r>
          </w:p>
        </w:tc>
        <w:tc>
          <w:tcPr>
            <w:tcW w:w="628" w:type="pct"/>
            <w:gridSpan w:val="3"/>
          </w:tcPr>
          <w:p w14:paraId="0E753C32"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color w:val="000000"/>
                <w:sz w:val="20"/>
                <w:szCs w:val="20"/>
              </w:rPr>
              <w:t>Glifosat</w:t>
            </w:r>
            <w:proofErr w:type="spellEnd"/>
          </w:p>
        </w:tc>
        <w:tc>
          <w:tcPr>
            <w:tcW w:w="394" w:type="pct"/>
            <w:gridSpan w:val="2"/>
          </w:tcPr>
          <w:p w14:paraId="4292F65F"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Pesticide – erbicide</w:t>
            </w:r>
          </w:p>
        </w:tc>
        <w:tc>
          <w:tcPr>
            <w:tcW w:w="339" w:type="pct"/>
          </w:tcPr>
          <w:p w14:paraId="1B027ACC"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1071-83-6</w:t>
            </w:r>
          </w:p>
        </w:tc>
        <w:tc>
          <w:tcPr>
            <w:tcW w:w="390" w:type="pct"/>
            <w:gridSpan w:val="2"/>
          </w:tcPr>
          <w:p w14:paraId="492DA73F"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213-997-4</w:t>
            </w:r>
          </w:p>
        </w:tc>
        <w:tc>
          <w:tcPr>
            <w:tcW w:w="387" w:type="pct"/>
          </w:tcPr>
          <w:p w14:paraId="7775EC22" w14:textId="77777777" w:rsidR="00647D0C" w:rsidRPr="00A61195" w:rsidRDefault="00647D0C" w:rsidP="009D20AB">
            <w:pPr>
              <w:spacing w:before="60" w:after="60" w:line="240" w:lineRule="auto"/>
              <w:ind w:left="-57" w:right="-57"/>
              <w:rPr>
                <w:rFonts w:eastAsia="Calibri"/>
                <w:color w:val="000000"/>
                <w:sz w:val="20"/>
                <w:szCs w:val="20"/>
              </w:rPr>
            </w:pPr>
            <w:r w:rsidRPr="00A61195">
              <w:rPr>
                <w:color w:val="000000"/>
                <w:sz w:val="20"/>
                <w:szCs w:val="20"/>
              </w:rPr>
              <w:t>0,1 (</w:t>
            </w:r>
            <w:r w:rsidRPr="00D3772B">
              <w:rPr>
                <w:b/>
                <w:bCs/>
                <w:color w:val="000000"/>
                <w:sz w:val="20"/>
                <w:szCs w:val="20"/>
                <w:vertAlign w:val="superscript"/>
              </w:rPr>
              <w:t>25</w:t>
            </w:r>
            <w:r w:rsidRPr="00A61195">
              <w:rPr>
                <w:color w:val="000000"/>
                <w:sz w:val="20"/>
                <w:szCs w:val="20"/>
              </w:rPr>
              <w:t>)</w:t>
            </w:r>
          </w:p>
          <w:p w14:paraId="01F0C2CD"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86,7 (</w:t>
            </w:r>
            <w:r w:rsidRPr="00D3772B">
              <w:rPr>
                <w:b/>
                <w:bCs/>
                <w:color w:val="000000"/>
                <w:sz w:val="20"/>
                <w:szCs w:val="20"/>
                <w:vertAlign w:val="superscript"/>
              </w:rPr>
              <w:t>26</w:t>
            </w:r>
            <w:r w:rsidRPr="00A61195">
              <w:rPr>
                <w:color w:val="000000"/>
                <w:sz w:val="20"/>
                <w:szCs w:val="20"/>
              </w:rPr>
              <w:t>)</w:t>
            </w:r>
          </w:p>
        </w:tc>
        <w:tc>
          <w:tcPr>
            <w:tcW w:w="389" w:type="pct"/>
          </w:tcPr>
          <w:p w14:paraId="0C6DDC10"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8,67</w:t>
            </w:r>
          </w:p>
        </w:tc>
        <w:tc>
          <w:tcPr>
            <w:tcW w:w="392" w:type="pct"/>
          </w:tcPr>
          <w:p w14:paraId="6D9FFE05" w14:textId="77777777" w:rsidR="00647D0C" w:rsidRPr="00A61195" w:rsidRDefault="00647D0C" w:rsidP="009D20AB">
            <w:pPr>
              <w:spacing w:before="60" w:after="60" w:line="240" w:lineRule="auto"/>
              <w:ind w:left="-57" w:right="-57"/>
              <w:rPr>
                <w:rFonts w:eastAsia="Calibri"/>
                <w:color w:val="000000"/>
                <w:sz w:val="20"/>
                <w:szCs w:val="20"/>
              </w:rPr>
            </w:pPr>
            <w:r w:rsidRPr="00A61195">
              <w:rPr>
                <w:color w:val="000000"/>
                <w:sz w:val="20"/>
                <w:szCs w:val="20"/>
              </w:rPr>
              <w:t>Nu se aplică (</w:t>
            </w:r>
            <w:r w:rsidRPr="0039432B">
              <w:rPr>
                <w:b/>
                <w:bCs/>
                <w:color w:val="000000"/>
                <w:sz w:val="20"/>
                <w:szCs w:val="20"/>
                <w:vertAlign w:val="superscript"/>
              </w:rPr>
              <w:t>25</w:t>
            </w:r>
            <w:r w:rsidRPr="00A61195">
              <w:rPr>
                <w:color w:val="000000"/>
                <w:sz w:val="20"/>
                <w:szCs w:val="20"/>
              </w:rPr>
              <w:t>)</w:t>
            </w:r>
          </w:p>
          <w:p w14:paraId="2DE0FD18"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398,6 (</w:t>
            </w:r>
            <w:r w:rsidRPr="0039432B">
              <w:rPr>
                <w:b/>
                <w:bCs/>
                <w:color w:val="000000"/>
                <w:sz w:val="20"/>
                <w:szCs w:val="20"/>
                <w:vertAlign w:val="superscript"/>
              </w:rPr>
              <w:t>26</w:t>
            </w:r>
            <w:r w:rsidRPr="00A61195">
              <w:rPr>
                <w:color w:val="000000"/>
                <w:sz w:val="20"/>
                <w:szCs w:val="20"/>
              </w:rPr>
              <w:t>)</w:t>
            </w:r>
          </w:p>
        </w:tc>
        <w:tc>
          <w:tcPr>
            <w:tcW w:w="389" w:type="pct"/>
          </w:tcPr>
          <w:p w14:paraId="2B5A5304"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39,86</w:t>
            </w:r>
          </w:p>
        </w:tc>
        <w:tc>
          <w:tcPr>
            <w:tcW w:w="349" w:type="pct"/>
          </w:tcPr>
          <w:p w14:paraId="432F9D5D"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14B4DB9E"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795A0646"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0DAFAF62" w14:textId="77777777" w:rsidR="00647D0C" w:rsidRPr="00A61195" w:rsidRDefault="00647D0C" w:rsidP="009D20AB">
            <w:pPr>
              <w:spacing w:before="60" w:after="60" w:line="240" w:lineRule="auto"/>
              <w:ind w:left="-57" w:right="-57"/>
              <w:rPr>
                <w:rFonts w:eastAsia="Calibri"/>
                <w:color w:val="000000"/>
                <w:sz w:val="20"/>
                <w:szCs w:val="20"/>
              </w:rPr>
            </w:pPr>
          </w:p>
        </w:tc>
      </w:tr>
      <w:tr w:rsidR="00647D0C" w:rsidRPr="00A61195" w14:paraId="1EB21E84" w14:textId="77777777" w:rsidTr="00647D0C">
        <w:tc>
          <w:tcPr>
            <w:tcW w:w="296" w:type="pct"/>
          </w:tcPr>
          <w:p w14:paraId="081A777A" w14:textId="090DB2DE" w:rsidR="00647D0C" w:rsidRPr="00A61195" w:rsidRDefault="00647D0C" w:rsidP="009D20AB">
            <w:pPr>
              <w:spacing w:before="60" w:after="60" w:line="240" w:lineRule="auto"/>
              <w:ind w:left="-57" w:right="-57"/>
              <w:rPr>
                <w:rFonts w:eastAsia="Calibri"/>
                <w:sz w:val="20"/>
                <w:szCs w:val="20"/>
              </w:rPr>
            </w:pPr>
            <w:r w:rsidRPr="00A61195">
              <w:rPr>
                <w:sz w:val="20"/>
                <w:szCs w:val="20"/>
              </w:rPr>
              <w:t>61.</w:t>
            </w:r>
          </w:p>
        </w:tc>
        <w:tc>
          <w:tcPr>
            <w:tcW w:w="634" w:type="pct"/>
            <w:gridSpan w:val="4"/>
          </w:tcPr>
          <w:p w14:paraId="7A6639CA"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color w:val="000000"/>
                <w:sz w:val="20"/>
                <w:szCs w:val="20"/>
              </w:rPr>
              <w:t>Ibuprofen</w:t>
            </w:r>
            <w:proofErr w:type="spellEnd"/>
          </w:p>
        </w:tc>
        <w:tc>
          <w:tcPr>
            <w:tcW w:w="388" w:type="pct"/>
          </w:tcPr>
          <w:p w14:paraId="3EC3FC9C" w14:textId="77777777" w:rsidR="00647D0C" w:rsidRPr="00A61195" w:rsidRDefault="00647D0C" w:rsidP="0039432B">
            <w:pPr>
              <w:spacing w:before="60" w:after="60" w:line="240" w:lineRule="auto"/>
              <w:ind w:left="-57" w:right="-94"/>
              <w:rPr>
                <w:rFonts w:eastAsia="Calibri"/>
                <w:sz w:val="20"/>
                <w:szCs w:val="20"/>
              </w:rPr>
            </w:pPr>
            <w:r w:rsidRPr="00A61195">
              <w:rPr>
                <w:color w:val="000000"/>
                <w:sz w:val="20"/>
                <w:szCs w:val="20"/>
              </w:rPr>
              <w:t>Produse farmaceutice – antiinflamatoare</w:t>
            </w:r>
          </w:p>
        </w:tc>
        <w:tc>
          <w:tcPr>
            <w:tcW w:w="339" w:type="pct"/>
          </w:tcPr>
          <w:p w14:paraId="7FBEBAD2"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15687-27-1</w:t>
            </w:r>
          </w:p>
        </w:tc>
        <w:tc>
          <w:tcPr>
            <w:tcW w:w="390" w:type="pct"/>
            <w:gridSpan w:val="2"/>
          </w:tcPr>
          <w:p w14:paraId="5311F570"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239-784-6</w:t>
            </w:r>
          </w:p>
        </w:tc>
        <w:tc>
          <w:tcPr>
            <w:tcW w:w="387" w:type="pct"/>
          </w:tcPr>
          <w:p w14:paraId="730199EF"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0,14</w:t>
            </w:r>
          </w:p>
        </w:tc>
        <w:tc>
          <w:tcPr>
            <w:tcW w:w="389" w:type="pct"/>
          </w:tcPr>
          <w:p w14:paraId="1F7B5445"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0,014</w:t>
            </w:r>
          </w:p>
        </w:tc>
        <w:tc>
          <w:tcPr>
            <w:tcW w:w="392" w:type="pct"/>
          </w:tcPr>
          <w:p w14:paraId="595CAB04" w14:textId="77777777" w:rsidR="00647D0C" w:rsidRPr="00A61195" w:rsidRDefault="00647D0C" w:rsidP="009D20AB">
            <w:pPr>
              <w:spacing w:before="60" w:after="60" w:line="240" w:lineRule="auto"/>
              <w:ind w:left="-57" w:right="-57"/>
              <w:rPr>
                <w:rFonts w:eastAsia="Calibri"/>
                <w:sz w:val="20"/>
                <w:szCs w:val="20"/>
              </w:rPr>
            </w:pPr>
          </w:p>
        </w:tc>
        <w:tc>
          <w:tcPr>
            <w:tcW w:w="389" w:type="pct"/>
          </w:tcPr>
          <w:p w14:paraId="53198B06" w14:textId="77777777" w:rsidR="00647D0C" w:rsidRPr="00A61195" w:rsidRDefault="00647D0C" w:rsidP="009D20AB">
            <w:pPr>
              <w:spacing w:before="60" w:after="60" w:line="240" w:lineRule="auto"/>
              <w:ind w:left="-57" w:right="-57"/>
              <w:rPr>
                <w:rFonts w:eastAsia="Calibri"/>
                <w:sz w:val="20"/>
                <w:szCs w:val="20"/>
              </w:rPr>
            </w:pPr>
          </w:p>
        </w:tc>
        <w:tc>
          <w:tcPr>
            <w:tcW w:w="349" w:type="pct"/>
          </w:tcPr>
          <w:p w14:paraId="15F74577" w14:textId="77777777" w:rsidR="00647D0C" w:rsidRPr="00A61195" w:rsidRDefault="00647D0C" w:rsidP="009D20AB">
            <w:pPr>
              <w:spacing w:before="60" w:after="60" w:line="240" w:lineRule="auto"/>
              <w:ind w:left="-57" w:right="-57"/>
              <w:rPr>
                <w:rFonts w:eastAsia="Calibri"/>
                <w:sz w:val="20"/>
                <w:szCs w:val="20"/>
              </w:rPr>
            </w:pPr>
          </w:p>
        </w:tc>
        <w:tc>
          <w:tcPr>
            <w:tcW w:w="399" w:type="pct"/>
            <w:gridSpan w:val="2"/>
          </w:tcPr>
          <w:p w14:paraId="4A30A95E" w14:textId="77777777" w:rsidR="00647D0C" w:rsidRPr="00A61195" w:rsidRDefault="00647D0C" w:rsidP="009D20AB">
            <w:pPr>
              <w:spacing w:before="60" w:after="60" w:line="240" w:lineRule="auto"/>
              <w:ind w:left="-57" w:right="-57"/>
              <w:rPr>
                <w:rFonts w:eastAsia="Calibri"/>
                <w:color w:val="000000"/>
                <w:sz w:val="20"/>
                <w:szCs w:val="20"/>
              </w:rPr>
            </w:pPr>
          </w:p>
        </w:tc>
        <w:tc>
          <w:tcPr>
            <w:tcW w:w="354" w:type="pct"/>
          </w:tcPr>
          <w:p w14:paraId="47DE4B66"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35FF5023" w14:textId="77777777" w:rsidR="00647D0C" w:rsidRPr="00A61195" w:rsidRDefault="00647D0C" w:rsidP="009D20AB">
            <w:pPr>
              <w:spacing w:before="60" w:after="60" w:line="240" w:lineRule="auto"/>
              <w:ind w:left="-57" w:right="-57"/>
              <w:rPr>
                <w:rFonts w:eastAsia="Calibri"/>
                <w:color w:val="000000"/>
                <w:sz w:val="20"/>
                <w:szCs w:val="20"/>
              </w:rPr>
            </w:pPr>
            <w:r w:rsidRPr="00A61195">
              <w:rPr>
                <w:color w:val="000000"/>
                <w:sz w:val="20"/>
                <w:szCs w:val="20"/>
              </w:rPr>
              <w:t>X</w:t>
            </w:r>
          </w:p>
        </w:tc>
      </w:tr>
      <w:tr w:rsidR="00647D0C" w:rsidRPr="00A61195" w14:paraId="76B43449" w14:textId="77777777" w:rsidTr="00647D0C">
        <w:tc>
          <w:tcPr>
            <w:tcW w:w="296" w:type="pct"/>
          </w:tcPr>
          <w:p w14:paraId="32497297" w14:textId="56B65527" w:rsidR="00647D0C" w:rsidRPr="00A61195" w:rsidRDefault="00647D0C" w:rsidP="009D20AB">
            <w:pPr>
              <w:spacing w:before="60" w:after="60" w:line="240" w:lineRule="auto"/>
              <w:ind w:left="-57" w:right="-57"/>
              <w:rPr>
                <w:rFonts w:eastAsia="Calibri"/>
                <w:sz w:val="20"/>
                <w:szCs w:val="20"/>
              </w:rPr>
            </w:pPr>
            <w:r w:rsidRPr="00A61195">
              <w:rPr>
                <w:sz w:val="20"/>
                <w:szCs w:val="20"/>
              </w:rPr>
              <w:t>62.</w:t>
            </w:r>
          </w:p>
        </w:tc>
        <w:tc>
          <w:tcPr>
            <w:tcW w:w="628" w:type="pct"/>
            <w:gridSpan w:val="3"/>
          </w:tcPr>
          <w:p w14:paraId="46BDCD04"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color w:val="000000"/>
                <w:sz w:val="20"/>
                <w:szCs w:val="20"/>
              </w:rPr>
              <w:t>Imidaclopridă</w:t>
            </w:r>
            <w:proofErr w:type="spellEnd"/>
          </w:p>
        </w:tc>
        <w:tc>
          <w:tcPr>
            <w:tcW w:w="394" w:type="pct"/>
            <w:gridSpan w:val="2"/>
          </w:tcPr>
          <w:p w14:paraId="7A6EFB33"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 xml:space="preserve">Pesticide – </w:t>
            </w:r>
            <w:proofErr w:type="spellStart"/>
            <w:r w:rsidRPr="00A61195">
              <w:rPr>
                <w:color w:val="000000"/>
                <w:sz w:val="20"/>
                <w:szCs w:val="20"/>
              </w:rPr>
              <w:t>neonicotinoide</w:t>
            </w:r>
            <w:proofErr w:type="spellEnd"/>
          </w:p>
        </w:tc>
        <w:tc>
          <w:tcPr>
            <w:tcW w:w="339" w:type="pct"/>
          </w:tcPr>
          <w:p w14:paraId="0EA7D12F"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138261-41-3/105827-78-9</w:t>
            </w:r>
          </w:p>
        </w:tc>
        <w:tc>
          <w:tcPr>
            <w:tcW w:w="390" w:type="pct"/>
            <w:gridSpan w:val="2"/>
          </w:tcPr>
          <w:p w14:paraId="5710C314"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428-040-8</w:t>
            </w:r>
          </w:p>
        </w:tc>
        <w:tc>
          <w:tcPr>
            <w:tcW w:w="387" w:type="pct"/>
          </w:tcPr>
          <w:p w14:paraId="3918A949"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0,0068</w:t>
            </w:r>
          </w:p>
        </w:tc>
        <w:tc>
          <w:tcPr>
            <w:tcW w:w="389" w:type="pct"/>
          </w:tcPr>
          <w:p w14:paraId="02233941"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6,8 × 10</w:t>
            </w:r>
            <w:r w:rsidRPr="00A61195">
              <w:rPr>
                <w:color w:val="000000"/>
                <w:sz w:val="20"/>
                <w:szCs w:val="20"/>
                <w:vertAlign w:val="superscript"/>
              </w:rPr>
              <w:t>-4</w:t>
            </w:r>
          </w:p>
        </w:tc>
        <w:tc>
          <w:tcPr>
            <w:tcW w:w="392" w:type="pct"/>
          </w:tcPr>
          <w:p w14:paraId="1C581D06"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0,057</w:t>
            </w:r>
          </w:p>
        </w:tc>
        <w:tc>
          <w:tcPr>
            <w:tcW w:w="389" w:type="pct"/>
          </w:tcPr>
          <w:p w14:paraId="7B5E41AD"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0,0057</w:t>
            </w:r>
          </w:p>
        </w:tc>
        <w:tc>
          <w:tcPr>
            <w:tcW w:w="349" w:type="pct"/>
          </w:tcPr>
          <w:p w14:paraId="6A0A7A2A"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2EFD81E3"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4E6CB921"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3C0714C2" w14:textId="77777777" w:rsidR="00647D0C" w:rsidRPr="00A61195" w:rsidRDefault="00647D0C" w:rsidP="009D20AB">
            <w:pPr>
              <w:spacing w:before="60" w:after="60" w:line="240" w:lineRule="auto"/>
              <w:ind w:left="-57" w:right="-57"/>
              <w:rPr>
                <w:rFonts w:eastAsia="Calibri"/>
                <w:color w:val="000000"/>
                <w:sz w:val="20"/>
                <w:szCs w:val="20"/>
              </w:rPr>
            </w:pPr>
          </w:p>
        </w:tc>
      </w:tr>
      <w:tr w:rsidR="00647D0C" w:rsidRPr="00A61195" w14:paraId="6639DAE5" w14:textId="77777777" w:rsidTr="00647D0C">
        <w:tc>
          <w:tcPr>
            <w:tcW w:w="296" w:type="pct"/>
          </w:tcPr>
          <w:p w14:paraId="7A46BE3D" w14:textId="57D0DB7F" w:rsidR="00647D0C" w:rsidRPr="00A61195" w:rsidRDefault="00647D0C" w:rsidP="009D20AB">
            <w:pPr>
              <w:spacing w:before="60" w:after="60" w:line="240" w:lineRule="auto"/>
              <w:ind w:left="-57" w:right="-57"/>
              <w:rPr>
                <w:rFonts w:eastAsia="Calibri"/>
                <w:sz w:val="20"/>
                <w:szCs w:val="20"/>
              </w:rPr>
            </w:pPr>
            <w:r w:rsidRPr="00A61195">
              <w:rPr>
                <w:sz w:val="20"/>
                <w:szCs w:val="20"/>
              </w:rPr>
              <w:t>63.</w:t>
            </w:r>
          </w:p>
        </w:tc>
        <w:tc>
          <w:tcPr>
            <w:tcW w:w="628" w:type="pct"/>
            <w:gridSpan w:val="3"/>
          </w:tcPr>
          <w:p w14:paraId="06FD35C1"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color w:val="000000"/>
                <w:sz w:val="20"/>
                <w:szCs w:val="20"/>
              </w:rPr>
              <w:t>Nicosulfuron</w:t>
            </w:r>
            <w:proofErr w:type="spellEnd"/>
          </w:p>
        </w:tc>
        <w:tc>
          <w:tcPr>
            <w:tcW w:w="394" w:type="pct"/>
            <w:gridSpan w:val="2"/>
          </w:tcPr>
          <w:p w14:paraId="3B03EFE0"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Pesticide – erbicide</w:t>
            </w:r>
          </w:p>
        </w:tc>
        <w:tc>
          <w:tcPr>
            <w:tcW w:w="339" w:type="pct"/>
          </w:tcPr>
          <w:p w14:paraId="21163826"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111991-09-4</w:t>
            </w:r>
          </w:p>
        </w:tc>
        <w:tc>
          <w:tcPr>
            <w:tcW w:w="390" w:type="pct"/>
            <w:gridSpan w:val="2"/>
          </w:tcPr>
          <w:p w14:paraId="6C74C020"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601-148-4</w:t>
            </w:r>
          </w:p>
        </w:tc>
        <w:tc>
          <w:tcPr>
            <w:tcW w:w="387" w:type="pct"/>
          </w:tcPr>
          <w:p w14:paraId="55FB7FEA"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0,0087</w:t>
            </w:r>
          </w:p>
        </w:tc>
        <w:tc>
          <w:tcPr>
            <w:tcW w:w="389" w:type="pct"/>
          </w:tcPr>
          <w:p w14:paraId="2C670A40"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8,7 × 10</w:t>
            </w:r>
            <w:r w:rsidRPr="00A61195">
              <w:rPr>
                <w:color w:val="000000"/>
                <w:sz w:val="20"/>
                <w:szCs w:val="20"/>
                <w:vertAlign w:val="superscript"/>
              </w:rPr>
              <w:t>-4</w:t>
            </w:r>
          </w:p>
        </w:tc>
        <w:tc>
          <w:tcPr>
            <w:tcW w:w="392" w:type="pct"/>
          </w:tcPr>
          <w:p w14:paraId="080115B7"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0,23</w:t>
            </w:r>
          </w:p>
        </w:tc>
        <w:tc>
          <w:tcPr>
            <w:tcW w:w="389" w:type="pct"/>
          </w:tcPr>
          <w:p w14:paraId="2CAAC681"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0,023</w:t>
            </w:r>
          </w:p>
        </w:tc>
        <w:tc>
          <w:tcPr>
            <w:tcW w:w="349" w:type="pct"/>
          </w:tcPr>
          <w:p w14:paraId="2E8DFF1B"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18808A26"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16409765"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46FCAB06" w14:textId="77777777" w:rsidR="00647D0C" w:rsidRPr="00A61195" w:rsidRDefault="00647D0C" w:rsidP="009D20AB">
            <w:pPr>
              <w:spacing w:before="60" w:after="60" w:line="240" w:lineRule="auto"/>
              <w:ind w:left="-57" w:right="-57"/>
              <w:rPr>
                <w:rFonts w:eastAsia="Calibri"/>
                <w:color w:val="000000"/>
                <w:sz w:val="20"/>
                <w:szCs w:val="20"/>
              </w:rPr>
            </w:pPr>
          </w:p>
        </w:tc>
      </w:tr>
      <w:tr w:rsidR="00647D0C" w:rsidRPr="00A61195" w14:paraId="26474BA0" w14:textId="77777777" w:rsidTr="00647D0C">
        <w:tc>
          <w:tcPr>
            <w:tcW w:w="296" w:type="pct"/>
          </w:tcPr>
          <w:p w14:paraId="548F7B9A" w14:textId="3BE62C56" w:rsidR="00647D0C" w:rsidRPr="00A61195" w:rsidRDefault="00647D0C" w:rsidP="00647D0C">
            <w:pPr>
              <w:pageBreakBefore/>
              <w:spacing w:before="60" w:after="60" w:line="240" w:lineRule="auto"/>
              <w:ind w:left="-57" w:right="-57"/>
              <w:rPr>
                <w:rFonts w:eastAsia="Calibri"/>
                <w:sz w:val="20"/>
                <w:szCs w:val="20"/>
              </w:rPr>
            </w:pPr>
            <w:r w:rsidRPr="00A61195">
              <w:rPr>
                <w:sz w:val="20"/>
                <w:szCs w:val="20"/>
              </w:rPr>
              <w:lastRenderedPageBreak/>
              <w:t>64.</w:t>
            </w:r>
          </w:p>
        </w:tc>
        <w:tc>
          <w:tcPr>
            <w:tcW w:w="628" w:type="pct"/>
            <w:gridSpan w:val="3"/>
          </w:tcPr>
          <w:p w14:paraId="1F8598D1"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color w:val="000000"/>
                <w:sz w:val="20"/>
                <w:szCs w:val="20"/>
              </w:rPr>
              <w:t>Permetrin</w:t>
            </w:r>
            <w:proofErr w:type="spellEnd"/>
          </w:p>
        </w:tc>
        <w:tc>
          <w:tcPr>
            <w:tcW w:w="394" w:type="pct"/>
            <w:gridSpan w:val="2"/>
          </w:tcPr>
          <w:p w14:paraId="6344438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 xml:space="preserve">Pesticide – </w:t>
            </w:r>
            <w:proofErr w:type="spellStart"/>
            <w:r w:rsidRPr="00A61195">
              <w:rPr>
                <w:sz w:val="20"/>
                <w:szCs w:val="20"/>
              </w:rPr>
              <w:t>piretroide</w:t>
            </w:r>
            <w:proofErr w:type="spellEnd"/>
          </w:p>
        </w:tc>
        <w:tc>
          <w:tcPr>
            <w:tcW w:w="339" w:type="pct"/>
          </w:tcPr>
          <w:p w14:paraId="4CE01F7C"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52645-53-1</w:t>
            </w:r>
          </w:p>
        </w:tc>
        <w:tc>
          <w:tcPr>
            <w:tcW w:w="390" w:type="pct"/>
            <w:gridSpan w:val="2"/>
          </w:tcPr>
          <w:p w14:paraId="4D24B8C7"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258-067-9</w:t>
            </w:r>
          </w:p>
        </w:tc>
        <w:tc>
          <w:tcPr>
            <w:tcW w:w="387" w:type="pct"/>
          </w:tcPr>
          <w:p w14:paraId="14D1973E"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2,7× 10</w:t>
            </w:r>
            <w:r w:rsidRPr="00A61195">
              <w:rPr>
                <w:color w:val="000000"/>
                <w:sz w:val="20"/>
                <w:szCs w:val="20"/>
                <w:vertAlign w:val="superscript"/>
              </w:rPr>
              <w:t>-4</w:t>
            </w:r>
          </w:p>
        </w:tc>
        <w:tc>
          <w:tcPr>
            <w:tcW w:w="389" w:type="pct"/>
          </w:tcPr>
          <w:p w14:paraId="47A3DD0C"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2,7 × 10</w:t>
            </w:r>
            <w:r w:rsidRPr="00A61195">
              <w:rPr>
                <w:color w:val="000000"/>
                <w:sz w:val="20"/>
                <w:szCs w:val="20"/>
                <w:vertAlign w:val="superscript"/>
              </w:rPr>
              <w:t>-5</w:t>
            </w:r>
          </w:p>
        </w:tc>
        <w:tc>
          <w:tcPr>
            <w:tcW w:w="392" w:type="pct"/>
          </w:tcPr>
          <w:p w14:paraId="7463DFAF"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0,0025</w:t>
            </w:r>
          </w:p>
        </w:tc>
        <w:tc>
          <w:tcPr>
            <w:tcW w:w="389" w:type="pct"/>
          </w:tcPr>
          <w:p w14:paraId="368943F8"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2,5 × 10</w:t>
            </w:r>
            <w:r w:rsidRPr="00A61195">
              <w:rPr>
                <w:color w:val="000000"/>
                <w:sz w:val="20"/>
                <w:szCs w:val="20"/>
                <w:vertAlign w:val="superscript"/>
              </w:rPr>
              <w:t>-4</w:t>
            </w:r>
          </w:p>
        </w:tc>
        <w:tc>
          <w:tcPr>
            <w:tcW w:w="349" w:type="pct"/>
          </w:tcPr>
          <w:p w14:paraId="4B0163A0"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0F57C57F"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354060D8"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01D011CB" w14:textId="77777777" w:rsidR="00647D0C" w:rsidRPr="00A61195" w:rsidRDefault="00647D0C" w:rsidP="009D20AB">
            <w:pPr>
              <w:spacing w:before="60" w:after="60" w:line="240" w:lineRule="auto"/>
              <w:ind w:left="-57" w:right="-57"/>
              <w:rPr>
                <w:rFonts w:eastAsia="Calibri"/>
                <w:color w:val="000000"/>
                <w:sz w:val="20"/>
                <w:szCs w:val="20"/>
              </w:rPr>
            </w:pPr>
            <w:r w:rsidRPr="00A61195">
              <w:rPr>
                <w:sz w:val="20"/>
                <w:szCs w:val="20"/>
              </w:rPr>
              <w:t>X</w:t>
            </w:r>
          </w:p>
        </w:tc>
      </w:tr>
      <w:tr w:rsidR="00647D0C" w:rsidRPr="00A61195" w14:paraId="2FC7D3DB" w14:textId="77777777" w:rsidTr="00647D0C">
        <w:tc>
          <w:tcPr>
            <w:tcW w:w="296" w:type="pct"/>
          </w:tcPr>
          <w:p w14:paraId="182CF96B" w14:textId="0F0B4A8D" w:rsidR="00647D0C" w:rsidRPr="00A61195" w:rsidRDefault="00647D0C" w:rsidP="009D20AB">
            <w:pPr>
              <w:keepNext/>
              <w:spacing w:before="60" w:after="60" w:line="240" w:lineRule="auto"/>
              <w:ind w:left="-57" w:right="-57"/>
              <w:rPr>
                <w:rFonts w:eastAsia="Calibri"/>
                <w:sz w:val="20"/>
                <w:szCs w:val="20"/>
              </w:rPr>
            </w:pPr>
            <w:r w:rsidRPr="00A61195">
              <w:rPr>
                <w:sz w:val="20"/>
                <w:szCs w:val="20"/>
              </w:rPr>
              <w:t>65.</w:t>
            </w:r>
          </w:p>
        </w:tc>
        <w:tc>
          <w:tcPr>
            <w:tcW w:w="628" w:type="pct"/>
            <w:gridSpan w:val="3"/>
          </w:tcPr>
          <w:p w14:paraId="10694282" w14:textId="3F37ADC8" w:rsidR="00647D0C" w:rsidRPr="00A61195" w:rsidRDefault="00647D0C" w:rsidP="009D20AB">
            <w:pPr>
              <w:keepNext/>
              <w:spacing w:before="60" w:after="60" w:line="240" w:lineRule="auto"/>
              <w:ind w:left="-57" w:right="-57"/>
              <w:rPr>
                <w:rFonts w:eastAsia="Calibri"/>
                <w:sz w:val="20"/>
                <w:szCs w:val="20"/>
              </w:rPr>
            </w:pPr>
            <w:r w:rsidRPr="00A61195">
              <w:rPr>
                <w:color w:val="000000"/>
                <w:sz w:val="20"/>
                <w:szCs w:val="20"/>
              </w:rPr>
              <w:t xml:space="preserve">Substanțe </w:t>
            </w:r>
            <w:proofErr w:type="spellStart"/>
            <w:r w:rsidRPr="00A61195">
              <w:rPr>
                <w:color w:val="000000"/>
                <w:sz w:val="20"/>
                <w:szCs w:val="20"/>
              </w:rPr>
              <w:t>perfluoroalchilate</w:t>
            </w:r>
            <w:proofErr w:type="spellEnd"/>
            <w:r w:rsidRPr="00A61195">
              <w:rPr>
                <w:color w:val="000000"/>
                <w:sz w:val="20"/>
                <w:szCs w:val="20"/>
              </w:rPr>
              <w:t xml:space="preserve"> și </w:t>
            </w:r>
            <w:proofErr w:type="spellStart"/>
            <w:r w:rsidRPr="00A61195">
              <w:rPr>
                <w:color w:val="000000"/>
                <w:sz w:val="20"/>
                <w:szCs w:val="20"/>
              </w:rPr>
              <w:t>polifluoroalchilate</w:t>
            </w:r>
            <w:proofErr w:type="spellEnd"/>
            <w:r w:rsidRPr="00A61195">
              <w:rPr>
                <w:color w:val="000000"/>
                <w:sz w:val="20"/>
                <w:szCs w:val="20"/>
              </w:rPr>
              <w:t xml:space="preserve"> (PFAS) – suma a 25 de PFAS (</w:t>
            </w:r>
            <w:r w:rsidRPr="00D3772B">
              <w:rPr>
                <w:b/>
                <w:bCs/>
                <w:color w:val="000000"/>
                <w:sz w:val="20"/>
                <w:szCs w:val="20"/>
                <w:vertAlign w:val="superscript"/>
              </w:rPr>
              <w:t>27</w:t>
            </w:r>
            <w:r w:rsidRPr="00A61195">
              <w:rPr>
                <w:color w:val="000000"/>
                <w:sz w:val="20"/>
                <w:szCs w:val="20"/>
              </w:rPr>
              <w:t>) (</w:t>
            </w:r>
            <w:r w:rsidRPr="00D3772B">
              <w:rPr>
                <w:b/>
                <w:bCs/>
                <w:color w:val="000000"/>
                <w:sz w:val="20"/>
                <w:szCs w:val="20"/>
                <w:vertAlign w:val="superscript"/>
              </w:rPr>
              <w:t>30</w:t>
            </w:r>
            <w:r w:rsidRPr="00A61195">
              <w:rPr>
                <w:color w:val="000000"/>
                <w:sz w:val="20"/>
                <w:szCs w:val="20"/>
              </w:rPr>
              <w:t>)</w:t>
            </w:r>
          </w:p>
        </w:tc>
        <w:tc>
          <w:tcPr>
            <w:tcW w:w="394" w:type="pct"/>
            <w:gridSpan w:val="2"/>
          </w:tcPr>
          <w:p w14:paraId="31293764" w14:textId="77777777" w:rsidR="00647D0C" w:rsidRPr="00A61195" w:rsidRDefault="00647D0C" w:rsidP="009D20AB">
            <w:pPr>
              <w:keepNext/>
              <w:spacing w:before="60" w:after="60" w:line="240" w:lineRule="auto"/>
              <w:ind w:left="-57" w:right="-57"/>
              <w:rPr>
                <w:rFonts w:eastAsia="Calibri"/>
                <w:sz w:val="20"/>
                <w:szCs w:val="20"/>
              </w:rPr>
            </w:pPr>
            <w:r w:rsidRPr="00A61195">
              <w:rPr>
                <w:color w:val="000000"/>
                <w:sz w:val="20"/>
                <w:szCs w:val="20"/>
              </w:rPr>
              <w:t>Substanțe industriale</w:t>
            </w:r>
          </w:p>
        </w:tc>
        <w:tc>
          <w:tcPr>
            <w:tcW w:w="339" w:type="pct"/>
          </w:tcPr>
          <w:p w14:paraId="153EB9B8"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Nu se aplică</w:t>
            </w:r>
          </w:p>
        </w:tc>
        <w:tc>
          <w:tcPr>
            <w:tcW w:w="390" w:type="pct"/>
            <w:gridSpan w:val="2"/>
          </w:tcPr>
          <w:p w14:paraId="226778C6"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Nu se aplică</w:t>
            </w:r>
          </w:p>
        </w:tc>
        <w:tc>
          <w:tcPr>
            <w:tcW w:w="387" w:type="pct"/>
          </w:tcPr>
          <w:p w14:paraId="76910EDB" w14:textId="77777777" w:rsidR="00647D0C" w:rsidRPr="00A61195" w:rsidRDefault="00647D0C" w:rsidP="009D20AB">
            <w:pPr>
              <w:keepNext/>
              <w:spacing w:before="60" w:after="60" w:line="240" w:lineRule="auto"/>
              <w:ind w:left="-57" w:right="-57"/>
              <w:rPr>
                <w:rFonts w:eastAsia="Calibri"/>
                <w:sz w:val="20"/>
                <w:szCs w:val="20"/>
              </w:rPr>
            </w:pPr>
            <w:r w:rsidRPr="00A61195">
              <w:rPr>
                <w:color w:val="000000"/>
                <w:sz w:val="20"/>
                <w:szCs w:val="20"/>
              </w:rPr>
              <w:t>Suma echivalenților de PFOA 0,0044 (</w:t>
            </w:r>
            <w:r w:rsidRPr="00D3772B">
              <w:rPr>
                <w:b/>
                <w:bCs/>
                <w:color w:val="000000"/>
                <w:sz w:val="20"/>
                <w:szCs w:val="20"/>
                <w:vertAlign w:val="superscript"/>
              </w:rPr>
              <w:t>28</w:t>
            </w:r>
            <w:r w:rsidRPr="00A61195">
              <w:rPr>
                <w:color w:val="000000"/>
                <w:sz w:val="20"/>
                <w:szCs w:val="20"/>
              </w:rPr>
              <w:t>)</w:t>
            </w:r>
          </w:p>
        </w:tc>
        <w:tc>
          <w:tcPr>
            <w:tcW w:w="389" w:type="pct"/>
          </w:tcPr>
          <w:p w14:paraId="35F3D9FA" w14:textId="77777777" w:rsidR="00647D0C" w:rsidRPr="00A61195" w:rsidRDefault="00647D0C" w:rsidP="009D20AB">
            <w:pPr>
              <w:keepNext/>
              <w:spacing w:before="60" w:after="60" w:line="240" w:lineRule="auto"/>
              <w:ind w:left="-57" w:right="-57"/>
              <w:rPr>
                <w:rFonts w:eastAsia="Calibri"/>
                <w:sz w:val="20"/>
                <w:szCs w:val="20"/>
              </w:rPr>
            </w:pPr>
            <w:r w:rsidRPr="00A61195">
              <w:rPr>
                <w:color w:val="000000"/>
                <w:sz w:val="20"/>
                <w:szCs w:val="20"/>
              </w:rPr>
              <w:t>Suma echivalenților de PFOA 0,0044 (</w:t>
            </w:r>
            <w:r w:rsidRPr="00D3772B">
              <w:rPr>
                <w:b/>
                <w:bCs/>
                <w:color w:val="000000"/>
                <w:sz w:val="20"/>
                <w:szCs w:val="20"/>
                <w:vertAlign w:val="superscript"/>
              </w:rPr>
              <w:t>28</w:t>
            </w:r>
            <w:r w:rsidRPr="00A61195">
              <w:rPr>
                <w:color w:val="000000"/>
                <w:sz w:val="20"/>
                <w:szCs w:val="20"/>
              </w:rPr>
              <w:t>)</w:t>
            </w:r>
          </w:p>
        </w:tc>
        <w:tc>
          <w:tcPr>
            <w:tcW w:w="392" w:type="pct"/>
          </w:tcPr>
          <w:p w14:paraId="66FE0D61"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Nu se aplică</w:t>
            </w:r>
          </w:p>
        </w:tc>
        <w:tc>
          <w:tcPr>
            <w:tcW w:w="389" w:type="pct"/>
          </w:tcPr>
          <w:p w14:paraId="3B543FF8" w14:textId="77777777" w:rsidR="00647D0C" w:rsidRPr="00A61195" w:rsidRDefault="00647D0C" w:rsidP="009D20AB">
            <w:pPr>
              <w:keepNext/>
              <w:spacing w:before="60" w:after="60" w:line="240" w:lineRule="auto"/>
              <w:ind w:left="-57" w:right="-57"/>
              <w:rPr>
                <w:rFonts w:eastAsia="Calibri"/>
                <w:sz w:val="20"/>
                <w:szCs w:val="20"/>
              </w:rPr>
            </w:pPr>
            <w:r w:rsidRPr="00A61195">
              <w:rPr>
                <w:sz w:val="20"/>
                <w:szCs w:val="20"/>
              </w:rPr>
              <w:t>Nu se aplică</w:t>
            </w:r>
          </w:p>
        </w:tc>
        <w:tc>
          <w:tcPr>
            <w:tcW w:w="349" w:type="pct"/>
          </w:tcPr>
          <w:p w14:paraId="2A26DEFE" w14:textId="77777777" w:rsidR="00647D0C" w:rsidRPr="00A61195" w:rsidRDefault="00647D0C" w:rsidP="009D20AB">
            <w:pPr>
              <w:keepNext/>
              <w:spacing w:before="60" w:after="60" w:line="240" w:lineRule="auto"/>
              <w:ind w:left="-57" w:right="-57"/>
              <w:rPr>
                <w:rFonts w:eastAsia="Calibri"/>
                <w:sz w:val="20"/>
                <w:szCs w:val="20"/>
              </w:rPr>
            </w:pPr>
            <w:r w:rsidRPr="00A61195">
              <w:rPr>
                <w:color w:val="000000"/>
                <w:sz w:val="20"/>
                <w:szCs w:val="20"/>
              </w:rPr>
              <w:t>Suma echivalenților de PFOA 0,077 (</w:t>
            </w:r>
            <w:r w:rsidRPr="00D3772B">
              <w:rPr>
                <w:b/>
                <w:bCs/>
                <w:color w:val="000000"/>
                <w:sz w:val="20"/>
                <w:szCs w:val="20"/>
                <w:vertAlign w:val="superscript"/>
              </w:rPr>
              <w:t>28</w:t>
            </w:r>
            <w:r w:rsidRPr="00A61195">
              <w:rPr>
                <w:color w:val="000000"/>
                <w:sz w:val="20"/>
                <w:szCs w:val="20"/>
              </w:rPr>
              <w:t>)</w:t>
            </w:r>
          </w:p>
        </w:tc>
        <w:tc>
          <w:tcPr>
            <w:tcW w:w="393" w:type="pct"/>
          </w:tcPr>
          <w:p w14:paraId="30457E35" w14:textId="77777777" w:rsidR="00647D0C" w:rsidRPr="00A61195" w:rsidRDefault="00647D0C" w:rsidP="009D20AB">
            <w:pPr>
              <w:keepNext/>
              <w:spacing w:before="60" w:after="60" w:line="240" w:lineRule="auto"/>
              <w:ind w:left="-57" w:right="-57"/>
              <w:rPr>
                <w:rFonts w:eastAsia="Calibri"/>
                <w:color w:val="000000"/>
                <w:sz w:val="20"/>
                <w:szCs w:val="20"/>
              </w:rPr>
            </w:pPr>
            <w:r w:rsidRPr="00A61195">
              <w:rPr>
                <w:color w:val="000000"/>
                <w:sz w:val="20"/>
                <w:szCs w:val="20"/>
              </w:rPr>
              <w:t>X</w:t>
            </w:r>
          </w:p>
        </w:tc>
        <w:tc>
          <w:tcPr>
            <w:tcW w:w="360" w:type="pct"/>
            <w:gridSpan w:val="2"/>
          </w:tcPr>
          <w:p w14:paraId="7507791D" w14:textId="77777777" w:rsidR="00647D0C" w:rsidRPr="00A61195" w:rsidRDefault="00647D0C" w:rsidP="009D20AB">
            <w:pPr>
              <w:keepNext/>
              <w:spacing w:before="60" w:after="60" w:line="240" w:lineRule="auto"/>
              <w:ind w:left="-57" w:right="-57"/>
              <w:rPr>
                <w:rFonts w:eastAsia="Calibri"/>
                <w:color w:val="000000"/>
                <w:sz w:val="20"/>
                <w:szCs w:val="20"/>
              </w:rPr>
            </w:pPr>
            <w:r w:rsidRPr="00A61195">
              <w:rPr>
                <w:color w:val="000000"/>
                <w:sz w:val="20"/>
                <w:szCs w:val="20"/>
              </w:rPr>
              <w:t>X</w:t>
            </w:r>
          </w:p>
        </w:tc>
        <w:tc>
          <w:tcPr>
            <w:tcW w:w="296" w:type="pct"/>
          </w:tcPr>
          <w:p w14:paraId="3ABE40C7" w14:textId="77777777" w:rsidR="00647D0C" w:rsidRPr="00A61195" w:rsidRDefault="00647D0C" w:rsidP="009D20AB">
            <w:pPr>
              <w:keepNext/>
              <w:spacing w:before="60" w:after="60" w:line="240" w:lineRule="auto"/>
              <w:ind w:left="-57" w:right="-57"/>
              <w:rPr>
                <w:rFonts w:eastAsia="Calibri"/>
                <w:color w:val="000000"/>
                <w:sz w:val="20"/>
                <w:szCs w:val="20"/>
              </w:rPr>
            </w:pPr>
            <w:r w:rsidRPr="00A61195">
              <w:rPr>
                <w:color w:val="000000"/>
                <w:sz w:val="20"/>
                <w:szCs w:val="20"/>
              </w:rPr>
              <w:t>X</w:t>
            </w:r>
          </w:p>
        </w:tc>
      </w:tr>
      <w:tr w:rsidR="00647D0C" w:rsidRPr="00A61195" w14:paraId="42AABFBF" w14:textId="77777777" w:rsidTr="00647D0C">
        <w:tc>
          <w:tcPr>
            <w:tcW w:w="296" w:type="pct"/>
          </w:tcPr>
          <w:p w14:paraId="20174FED" w14:textId="2646ED6E" w:rsidR="00647D0C" w:rsidRPr="00A61195" w:rsidRDefault="00647D0C" w:rsidP="009D20AB">
            <w:pPr>
              <w:spacing w:before="60" w:after="60" w:line="240" w:lineRule="auto"/>
              <w:ind w:left="-57" w:right="-57"/>
              <w:rPr>
                <w:rFonts w:eastAsia="Calibri"/>
                <w:sz w:val="20"/>
                <w:szCs w:val="20"/>
              </w:rPr>
            </w:pPr>
            <w:r w:rsidRPr="00A61195">
              <w:rPr>
                <w:sz w:val="20"/>
                <w:szCs w:val="20"/>
              </w:rPr>
              <w:t>66.</w:t>
            </w:r>
          </w:p>
        </w:tc>
        <w:tc>
          <w:tcPr>
            <w:tcW w:w="628" w:type="pct"/>
            <w:gridSpan w:val="3"/>
          </w:tcPr>
          <w:p w14:paraId="396208FF" w14:textId="77777777" w:rsidR="00647D0C" w:rsidRPr="00A61195" w:rsidRDefault="00647D0C" w:rsidP="009D20AB">
            <w:pPr>
              <w:spacing w:before="60" w:after="60" w:line="240" w:lineRule="auto"/>
              <w:ind w:left="-57" w:right="-57"/>
              <w:rPr>
                <w:rFonts w:eastAsia="Calibri"/>
                <w:color w:val="000000"/>
                <w:sz w:val="20"/>
                <w:szCs w:val="20"/>
              </w:rPr>
            </w:pPr>
            <w:r w:rsidRPr="00A61195">
              <w:rPr>
                <w:color w:val="000000"/>
                <w:sz w:val="20"/>
                <w:szCs w:val="20"/>
              </w:rPr>
              <w:t>Argint</w:t>
            </w:r>
          </w:p>
        </w:tc>
        <w:tc>
          <w:tcPr>
            <w:tcW w:w="394" w:type="pct"/>
            <w:gridSpan w:val="2"/>
          </w:tcPr>
          <w:p w14:paraId="00FFE692" w14:textId="77777777" w:rsidR="00647D0C" w:rsidRPr="00A61195" w:rsidRDefault="00647D0C" w:rsidP="009D20AB">
            <w:pPr>
              <w:spacing w:before="60" w:after="60" w:line="240" w:lineRule="auto"/>
              <w:ind w:left="-57" w:right="-57"/>
              <w:rPr>
                <w:rFonts w:eastAsia="Calibri"/>
                <w:color w:val="000000"/>
                <w:sz w:val="20"/>
                <w:szCs w:val="20"/>
              </w:rPr>
            </w:pPr>
            <w:r w:rsidRPr="00A61195">
              <w:rPr>
                <w:sz w:val="20"/>
                <w:szCs w:val="20"/>
              </w:rPr>
              <w:t>Metale</w:t>
            </w:r>
          </w:p>
        </w:tc>
        <w:tc>
          <w:tcPr>
            <w:tcW w:w="339" w:type="pct"/>
          </w:tcPr>
          <w:p w14:paraId="743D30E6" w14:textId="77777777" w:rsidR="00647D0C" w:rsidRPr="00A61195" w:rsidRDefault="00647D0C" w:rsidP="009D20AB">
            <w:pPr>
              <w:spacing w:before="60" w:after="60" w:line="240" w:lineRule="auto"/>
              <w:ind w:left="-57" w:right="-57"/>
              <w:rPr>
                <w:rFonts w:eastAsia="Calibri"/>
                <w:color w:val="000000"/>
                <w:sz w:val="20"/>
                <w:szCs w:val="20"/>
              </w:rPr>
            </w:pPr>
            <w:r w:rsidRPr="00A61195">
              <w:rPr>
                <w:color w:val="000000"/>
                <w:sz w:val="20"/>
                <w:szCs w:val="20"/>
              </w:rPr>
              <w:t>7440-22-4</w:t>
            </w:r>
          </w:p>
        </w:tc>
        <w:tc>
          <w:tcPr>
            <w:tcW w:w="390" w:type="pct"/>
            <w:gridSpan w:val="2"/>
          </w:tcPr>
          <w:p w14:paraId="6A89DACB"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231-131-3</w:t>
            </w:r>
          </w:p>
        </w:tc>
        <w:tc>
          <w:tcPr>
            <w:tcW w:w="387" w:type="pct"/>
          </w:tcPr>
          <w:p w14:paraId="459B9110" w14:textId="77777777" w:rsidR="00647D0C" w:rsidRPr="00A61195" w:rsidRDefault="00647D0C" w:rsidP="009D20AB">
            <w:pPr>
              <w:spacing w:before="60" w:after="60" w:line="240" w:lineRule="auto"/>
              <w:ind w:left="-57" w:right="-57"/>
              <w:rPr>
                <w:rFonts w:eastAsia="Calibri"/>
                <w:color w:val="000000"/>
                <w:sz w:val="20"/>
                <w:szCs w:val="20"/>
              </w:rPr>
            </w:pPr>
            <w:r w:rsidRPr="00A61195">
              <w:rPr>
                <w:color w:val="000000"/>
                <w:sz w:val="20"/>
                <w:szCs w:val="20"/>
              </w:rPr>
              <w:t>0,01</w:t>
            </w:r>
          </w:p>
        </w:tc>
        <w:tc>
          <w:tcPr>
            <w:tcW w:w="389" w:type="pct"/>
          </w:tcPr>
          <w:p w14:paraId="7C18DB31" w14:textId="77777777" w:rsidR="00647D0C" w:rsidRPr="00A61195" w:rsidRDefault="00647D0C" w:rsidP="009D20AB">
            <w:pPr>
              <w:spacing w:before="60" w:after="60" w:line="240" w:lineRule="auto"/>
              <w:ind w:left="-57" w:right="-57"/>
              <w:rPr>
                <w:rFonts w:eastAsia="Calibri"/>
                <w:color w:val="000000"/>
                <w:sz w:val="20"/>
                <w:szCs w:val="20"/>
              </w:rPr>
            </w:pPr>
            <w:r w:rsidRPr="00A61195">
              <w:rPr>
                <w:color w:val="000000"/>
                <w:sz w:val="20"/>
                <w:szCs w:val="20"/>
              </w:rPr>
              <w:t>0,006 (salinitate 10‰)</w:t>
            </w:r>
            <w:r w:rsidRPr="00A61195">
              <w:rPr>
                <w:color w:val="000000"/>
                <w:sz w:val="20"/>
                <w:szCs w:val="20"/>
              </w:rPr>
              <w:cr/>
            </w:r>
            <w:r w:rsidRPr="00A61195">
              <w:rPr>
                <w:color w:val="000000"/>
                <w:sz w:val="20"/>
                <w:szCs w:val="20"/>
              </w:rPr>
              <w:br/>
              <w:t>0,17 (salinitate 30‰)</w:t>
            </w:r>
          </w:p>
        </w:tc>
        <w:tc>
          <w:tcPr>
            <w:tcW w:w="392" w:type="pct"/>
          </w:tcPr>
          <w:p w14:paraId="609DD279" w14:textId="77777777" w:rsidR="00647D0C" w:rsidRPr="00A61195" w:rsidRDefault="00647D0C" w:rsidP="009D20AB">
            <w:pPr>
              <w:spacing w:before="60" w:after="60" w:line="240" w:lineRule="auto"/>
              <w:ind w:left="-57" w:right="-57"/>
              <w:rPr>
                <w:rFonts w:eastAsia="Calibri"/>
                <w:color w:val="000000"/>
                <w:sz w:val="20"/>
                <w:szCs w:val="20"/>
              </w:rPr>
            </w:pPr>
            <w:r w:rsidRPr="00A61195">
              <w:rPr>
                <w:color w:val="000000"/>
                <w:sz w:val="20"/>
                <w:szCs w:val="20"/>
              </w:rPr>
              <w:t>0,022</w:t>
            </w:r>
          </w:p>
        </w:tc>
        <w:tc>
          <w:tcPr>
            <w:tcW w:w="389" w:type="pct"/>
          </w:tcPr>
          <w:p w14:paraId="21A0468C" w14:textId="66D6E13B" w:rsidR="00647D0C" w:rsidRPr="00A61195" w:rsidRDefault="00647D0C" w:rsidP="009D20AB">
            <w:pPr>
              <w:spacing w:before="60" w:after="60" w:line="240" w:lineRule="auto"/>
              <w:ind w:left="-57" w:right="-57"/>
              <w:rPr>
                <w:rFonts w:eastAsia="Calibri"/>
                <w:color w:val="000000"/>
                <w:sz w:val="20"/>
                <w:szCs w:val="20"/>
              </w:rPr>
            </w:pPr>
            <w:r w:rsidRPr="00A61195">
              <w:rPr>
                <w:color w:val="000000"/>
                <w:sz w:val="20"/>
                <w:szCs w:val="20"/>
              </w:rPr>
              <w:t>nederivat</w:t>
            </w:r>
          </w:p>
        </w:tc>
        <w:tc>
          <w:tcPr>
            <w:tcW w:w="349" w:type="pct"/>
          </w:tcPr>
          <w:p w14:paraId="1CBF337E" w14:textId="77777777" w:rsidR="00647D0C" w:rsidRPr="00A61195" w:rsidDel="00974569" w:rsidRDefault="00647D0C" w:rsidP="009D20AB">
            <w:pPr>
              <w:spacing w:before="60" w:after="60" w:line="240" w:lineRule="auto"/>
              <w:ind w:left="-57" w:right="-57"/>
              <w:rPr>
                <w:rFonts w:eastAsia="Calibri"/>
                <w:color w:val="000000"/>
                <w:sz w:val="20"/>
                <w:szCs w:val="20"/>
              </w:rPr>
            </w:pPr>
          </w:p>
        </w:tc>
        <w:tc>
          <w:tcPr>
            <w:tcW w:w="393" w:type="pct"/>
          </w:tcPr>
          <w:p w14:paraId="6E2718F3"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6CF51A9C"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120AC816" w14:textId="77777777" w:rsidR="00647D0C" w:rsidRPr="00A61195" w:rsidRDefault="00647D0C" w:rsidP="009D20AB">
            <w:pPr>
              <w:spacing w:before="60" w:after="60" w:line="240" w:lineRule="auto"/>
              <w:ind w:left="-57" w:right="-57"/>
              <w:rPr>
                <w:rFonts w:eastAsia="Calibri"/>
                <w:color w:val="000000"/>
                <w:sz w:val="20"/>
                <w:szCs w:val="20"/>
              </w:rPr>
            </w:pPr>
          </w:p>
        </w:tc>
      </w:tr>
      <w:tr w:rsidR="00647D0C" w:rsidRPr="00A61195" w14:paraId="6FA4B8EE" w14:textId="77777777" w:rsidTr="00647D0C">
        <w:tc>
          <w:tcPr>
            <w:tcW w:w="296" w:type="pct"/>
          </w:tcPr>
          <w:p w14:paraId="2B8ACE5E" w14:textId="473C72DA"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67.</w:t>
            </w:r>
          </w:p>
        </w:tc>
        <w:tc>
          <w:tcPr>
            <w:tcW w:w="628" w:type="pct"/>
            <w:gridSpan w:val="3"/>
          </w:tcPr>
          <w:p w14:paraId="071BA6AC"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color w:val="000000"/>
                <w:sz w:val="20"/>
                <w:szCs w:val="20"/>
              </w:rPr>
              <w:t>Tiacloprid</w:t>
            </w:r>
            <w:proofErr w:type="spellEnd"/>
          </w:p>
        </w:tc>
        <w:tc>
          <w:tcPr>
            <w:tcW w:w="394" w:type="pct"/>
            <w:gridSpan w:val="2"/>
          </w:tcPr>
          <w:p w14:paraId="4AD5C2A4"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 xml:space="preserve">Pesticide – </w:t>
            </w:r>
            <w:proofErr w:type="spellStart"/>
            <w:r w:rsidRPr="00A61195">
              <w:rPr>
                <w:color w:val="000000"/>
                <w:sz w:val="20"/>
                <w:szCs w:val="20"/>
              </w:rPr>
              <w:t>neonicotinoide</w:t>
            </w:r>
            <w:proofErr w:type="spellEnd"/>
          </w:p>
        </w:tc>
        <w:tc>
          <w:tcPr>
            <w:tcW w:w="339" w:type="pct"/>
          </w:tcPr>
          <w:p w14:paraId="0598E33A"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111988-49-9</w:t>
            </w:r>
          </w:p>
        </w:tc>
        <w:tc>
          <w:tcPr>
            <w:tcW w:w="390" w:type="pct"/>
            <w:gridSpan w:val="2"/>
          </w:tcPr>
          <w:p w14:paraId="5551CCC9"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601-147-9</w:t>
            </w:r>
          </w:p>
        </w:tc>
        <w:tc>
          <w:tcPr>
            <w:tcW w:w="387" w:type="pct"/>
          </w:tcPr>
          <w:p w14:paraId="3E2A1502"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0,01</w:t>
            </w:r>
          </w:p>
        </w:tc>
        <w:tc>
          <w:tcPr>
            <w:tcW w:w="389" w:type="pct"/>
          </w:tcPr>
          <w:p w14:paraId="6F74CD55"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0,001</w:t>
            </w:r>
          </w:p>
        </w:tc>
        <w:tc>
          <w:tcPr>
            <w:tcW w:w="392" w:type="pct"/>
          </w:tcPr>
          <w:p w14:paraId="6EF62D63"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0,05</w:t>
            </w:r>
          </w:p>
        </w:tc>
        <w:tc>
          <w:tcPr>
            <w:tcW w:w="389" w:type="pct"/>
          </w:tcPr>
          <w:p w14:paraId="75382460"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0,005</w:t>
            </w:r>
          </w:p>
        </w:tc>
        <w:tc>
          <w:tcPr>
            <w:tcW w:w="349" w:type="pct"/>
          </w:tcPr>
          <w:p w14:paraId="05D868FF"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5A40A453"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7CECEC00"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2826B2C3" w14:textId="77777777" w:rsidR="00647D0C" w:rsidRPr="00A61195" w:rsidRDefault="00647D0C" w:rsidP="009D20AB">
            <w:pPr>
              <w:spacing w:before="60" w:after="60" w:line="240" w:lineRule="auto"/>
              <w:ind w:left="-57" w:right="-57"/>
              <w:rPr>
                <w:rFonts w:eastAsia="Calibri"/>
                <w:color w:val="000000"/>
                <w:sz w:val="20"/>
                <w:szCs w:val="20"/>
              </w:rPr>
            </w:pPr>
          </w:p>
        </w:tc>
      </w:tr>
      <w:tr w:rsidR="00647D0C" w:rsidRPr="00A61195" w14:paraId="00476C30" w14:textId="77777777" w:rsidTr="00647D0C">
        <w:tc>
          <w:tcPr>
            <w:tcW w:w="296" w:type="pct"/>
          </w:tcPr>
          <w:p w14:paraId="1D57775A" w14:textId="5B1A053D" w:rsidR="00647D0C" w:rsidRPr="00A61195" w:rsidRDefault="00647D0C" w:rsidP="009D20AB">
            <w:pPr>
              <w:spacing w:before="60" w:after="60" w:line="240" w:lineRule="auto"/>
              <w:ind w:left="-57" w:right="-57"/>
              <w:rPr>
                <w:rFonts w:eastAsia="Calibri"/>
                <w:sz w:val="20"/>
                <w:szCs w:val="20"/>
              </w:rPr>
            </w:pPr>
            <w:r w:rsidRPr="00A61195">
              <w:rPr>
                <w:sz w:val="20"/>
                <w:szCs w:val="20"/>
              </w:rPr>
              <w:t>68.</w:t>
            </w:r>
          </w:p>
        </w:tc>
        <w:tc>
          <w:tcPr>
            <w:tcW w:w="628" w:type="pct"/>
            <w:gridSpan w:val="3"/>
          </w:tcPr>
          <w:p w14:paraId="3F8A78F5"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color w:val="000000"/>
                <w:sz w:val="20"/>
                <w:szCs w:val="20"/>
              </w:rPr>
              <w:t>Tiametoxam</w:t>
            </w:r>
            <w:proofErr w:type="spellEnd"/>
          </w:p>
        </w:tc>
        <w:tc>
          <w:tcPr>
            <w:tcW w:w="394" w:type="pct"/>
            <w:gridSpan w:val="2"/>
          </w:tcPr>
          <w:p w14:paraId="3E4F30DC"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 xml:space="preserve">Pesticide – </w:t>
            </w:r>
            <w:proofErr w:type="spellStart"/>
            <w:r w:rsidRPr="00A61195">
              <w:rPr>
                <w:color w:val="000000"/>
                <w:sz w:val="20"/>
                <w:szCs w:val="20"/>
              </w:rPr>
              <w:t>neonicotinoide</w:t>
            </w:r>
            <w:proofErr w:type="spellEnd"/>
          </w:p>
        </w:tc>
        <w:tc>
          <w:tcPr>
            <w:tcW w:w="339" w:type="pct"/>
          </w:tcPr>
          <w:p w14:paraId="7F124A4D"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153719-23-4</w:t>
            </w:r>
          </w:p>
        </w:tc>
        <w:tc>
          <w:tcPr>
            <w:tcW w:w="390" w:type="pct"/>
            <w:gridSpan w:val="2"/>
          </w:tcPr>
          <w:p w14:paraId="7BB958C4"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428-650-4</w:t>
            </w:r>
          </w:p>
        </w:tc>
        <w:tc>
          <w:tcPr>
            <w:tcW w:w="387" w:type="pct"/>
          </w:tcPr>
          <w:p w14:paraId="108F4D85"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0,04</w:t>
            </w:r>
          </w:p>
        </w:tc>
        <w:tc>
          <w:tcPr>
            <w:tcW w:w="389" w:type="pct"/>
          </w:tcPr>
          <w:p w14:paraId="649D9399"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0,004</w:t>
            </w:r>
          </w:p>
        </w:tc>
        <w:tc>
          <w:tcPr>
            <w:tcW w:w="392" w:type="pct"/>
          </w:tcPr>
          <w:p w14:paraId="0C343BD6"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0,77</w:t>
            </w:r>
          </w:p>
        </w:tc>
        <w:tc>
          <w:tcPr>
            <w:tcW w:w="389" w:type="pct"/>
          </w:tcPr>
          <w:p w14:paraId="4AE83FC2"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0,077</w:t>
            </w:r>
          </w:p>
        </w:tc>
        <w:tc>
          <w:tcPr>
            <w:tcW w:w="349" w:type="pct"/>
          </w:tcPr>
          <w:p w14:paraId="4AE2C619"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78D69800"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5B923FEB"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14AB0765" w14:textId="77777777" w:rsidR="00647D0C" w:rsidRPr="00A61195" w:rsidRDefault="00647D0C" w:rsidP="009D20AB">
            <w:pPr>
              <w:spacing w:before="60" w:after="60" w:line="240" w:lineRule="auto"/>
              <w:ind w:left="-57" w:right="-57"/>
              <w:rPr>
                <w:rFonts w:eastAsia="Calibri"/>
                <w:color w:val="000000"/>
                <w:sz w:val="20"/>
                <w:szCs w:val="20"/>
              </w:rPr>
            </w:pPr>
          </w:p>
        </w:tc>
      </w:tr>
      <w:tr w:rsidR="00647D0C" w:rsidRPr="00A61195" w14:paraId="728BDE2E" w14:textId="77777777" w:rsidTr="00647D0C">
        <w:tc>
          <w:tcPr>
            <w:tcW w:w="296" w:type="pct"/>
          </w:tcPr>
          <w:p w14:paraId="4F0E0D48" w14:textId="3094A560" w:rsidR="00647D0C" w:rsidRPr="00A61195" w:rsidRDefault="00647D0C" w:rsidP="009D20AB">
            <w:pPr>
              <w:pageBreakBefore/>
              <w:spacing w:before="60" w:after="60" w:line="240" w:lineRule="auto"/>
              <w:ind w:left="-57" w:right="-57"/>
              <w:rPr>
                <w:rFonts w:eastAsia="Calibri"/>
                <w:sz w:val="20"/>
                <w:szCs w:val="20"/>
              </w:rPr>
            </w:pPr>
            <w:r w:rsidRPr="00A61195">
              <w:rPr>
                <w:sz w:val="20"/>
                <w:szCs w:val="20"/>
              </w:rPr>
              <w:lastRenderedPageBreak/>
              <w:t>69.</w:t>
            </w:r>
          </w:p>
        </w:tc>
        <w:tc>
          <w:tcPr>
            <w:tcW w:w="628" w:type="pct"/>
            <w:gridSpan w:val="3"/>
          </w:tcPr>
          <w:p w14:paraId="69206490" w14:textId="77777777" w:rsidR="00647D0C" w:rsidRPr="00A61195" w:rsidRDefault="00647D0C" w:rsidP="009D20AB">
            <w:pPr>
              <w:spacing w:before="60" w:after="60" w:line="240" w:lineRule="auto"/>
              <w:ind w:left="-57" w:right="-57"/>
              <w:rPr>
                <w:rFonts w:eastAsia="Calibri"/>
                <w:sz w:val="20"/>
                <w:szCs w:val="20"/>
              </w:rPr>
            </w:pPr>
            <w:proofErr w:type="spellStart"/>
            <w:r w:rsidRPr="00A61195">
              <w:rPr>
                <w:color w:val="000000"/>
                <w:sz w:val="20"/>
                <w:szCs w:val="20"/>
              </w:rPr>
              <w:t>Triclosan</w:t>
            </w:r>
            <w:proofErr w:type="spellEnd"/>
          </w:p>
        </w:tc>
        <w:tc>
          <w:tcPr>
            <w:tcW w:w="394" w:type="pct"/>
            <w:gridSpan w:val="2"/>
          </w:tcPr>
          <w:p w14:paraId="1ABED5A3"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 xml:space="preserve">Pesticide – </w:t>
            </w:r>
            <w:proofErr w:type="spellStart"/>
            <w:r w:rsidRPr="00A61195">
              <w:rPr>
                <w:color w:val="000000"/>
                <w:sz w:val="20"/>
                <w:szCs w:val="20"/>
              </w:rPr>
              <w:t>biocide</w:t>
            </w:r>
            <w:proofErr w:type="spellEnd"/>
          </w:p>
        </w:tc>
        <w:tc>
          <w:tcPr>
            <w:tcW w:w="339" w:type="pct"/>
          </w:tcPr>
          <w:p w14:paraId="26168238"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3380-34-5</w:t>
            </w:r>
          </w:p>
        </w:tc>
        <w:tc>
          <w:tcPr>
            <w:tcW w:w="390" w:type="pct"/>
            <w:gridSpan w:val="2"/>
          </w:tcPr>
          <w:p w14:paraId="488E5411"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222-182-2</w:t>
            </w:r>
          </w:p>
        </w:tc>
        <w:tc>
          <w:tcPr>
            <w:tcW w:w="387" w:type="pct"/>
          </w:tcPr>
          <w:p w14:paraId="173BF315"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0,02</w:t>
            </w:r>
          </w:p>
        </w:tc>
        <w:tc>
          <w:tcPr>
            <w:tcW w:w="389" w:type="pct"/>
          </w:tcPr>
          <w:p w14:paraId="71E93D79"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0,002</w:t>
            </w:r>
          </w:p>
        </w:tc>
        <w:tc>
          <w:tcPr>
            <w:tcW w:w="392" w:type="pct"/>
          </w:tcPr>
          <w:p w14:paraId="1BE84ACA"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0,02</w:t>
            </w:r>
          </w:p>
        </w:tc>
        <w:tc>
          <w:tcPr>
            <w:tcW w:w="389" w:type="pct"/>
          </w:tcPr>
          <w:p w14:paraId="3989D65D" w14:textId="77777777" w:rsidR="00647D0C" w:rsidRPr="00A61195" w:rsidRDefault="00647D0C" w:rsidP="009D20AB">
            <w:pPr>
              <w:spacing w:before="60" w:after="60" w:line="240" w:lineRule="auto"/>
              <w:ind w:left="-57" w:right="-57"/>
              <w:rPr>
                <w:rFonts w:eastAsia="Calibri"/>
                <w:sz w:val="20"/>
                <w:szCs w:val="20"/>
              </w:rPr>
            </w:pPr>
            <w:r w:rsidRPr="00A61195">
              <w:rPr>
                <w:color w:val="000000"/>
                <w:sz w:val="20"/>
                <w:szCs w:val="20"/>
              </w:rPr>
              <w:t>0,002</w:t>
            </w:r>
          </w:p>
        </w:tc>
        <w:tc>
          <w:tcPr>
            <w:tcW w:w="349" w:type="pct"/>
          </w:tcPr>
          <w:p w14:paraId="77F1835A" w14:textId="77777777" w:rsidR="00647D0C" w:rsidRPr="00A61195" w:rsidRDefault="00647D0C" w:rsidP="009D20AB">
            <w:pPr>
              <w:spacing w:before="60" w:after="60" w:line="240" w:lineRule="auto"/>
              <w:ind w:left="-57" w:right="-57"/>
              <w:rPr>
                <w:rFonts w:eastAsia="Calibri"/>
                <w:sz w:val="20"/>
                <w:szCs w:val="20"/>
              </w:rPr>
            </w:pPr>
          </w:p>
        </w:tc>
        <w:tc>
          <w:tcPr>
            <w:tcW w:w="393" w:type="pct"/>
          </w:tcPr>
          <w:p w14:paraId="0748FE2C"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164B95CF"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6CBEE609" w14:textId="77777777" w:rsidR="00647D0C" w:rsidRPr="00A61195" w:rsidRDefault="00647D0C" w:rsidP="009D20AB">
            <w:pPr>
              <w:spacing w:before="60" w:after="60" w:line="240" w:lineRule="auto"/>
              <w:ind w:left="-57" w:right="-57"/>
              <w:rPr>
                <w:rFonts w:eastAsia="Calibri"/>
                <w:color w:val="000000"/>
                <w:sz w:val="20"/>
                <w:szCs w:val="20"/>
              </w:rPr>
            </w:pPr>
          </w:p>
        </w:tc>
      </w:tr>
      <w:tr w:rsidR="00647D0C" w:rsidRPr="00A61195" w14:paraId="07F2C76E" w14:textId="77777777" w:rsidTr="00647D0C">
        <w:tc>
          <w:tcPr>
            <w:tcW w:w="296" w:type="pct"/>
          </w:tcPr>
          <w:p w14:paraId="7AD76EBD" w14:textId="7C7017AB" w:rsidR="00647D0C" w:rsidRPr="00A61195" w:rsidRDefault="00647D0C" w:rsidP="009D20AB">
            <w:pPr>
              <w:spacing w:before="60" w:after="60" w:line="240" w:lineRule="auto"/>
              <w:ind w:left="-57" w:right="-57"/>
              <w:rPr>
                <w:rFonts w:eastAsia="Calibri"/>
                <w:sz w:val="20"/>
                <w:szCs w:val="20"/>
              </w:rPr>
            </w:pPr>
            <w:r w:rsidRPr="00A61195">
              <w:rPr>
                <w:sz w:val="20"/>
                <w:szCs w:val="20"/>
              </w:rPr>
              <w:t>70.</w:t>
            </w:r>
          </w:p>
        </w:tc>
        <w:tc>
          <w:tcPr>
            <w:tcW w:w="628" w:type="pct"/>
            <w:gridSpan w:val="3"/>
          </w:tcPr>
          <w:p w14:paraId="35C03562" w14:textId="4E85D770" w:rsidR="00647D0C" w:rsidRPr="00A61195" w:rsidRDefault="00647D0C" w:rsidP="009D20AB">
            <w:pPr>
              <w:spacing w:before="60" w:after="60" w:line="240" w:lineRule="auto"/>
              <w:ind w:left="-57" w:right="-57"/>
              <w:rPr>
                <w:rFonts w:eastAsia="Calibri"/>
                <w:i/>
                <w:color w:val="000000"/>
                <w:sz w:val="20"/>
                <w:szCs w:val="20"/>
              </w:rPr>
            </w:pPr>
            <w:r w:rsidRPr="00A61195">
              <w:rPr>
                <w:color w:val="000000"/>
                <w:sz w:val="20"/>
                <w:szCs w:val="20"/>
              </w:rPr>
              <w:t>Suma substanțelor active din pesticidele (</w:t>
            </w:r>
            <w:r w:rsidRPr="00D3772B">
              <w:rPr>
                <w:b/>
                <w:bCs/>
                <w:color w:val="000000"/>
                <w:sz w:val="20"/>
                <w:szCs w:val="20"/>
                <w:vertAlign w:val="superscript"/>
              </w:rPr>
              <w:t>29</w:t>
            </w:r>
            <w:r w:rsidRPr="00A61195">
              <w:rPr>
                <w:color w:val="000000"/>
                <w:sz w:val="20"/>
                <w:szCs w:val="20"/>
              </w:rPr>
              <w:t>) enumerate în prezentul tabel (</w:t>
            </w:r>
            <w:r w:rsidRPr="00D3772B">
              <w:rPr>
                <w:b/>
                <w:bCs/>
                <w:color w:val="000000"/>
                <w:sz w:val="20"/>
                <w:szCs w:val="20"/>
                <w:vertAlign w:val="superscript"/>
              </w:rPr>
              <w:t>30</w:t>
            </w:r>
            <w:r w:rsidRPr="00A61195">
              <w:rPr>
                <w:color w:val="000000"/>
                <w:sz w:val="20"/>
                <w:szCs w:val="20"/>
              </w:rPr>
              <w:t>) (</w:t>
            </w:r>
            <w:r w:rsidRPr="00D3772B">
              <w:rPr>
                <w:b/>
                <w:bCs/>
                <w:color w:val="000000"/>
                <w:sz w:val="20"/>
                <w:szCs w:val="20"/>
                <w:vertAlign w:val="superscript"/>
              </w:rPr>
              <w:t>31</w:t>
            </w:r>
            <w:r w:rsidRPr="00A61195">
              <w:rPr>
                <w:color w:val="000000"/>
                <w:sz w:val="20"/>
                <w:szCs w:val="20"/>
              </w:rPr>
              <w:t>)</w:t>
            </w:r>
          </w:p>
        </w:tc>
        <w:tc>
          <w:tcPr>
            <w:tcW w:w="394" w:type="pct"/>
            <w:gridSpan w:val="2"/>
          </w:tcPr>
          <w:p w14:paraId="29CCB9A9" w14:textId="77777777" w:rsidR="00647D0C" w:rsidRPr="00A61195" w:rsidRDefault="00647D0C" w:rsidP="009D20AB">
            <w:pPr>
              <w:spacing w:before="60" w:after="60" w:line="240" w:lineRule="auto"/>
              <w:ind w:left="-57" w:right="-57"/>
              <w:rPr>
                <w:rFonts w:eastAsia="Calibri"/>
                <w:color w:val="000000"/>
                <w:sz w:val="20"/>
                <w:szCs w:val="20"/>
              </w:rPr>
            </w:pPr>
            <w:r w:rsidRPr="00A61195">
              <w:rPr>
                <w:color w:val="000000"/>
                <w:sz w:val="20"/>
                <w:szCs w:val="20"/>
              </w:rPr>
              <w:t>Pesticide</w:t>
            </w:r>
          </w:p>
        </w:tc>
        <w:tc>
          <w:tcPr>
            <w:tcW w:w="339" w:type="pct"/>
          </w:tcPr>
          <w:p w14:paraId="2DFB3FB1" w14:textId="77777777" w:rsidR="00647D0C" w:rsidRPr="00A61195" w:rsidRDefault="00647D0C" w:rsidP="009D20AB">
            <w:pPr>
              <w:spacing w:before="60" w:after="60" w:line="240" w:lineRule="auto"/>
              <w:ind w:left="-57" w:right="-57"/>
              <w:rPr>
                <w:rFonts w:eastAsia="Calibri"/>
                <w:color w:val="000000"/>
                <w:sz w:val="20"/>
                <w:szCs w:val="20"/>
              </w:rPr>
            </w:pPr>
            <w:r w:rsidRPr="00A61195">
              <w:rPr>
                <w:color w:val="000000"/>
                <w:sz w:val="20"/>
                <w:szCs w:val="20"/>
              </w:rPr>
              <w:t>Nu se aplică</w:t>
            </w:r>
          </w:p>
        </w:tc>
        <w:tc>
          <w:tcPr>
            <w:tcW w:w="390" w:type="pct"/>
            <w:gridSpan w:val="2"/>
          </w:tcPr>
          <w:p w14:paraId="1AC74517" w14:textId="77777777" w:rsidR="00647D0C" w:rsidRPr="00A61195" w:rsidRDefault="00647D0C" w:rsidP="009D20AB">
            <w:pPr>
              <w:spacing w:before="60" w:after="60" w:line="240" w:lineRule="auto"/>
              <w:ind w:left="-57" w:right="-57"/>
              <w:rPr>
                <w:rFonts w:eastAsia="Calibri"/>
                <w:sz w:val="20"/>
                <w:szCs w:val="20"/>
              </w:rPr>
            </w:pPr>
            <w:r w:rsidRPr="00A61195">
              <w:rPr>
                <w:sz w:val="20"/>
                <w:szCs w:val="20"/>
              </w:rPr>
              <w:t>Nu se aplică</w:t>
            </w:r>
          </w:p>
        </w:tc>
        <w:tc>
          <w:tcPr>
            <w:tcW w:w="387" w:type="pct"/>
          </w:tcPr>
          <w:p w14:paraId="69B24A63" w14:textId="5C8B8AAB" w:rsidR="00647D0C" w:rsidRPr="00A61195" w:rsidRDefault="00647D0C" w:rsidP="009D20AB">
            <w:pPr>
              <w:spacing w:before="60" w:after="60" w:line="240" w:lineRule="auto"/>
              <w:ind w:left="-57" w:right="-57"/>
              <w:rPr>
                <w:rFonts w:eastAsia="Calibri"/>
                <w:color w:val="000000"/>
                <w:sz w:val="20"/>
                <w:szCs w:val="20"/>
              </w:rPr>
            </w:pPr>
            <w:r w:rsidRPr="00A61195">
              <w:rPr>
                <w:color w:val="000000"/>
                <w:sz w:val="20"/>
                <w:szCs w:val="20"/>
              </w:rPr>
              <w:t>0,2</w:t>
            </w:r>
            <w:r w:rsidR="00D3772B">
              <w:rPr>
                <w:color w:val="000000"/>
                <w:sz w:val="20"/>
                <w:szCs w:val="20"/>
              </w:rPr>
              <w:t xml:space="preserve"> </w:t>
            </w:r>
            <w:r w:rsidRPr="00A61195">
              <w:rPr>
                <w:color w:val="000000"/>
                <w:sz w:val="20"/>
                <w:szCs w:val="20"/>
              </w:rPr>
              <w:t>(</w:t>
            </w:r>
            <w:r w:rsidRPr="00D3772B">
              <w:rPr>
                <w:b/>
                <w:bCs/>
                <w:color w:val="000000"/>
                <w:sz w:val="20"/>
                <w:szCs w:val="20"/>
                <w:vertAlign w:val="superscript"/>
              </w:rPr>
              <w:t>31</w:t>
            </w:r>
            <w:r w:rsidRPr="00A61195">
              <w:rPr>
                <w:color w:val="000000"/>
                <w:sz w:val="20"/>
                <w:szCs w:val="20"/>
              </w:rPr>
              <w:t>)</w:t>
            </w:r>
          </w:p>
        </w:tc>
        <w:tc>
          <w:tcPr>
            <w:tcW w:w="389" w:type="pct"/>
          </w:tcPr>
          <w:p w14:paraId="77DC994B" w14:textId="77777777" w:rsidR="00647D0C" w:rsidRPr="00A61195" w:rsidRDefault="00647D0C" w:rsidP="009D20AB">
            <w:pPr>
              <w:spacing w:before="60" w:after="60" w:line="240" w:lineRule="auto"/>
              <w:ind w:left="-57" w:right="-57"/>
              <w:rPr>
                <w:rFonts w:eastAsia="Calibri"/>
                <w:b/>
                <w:color w:val="000000"/>
                <w:sz w:val="20"/>
                <w:szCs w:val="20"/>
                <w:u w:val="single"/>
              </w:rPr>
            </w:pPr>
          </w:p>
        </w:tc>
        <w:tc>
          <w:tcPr>
            <w:tcW w:w="392" w:type="pct"/>
          </w:tcPr>
          <w:p w14:paraId="64F1D093" w14:textId="77777777" w:rsidR="00647D0C" w:rsidRPr="00A61195" w:rsidRDefault="00647D0C" w:rsidP="009D20AB">
            <w:pPr>
              <w:spacing w:before="60" w:after="60" w:line="240" w:lineRule="auto"/>
              <w:ind w:left="-57" w:right="-57"/>
              <w:rPr>
                <w:rFonts w:eastAsia="Calibri"/>
                <w:color w:val="000000"/>
                <w:sz w:val="20"/>
                <w:szCs w:val="20"/>
              </w:rPr>
            </w:pPr>
          </w:p>
        </w:tc>
        <w:tc>
          <w:tcPr>
            <w:tcW w:w="389" w:type="pct"/>
          </w:tcPr>
          <w:p w14:paraId="2BDB7AD5" w14:textId="77777777" w:rsidR="00647D0C" w:rsidRPr="00A61195" w:rsidRDefault="00647D0C" w:rsidP="009D20AB">
            <w:pPr>
              <w:spacing w:before="60" w:after="60" w:line="240" w:lineRule="auto"/>
              <w:ind w:left="-57" w:right="-57"/>
              <w:rPr>
                <w:rFonts w:eastAsia="Calibri"/>
                <w:color w:val="000000"/>
                <w:sz w:val="20"/>
                <w:szCs w:val="20"/>
              </w:rPr>
            </w:pPr>
          </w:p>
        </w:tc>
        <w:tc>
          <w:tcPr>
            <w:tcW w:w="349" w:type="pct"/>
          </w:tcPr>
          <w:p w14:paraId="1E0418A5" w14:textId="77777777" w:rsidR="00647D0C" w:rsidRPr="00A61195" w:rsidRDefault="00647D0C" w:rsidP="009D20AB">
            <w:pPr>
              <w:spacing w:before="60" w:after="60" w:line="240" w:lineRule="auto"/>
              <w:ind w:left="-57" w:right="-57"/>
              <w:rPr>
                <w:rFonts w:eastAsia="Calibri"/>
                <w:color w:val="000000"/>
                <w:sz w:val="20"/>
                <w:szCs w:val="20"/>
              </w:rPr>
            </w:pPr>
          </w:p>
        </w:tc>
        <w:tc>
          <w:tcPr>
            <w:tcW w:w="393" w:type="pct"/>
          </w:tcPr>
          <w:p w14:paraId="1E322E90" w14:textId="77777777" w:rsidR="00647D0C" w:rsidRPr="00A61195" w:rsidRDefault="00647D0C" w:rsidP="009D20AB">
            <w:pPr>
              <w:spacing w:before="60" w:after="60" w:line="240" w:lineRule="auto"/>
              <w:ind w:left="-57" w:right="-57"/>
              <w:rPr>
                <w:rFonts w:eastAsia="Calibri"/>
                <w:color w:val="000000"/>
                <w:sz w:val="20"/>
                <w:szCs w:val="20"/>
              </w:rPr>
            </w:pPr>
          </w:p>
        </w:tc>
        <w:tc>
          <w:tcPr>
            <w:tcW w:w="360" w:type="pct"/>
            <w:gridSpan w:val="2"/>
          </w:tcPr>
          <w:p w14:paraId="0630FBC5" w14:textId="77777777" w:rsidR="00647D0C" w:rsidRPr="00A61195" w:rsidRDefault="00647D0C" w:rsidP="009D20AB">
            <w:pPr>
              <w:spacing w:before="60" w:after="60" w:line="240" w:lineRule="auto"/>
              <w:ind w:left="-57" w:right="-57"/>
              <w:rPr>
                <w:rFonts w:eastAsia="Calibri"/>
                <w:color w:val="000000"/>
                <w:sz w:val="20"/>
                <w:szCs w:val="20"/>
              </w:rPr>
            </w:pPr>
          </w:p>
        </w:tc>
        <w:tc>
          <w:tcPr>
            <w:tcW w:w="296" w:type="pct"/>
          </w:tcPr>
          <w:p w14:paraId="2037638C" w14:textId="77777777" w:rsidR="00647D0C" w:rsidRPr="00A61195" w:rsidRDefault="00647D0C" w:rsidP="009D20AB">
            <w:pPr>
              <w:spacing w:before="60" w:after="60" w:line="240" w:lineRule="auto"/>
              <w:ind w:left="-57" w:right="-57"/>
              <w:rPr>
                <w:rFonts w:eastAsia="Calibri"/>
                <w:color w:val="000000"/>
                <w:sz w:val="20"/>
                <w:szCs w:val="20"/>
              </w:rPr>
            </w:pPr>
          </w:p>
        </w:tc>
      </w:tr>
    </w:tbl>
    <w:p w14:paraId="3FB90FA6" w14:textId="77777777" w:rsidR="00647D0C" w:rsidRPr="00A61195" w:rsidRDefault="00647D0C" w:rsidP="00647D0C">
      <w:pPr>
        <w:spacing w:before="0" w:after="160" w:line="259" w:lineRule="auto"/>
        <w:rPr>
          <w:rFonts w:asciiTheme="majorBidi" w:eastAsia="Calibri" w:hAnsiTheme="majorBidi" w:cstheme="majorBidi"/>
          <w:szCs w:val="24"/>
        </w:rPr>
      </w:pPr>
      <w:r w:rsidRPr="00A61195">
        <w:rPr>
          <w:rFonts w:asciiTheme="majorBidi" w:eastAsia="Calibri" w:hAnsiTheme="majorBidi" w:cstheme="majorBidi"/>
          <w:szCs w:val="24"/>
        </w:rPr>
        <w:br w:type="page"/>
      </w:r>
    </w:p>
    <w:p w14:paraId="03F959BE" w14:textId="70F48356" w:rsidR="00647D0C" w:rsidRPr="00A61195" w:rsidRDefault="00647D0C" w:rsidP="00A61195">
      <w:r w:rsidRPr="00A61195">
        <w:lastRenderedPageBreak/>
        <w:t>_________________</w:t>
      </w:r>
    </w:p>
    <w:p w14:paraId="399A328A" w14:textId="6864F434" w:rsidR="00647D0C" w:rsidRPr="00A61195" w:rsidRDefault="00647D0C" w:rsidP="00A61195">
      <w:pPr>
        <w:pStyle w:val="Point0"/>
        <w:spacing w:before="0" w:after="0" w:line="240" w:lineRule="auto"/>
        <w:ind w:left="851" w:hanging="851"/>
        <w:rPr>
          <w:rFonts w:cstheme="majorBidi"/>
        </w:rPr>
      </w:pPr>
      <w:r w:rsidRPr="00A61195">
        <w:t>(</w:t>
      </w:r>
      <w:r w:rsidRPr="00D3772B">
        <w:rPr>
          <w:b/>
          <w:bCs/>
          <w:vertAlign w:val="superscript"/>
        </w:rPr>
        <w:t>1</w:t>
      </w:r>
      <w:r w:rsidRPr="00A61195">
        <w:t>)</w:t>
      </w:r>
      <w:r w:rsidRPr="00A61195">
        <w:tab/>
        <w:t>CAS: serviciul de catalogare a substanțelor chimice (</w:t>
      </w:r>
      <w:proofErr w:type="spellStart"/>
      <w:r w:rsidRPr="005C480A">
        <w:rPr>
          <w:i/>
          <w:iCs/>
        </w:rPr>
        <w:t>Chemical</w:t>
      </w:r>
      <w:proofErr w:type="spellEnd"/>
      <w:r w:rsidRPr="005C480A">
        <w:rPr>
          <w:i/>
          <w:iCs/>
        </w:rPr>
        <w:t xml:space="preserve"> Abstract Service</w:t>
      </w:r>
      <w:r w:rsidRPr="00A61195">
        <w:t>).</w:t>
      </w:r>
    </w:p>
    <w:p w14:paraId="6B91ACCD" w14:textId="77777777" w:rsidR="00647D0C" w:rsidRPr="00A61195" w:rsidRDefault="00647D0C" w:rsidP="00A61195">
      <w:pPr>
        <w:pStyle w:val="Point0"/>
        <w:spacing w:before="0" w:after="0" w:line="240" w:lineRule="auto"/>
        <w:ind w:left="851" w:hanging="851"/>
        <w:rPr>
          <w:rFonts w:cstheme="majorBidi"/>
        </w:rPr>
      </w:pPr>
      <w:r w:rsidRPr="00A61195">
        <w:t>(</w:t>
      </w:r>
      <w:r w:rsidRPr="00D3772B">
        <w:rPr>
          <w:b/>
          <w:bCs/>
          <w:vertAlign w:val="superscript"/>
        </w:rPr>
        <w:t>2</w:t>
      </w:r>
      <w:r w:rsidRPr="00A61195">
        <w:t>)</w:t>
      </w:r>
      <w:r w:rsidRPr="00A61195">
        <w:tab/>
        <w:t>Numărul UE: Inventarul european al substanțelor chimice existente introduse pe piață (EINECS) sau Lista europeană a substanțelor chimice notificate (ELINCS).</w:t>
      </w:r>
    </w:p>
    <w:p w14:paraId="4E9F180D" w14:textId="77777777" w:rsidR="00647D0C" w:rsidRPr="00A61195" w:rsidRDefault="00647D0C" w:rsidP="00A61195">
      <w:pPr>
        <w:pStyle w:val="Point0"/>
        <w:spacing w:before="0" w:after="0" w:line="240" w:lineRule="auto"/>
        <w:ind w:left="851" w:hanging="851"/>
        <w:rPr>
          <w:rFonts w:cstheme="majorBidi"/>
        </w:rPr>
      </w:pPr>
      <w:r w:rsidRPr="00A61195">
        <w:t>(</w:t>
      </w:r>
      <w:r w:rsidRPr="00D3772B">
        <w:rPr>
          <w:b/>
          <w:bCs/>
          <w:vertAlign w:val="superscript"/>
        </w:rPr>
        <w:t>3</w:t>
      </w:r>
      <w:r w:rsidRPr="00A61195">
        <w:t>)</w:t>
      </w:r>
      <w:r w:rsidRPr="00A61195">
        <w:tab/>
        <w:t>Acest parametru reprezintă standardul de calitate a mediului exprimat ca valoare medie anuală (SCM-MA). Dacă nu se specifică altfel, acesta se aplică concentrației totale a tuturor substanțelor și izomerilor.</w:t>
      </w:r>
    </w:p>
    <w:p w14:paraId="486A93FF" w14:textId="323FE898" w:rsidR="00647D0C" w:rsidRPr="00A61195" w:rsidRDefault="00647D0C" w:rsidP="00A61195">
      <w:pPr>
        <w:pStyle w:val="Point0"/>
        <w:spacing w:before="0" w:after="0" w:line="240" w:lineRule="auto"/>
        <w:ind w:left="851" w:hanging="851"/>
        <w:rPr>
          <w:rFonts w:cstheme="majorBidi"/>
        </w:rPr>
      </w:pPr>
      <w:r w:rsidRPr="00A61195">
        <w:t>(</w:t>
      </w:r>
      <w:r w:rsidRPr="00D3772B">
        <w:rPr>
          <w:b/>
          <w:bCs/>
          <w:vertAlign w:val="superscript"/>
        </w:rPr>
        <w:t>4</w:t>
      </w:r>
      <w:r w:rsidRPr="00A61195">
        <w:t>)</w:t>
      </w:r>
      <w:r w:rsidRPr="00A61195">
        <w:tab/>
        <w:t>Apele interioare de suprafață cuprind râurile și lacurile, precum și corpurile de apă artificiale sau modificate substanțial care au legătură cu acestea.</w:t>
      </w:r>
    </w:p>
    <w:p w14:paraId="3BBC7F58" w14:textId="77777777" w:rsidR="00647D0C" w:rsidRPr="00A61195" w:rsidRDefault="00647D0C" w:rsidP="00A61195">
      <w:pPr>
        <w:pStyle w:val="Point0"/>
        <w:spacing w:before="0" w:after="0" w:line="240" w:lineRule="auto"/>
        <w:ind w:left="851" w:hanging="851"/>
        <w:rPr>
          <w:rFonts w:cstheme="majorBidi"/>
        </w:rPr>
      </w:pPr>
      <w:r w:rsidRPr="00A61195">
        <w:t>(</w:t>
      </w:r>
      <w:r w:rsidRPr="00D3772B">
        <w:rPr>
          <w:b/>
          <w:bCs/>
          <w:vertAlign w:val="superscript"/>
        </w:rPr>
        <w:t>5</w:t>
      </w:r>
      <w:r w:rsidRPr="00A61195">
        <w:t>)</w:t>
      </w:r>
      <w:r w:rsidRPr="00A61195">
        <w:tab/>
        <w:t>Acest parametru reprezintă standardul de calitate a mediului exprimat sub formă de concentrație maximă admisibilă (SCM-CMA). Dacă nu se specifică altfel, acesta se aplică concentrației totale a tuturor substanțelor și izomerilor. Atunci când pentru SCM-CMA apare indicația «nu se aplică», se consideră că valorile SCM-MA asigură protecție împotriva vârfurilor de poluare pe termen scurt care apar în cazul evacuărilor continue, deoarece acestea sunt semnificativ mai scăzute decât valorile obținute pe baza toxicității acute.</w:t>
      </w:r>
    </w:p>
    <w:p w14:paraId="496E276A" w14:textId="0F56F084" w:rsidR="00647D0C" w:rsidRPr="00A61195" w:rsidRDefault="00647D0C" w:rsidP="00A61195">
      <w:pPr>
        <w:pStyle w:val="Point0"/>
        <w:spacing w:before="0" w:after="0" w:line="240" w:lineRule="auto"/>
        <w:ind w:left="851" w:hanging="851"/>
      </w:pPr>
      <w:r w:rsidRPr="00A61195">
        <w:t>(</w:t>
      </w:r>
      <w:r w:rsidRPr="00D3772B">
        <w:rPr>
          <w:b/>
          <w:bCs/>
          <w:vertAlign w:val="superscript"/>
        </w:rPr>
        <w:t>6</w:t>
      </w:r>
      <w:r w:rsidRPr="00A61195">
        <w:t>)</w:t>
      </w:r>
      <w:r w:rsidRPr="00A61195">
        <w:tab/>
        <w:t xml:space="preserve">Dacă se indică un SCM pentru </w:t>
      </w:r>
      <w:proofErr w:type="spellStart"/>
      <w:r w:rsidRPr="00A61195">
        <w:t>biotă</w:t>
      </w:r>
      <w:proofErr w:type="spellEnd"/>
      <w:r w:rsidRPr="00A61195">
        <w:t xml:space="preserve"> sau pentru sedimente, acesta se utilizează în locul SCM-ului pentru apă, fără a se aduce atingere articolului 3 alineatul (3) din prezenta directivă, care permite monitorizarea, în schimb, a unui </w:t>
      </w:r>
      <w:proofErr w:type="spellStart"/>
      <w:r w:rsidRPr="00A61195">
        <w:t>taxon</w:t>
      </w:r>
      <w:proofErr w:type="spellEnd"/>
      <w:r w:rsidRPr="00A61195">
        <w:t xml:space="preserve"> alternativ al </w:t>
      </w:r>
      <w:proofErr w:type="spellStart"/>
      <w:r w:rsidRPr="00A61195">
        <w:t>biotei</w:t>
      </w:r>
      <w:proofErr w:type="spellEnd"/>
      <w:r w:rsidRPr="00A61195">
        <w:t xml:space="preserve"> sau a unei alte matrice, atâta vreme cât SCM-urile aplicate oferă un nivel de protecție echivalent. Dacă nu se specifică altfel, acesta se aplică concentrației totale a tuturor substanțelor și izomerilor. Dacă nu se indică altfel, SCM-</w:t>
      </w:r>
      <w:proofErr w:type="spellStart"/>
      <w:r w:rsidRPr="00A61195">
        <w:t>ul</w:t>
      </w:r>
      <w:proofErr w:type="spellEnd"/>
      <w:r w:rsidRPr="00A61195">
        <w:t xml:space="preserve"> pentru </w:t>
      </w:r>
      <w:proofErr w:type="spellStart"/>
      <w:r w:rsidRPr="00A61195">
        <w:t>biotă</w:t>
      </w:r>
      <w:proofErr w:type="spellEnd"/>
      <w:r w:rsidRPr="00A61195">
        <w:t xml:space="preserve"> se referă la pești. </w:t>
      </w:r>
      <w:r w:rsidR="005C480A">
        <w:t>«</w:t>
      </w:r>
      <w:r w:rsidRPr="00A61195">
        <w:t>pește AD</w:t>
      </w:r>
      <w:r w:rsidR="005C480A">
        <w:t>»</w:t>
      </w:r>
      <w:r w:rsidRPr="00A61195">
        <w:t xml:space="preserve"> indică SCM-</w:t>
      </w:r>
      <w:proofErr w:type="spellStart"/>
      <w:r w:rsidRPr="00A61195">
        <w:t>ul</w:t>
      </w:r>
      <w:proofErr w:type="spellEnd"/>
      <w:r w:rsidRPr="00A61195">
        <w:t xml:space="preserve"> pentru </w:t>
      </w:r>
      <w:proofErr w:type="spellStart"/>
      <w:r w:rsidRPr="00A61195">
        <w:t>biotă</w:t>
      </w:r>
      <w:proofErr w:type="spellEnd"/>
      <w:r w:rsidRPr="00A61195">
        <w:t xml:space="preserve"> aferent peștilor de apă dulce monitorizați în apele interioare; </w:t>
      </w:r>
      <w:r w:rsidR="005C480A">
        <w:t>«</w:t>
      </w:r>
      <w:r w:rsidRPr="00A61195">
        <w:t>pește AS</w:t>
      </w:r>
      <w:r w:rsidR="005C480A">
        <w:t>»</w:t>
      </w:r>
      <w:r w:rsidRPr="00A61195">
        <w:t xml:space="preserve"> indică SCM-</w:t>
      </w:r>
      <w:proofErr w:type="spellStart"/>
      <w:r w:rsidRPr="00A61195">
        <w:t>ul</w:t>
      </w:r>
      <w:proofErr w:type="spellEnd"/>
      <w:r w:rsidRPr="00A61195">
        <w:t xml:space="preserve"> pentru </w:t>
      </w:r>
      <w:proofErr w:type="spellStart"/>
      <w:r w:rsidRPr="00A61195">
        <w:t>biotă</w:t>
      </w:r>
      <w:proofErr w:type="spellEnd"/>
      <w:r w:rsidRPr="00A61195">
        <w:t xml:space="preserve"> aferent peștilor de apă sărată monitorizați în alte ape de suprafață. Pentru substanțele cu numerele 15 (</w:t>
      </w:r>
      <w:proofErr w:type="spellStart"/>
      <w:r w:rsidRPr="00A61195">
        <w:t>fluoranten</w:t>
      </w:r>
      <w:proofErr w:type="spellEnd"/>
      <w:r w:rsidRPr="00A61195">
        <w:t>), 28 (HAP) și 51 (</w:t>
      </w:r>
      <w:proofErr w:type="spellStart"/>
      <w:r w:rsidRPr="00A61195">
        <w:t>bisfenol</w:t>
      </w:r>
      <w:proofErr w:type="spellEnd"/>
      <w:r w:rsidRPr="00A61195">
        <w:t xml:space="preserve"> A), SCM-</w:t>
      </w:r>
      <w:proofErr w:type="spellStart"/>
      <w:r w:rsidRPr="00A61195">
        <w:t>ul</w:t>
      </w:r>
      <w:proofErr w:type="spellEnd"/>
      <w:r w:rsidRPr="00A61195">
        <w:t xml:space="preserve"> pentru </w:t>
      </w:r>
      <w:proofErr w:type="spellStart"/>
      <w:r w:rsidRPr="00A61195">
        <w:t>biotă</w:t>
      </w:r>
      <w:proofErr w:type="spellEnd"/>
      <w:r w:rsidRPr="00A61195">
        <w:t xml:space="preserve"> se referă la crustacee și moluște. În vederea evaluării stării chimice, monitorizarea </w:t>
      </w:r>
      <w:proofErr w:type="spellStart"/>
      <w:r w:rsidRPr="00A61195">
        <w:t>fluorantenului</w:t>
      </w:r>
      <w:proofErr w:type="spellEnd"/>
      <w:r w:rsidRPr="00A61195">
        <w:t xml:space="preserve">, a HAP-urilor și a </w:t>
      </w:r>
      <w:proofErr w:type="spellStart"/>
      <w:r w:rsidRPr="00A61195">
        <w:t>bisfenolului</w:t>
      </w:r>
      <w:proofErr w:type="spellEnd"/>
      <w:r w:rsidRPr="00A61195">
        <w:t xml:space="preserve"> A în pești nu este adecvată. Pentru substanța cu numărul 37 (</w:t>
      </w:r>
      <w:proofErr w:type="spellStart"/>
      <w:r w:rsidRPr="00A61195">
        <w:t>dioxine</w:t>
      </w:r>
      <w:proofErr w:type="spellEnd"/>
      <w:r w:rsidRPr="00A61195">
        <w:t xml:space="preserve"> și compuși asemănători </w:t>
      </w:r>
      <w:proofErr w:type="spellStart"/>
      <w:r w:rsidRPr="00A61195">
        <w:t>dioxinei</w:t>
      </w:r>
      <w:proofErr w:type="spellEnd"/>
      <w:r w:rsidRPr="00A61195">
        <w:t>), SCM-</w:t>
      </w:r>
      <w:proofErr w:type="spellStart"/>
      <w:r w:rsidRPr="00A61195">
        <w:t>ul</w:t>
      </w:r>
      <w:proofErr w:type="spellEnd"/>
      <w:r w:rsidRPr="00A61195">
        <w:t xml:space="preserve"> pentru </w:t>
      </w:r>
      <w:proofErr w:type="spellStart"/>
      <w:r w:rsidRPr="00A61195">
        <w:t>biotă</w:t>
      </w:r>
      <w:proofErr w:type="spellEnd"/>
      <w:r w:rsidRPr="00A61195">
        <w:t xml:space="preserve"> se referă la pești, crustacee și moluște, în conformitate cu punctul 4.1.5 din anexa I la Regulamentul (UE)</w:t>
      </w:r>
      <w:r w:rsidR="00D3772B">
        <w:t> </w:t>
      </w:r>
      <w:r w:rsidRPr="00A61195">
        <w:t>2023/915 al Comisiei</w:t>
      </w:r>
      <w:r w:rsidRPr="005C480A">
        <w:rPr>
          <w:b/>
          <w:bCs/>
          <w:vertAlign w:val="superscript"/>
        </w:rPr>
        <w:t>+</w:t>
      </w:r>
      <w:r w:rsidRPr="00A61195">
        <w:t>.</w:t>
      </w:r>
    </w:p>
    <w:p w14:paraId="21EADC2F" w14:textId="77777777" w:rsidR="00647D0C" w:rsidRPr="00A61195" w:rsidRDefault="00647D0C" w:rsidP="00647D0C">
      <w:pPr>
        <w:spacing w:before="0" w:after="160" w:line="259" w:lineRule="auto"/>
        <w:rPr>
          <w:rFonts w:asciiTheme="majorBidi" w:eastAsia="Calibri" w:hAnsiTheme="majorBidi" w:cstheme="majorBidi"/>
          <w:szCs w:val="24"/>
        </w:rPr>
      </w:pPr>
      <w:r w:rsidRPr="00A61195">
        <w:rPr>
          <w:rFonts w:asciiTheme="majorBidi" w:eastAsia="Calibri" w:hAnsiTheme="majorBidi" w:cstheme="majorBidi"/>
          <w:szCs w:val="24"/>
        </w:rPr>
        <w:br w:type="page"/>
      </w:r>
    </w:p>
    <w:p w14:paraId="4A0DC646" w14:textId="77777777" w:rsidR="00647D0C" w:rsidRPr="00A61195" w:rsidRDefault="00647D0C" w:rsidP="00A61195">
      <w:pPr>
        <w:pStyle w:val="Point0"/>
        <w:spacing w:before="0" w:after="0" w:line="240" w:lineRule="auto"/>
        <w:ind w:left="851" w:hanging="851"/>
      </w:pPr>
      <w:r w:rsidRPr="00A61195">
        <w:lastRenderedPageBreak/>
        <w:t>(</w:t>
      </w:r>
      <w:r w:rsidRPr="00D3772B">
        <w:rPr>
          <w:b/>
          <w:bCs/>
          <w:vertAlign w:val="superscript"/>
        </w:rPr>
        <w:t>7</w:t>
      </w:r>
      <w:r w:rsidRPr="00A61195">
        <w:t>)</w:t>
      </w:r>
      <w:r w:rsidRPr="00A61195">
        <w:tab/>
        <w:t xml:space="preserve">Pentru grupul de substanțe prioritare reprezentat de </w:t>
      </w:r>
      <w:proofErr w:type="spellStart"/>
      <w:r w:rsidRPr="00A61195">
        <w:t>difenileterii</w:t>
      </w:r>
      <w:proofErr w:type="spellEnd"/>
      <w:r w:rsidRPr="00A61195">
        <w:t xml:space="preserve"> </w:t>
      </w:r>
      <w:proofErr w:type="spellStart"/>
      <w:r w:rsidRPr="00A61195">
        <w:t>bromurați</w:t>
      </w:r>
      <w:proofErr w:type="spellEnd"/>
      <w:r w:rsidRPr="00A61195">
        <w:t xml:space="preserve"> (nr. 5), SCM-urile se referă la suma concentrațiilor izomerilor de poziție cu numerele 28, 47, 99, 100, 153 și 154.</w:t>
      </w:r>
    </w:p>
    <w:p w14:paraId="0D7C450C" w14:textId="77777777" w:rsidR="00647D0C" w:rsidRPr="00A61195" w:rsidRDefault="00647D0C" w:rsidP="00A61195">
      <w:pPr>
        <w:pStyle w:val="Point0"/>
        <w:spacing w:before="0" w:after="0" w:line="240" w:lineRule="auto"/>
        <w:ind w:left="851" w:hanging="851"/>
      </w:pPr>
      <w:r w:rsidRPr="00A61195">
        <w:t>(</w:t>
      </w:r>
      <w:r w:rsidRPr="00D3772B">
        <w:rPr>
          <w:b/>
          <w:bCs/>
          <w:vertAlign w:val="superscript"/>
        </w:rPr>
        <w:t>8</w:t>
      </w:r>
      <w:r w:rsidRPr="00A61195">
        <w:t>)</w:t>
      </w:r>
      <w:r w:rsidRPr="00A61195">
        <w:tab/>
        <w:t xml:space="preserve">Tetra-, </w:t>
      </w:r>
      <w:proofErr w:type="spellStart"/>
      <w:r w:rsidRPr="00A61195">
        <w:t>penta</w:t>
      </w:r>
      <w:proofErr w:type="spellEnd"/>
      <w:r w:rsidRPr="00A61195">
        <w:t xml:space="preserve">-, </w:t>
      </w:r>
      <w:proofErr w:type="spellStart"/>
      <w:r w:rsidRPr="00A61195">
        <w:t>hexa</w:t>
      </w:r>
      <w:proofErr w:type="spellEnd"/>
      <w:r w:rsidRPr="00A61195">
        <w:t xml:space="preserve">-, </w:t>
      </w:r>
      <w:proofErr w:type="spellStart"/>
      <w:r w:rsidRPr="00A61195">
        <w:t>hepta</w:t>
      </w:r>
      <w:proofErr w:type="spellEnd"/>
      <w:r w:rsidRPr="00A61195">
        <w:t xml:space="preserve">-, </w:t>
      </w:r>
      <w:proofErr w:type="spellStart"/>
      <w:r w:rsidRPr="00A61195">
        <w:t>octa</w:t>
      </w:r>
      <w:proofErr w:type="spellEnd"/>
      <w:r w:rsidRPr="00A61195">
        <w:t xml:space="preserve">- și, respectiv </w:t>
      </w:r>
      <w:proofErr w:type="spellStart"/>
      <w:r w:rsidRPr="00A61195">
        <w:t>decabromodifenileter</w:t>
      </w:r>
      <w:proofErr w:type="spellEnd"/>
      <w:r w:rsidRPr="00A61195">
        <w:t xml:space="preserve"> (numerele CAS 40088-47-9, 32534-81-9, 36483-60-0, 68928-80-3, 32536-52-0 și, respectiv, 1163-19-5).</w:t>
      </w:r>
    </w:p>
    <w:p w14:paraId="73719A20" w14:textId="20B9CFD1" w:rsidR="00647D0C" w:rsidRPr="00A61195" w:rsidRDefault="00647D0C" w:rsidP="00A61195">
      <w:pPr>
        <w:pStyle w:val="Point0"/>
        <w:spacing w:before="0" w:after="0" w:line="240" w:lineRule="auto"/>
        <w:ind w:left="851" w:hanging="851"/>
      </w:pPr>
      <w:r w:rsidRPr="00A61195">
        <w:t>(</w:t>
      </w:r>
      <w:r w:rsidRPr="00D3772B">
        <w:rPr>
          <w:b/>
          <w:bCs/>
          <w:vertAlign w:val="superscript"/>
        </w:rPr>
        <w:t>9</w:t>
      </w:r>
      <w:r w:rsidRPr="00A61195">
        <w:t>)</w:t>
      </w:r>
      <w:r w:rsidRPr="00A61195">
        <w:tab/>
        <w:t>Pentru cadmiu și compușii săi (nr. 6), valorile SCM variază în funcție de duritatea apei, împărțită în cinci clase (clasa 1: &lt; 40 mg CaCO</w:t>
      </w:r>
      <w:r w:rsidRPr="00D3772B">
        <w:rPr>
          <w:vertAlign w:val="subscript"/>
        </w:rPr>
        <w:t>3</w:t>
      </w:r>
      <w:r w:rsidRPr="00A61195">
        <w:t>/l, clasa 2: între 40 și &lt; 50 mg CaCO</w:t>
      </w:r>
      <w:r w:rsidRPr="00D3772B">
        <w:rPr>
          <w:vertAlign w:val="subscript"/>
        </w:rPr>
        <w:t>3</w:t>
      </w:r>
      <w:r w:rsidRPr="00A61195">
        <w:t>/l, clasa 3: între 50 și &lt; 100 mg CaCO</w:t>
      </w:r>
      <w:r w:rsidRPr="00D3772B">
        <w:rPr>
          <w:vertAlign w:val="subscript"/>
        </w:rPr>
        <w:t>3</w:t>
      </w:r>
      <w:r w:rsidRPr="00A61195">
        <w:t>/l, clasa 4: între 100 și &lt; 200 mg CaCO</w:t>
      </w:r>
      <w:r w:rsidRPr="00D3772B">
        <w:rPr>
          <w:vertAlign w:val="subscript"/>
        </w:rPr>
        <w:t>3</w:t>
      </w:r>
      <w:r w:rsidRPr="00A61195">
        <w:t>/l și clasa 5: ≥ 200</w:t>
      </w:r>
      <w:r w:rsidR="00D3772B">
        <w:t> </w:t>
      </w:r>
      <w:r w:rsidRPr="00A61195">
        <w:t>mg CaCO</w:t>
      </w:r>
      <w:r w:rsidRPr="00D3772B">
        <w:rPr>
          <w:vertAlign w:val="subscript"/>
        </w:rPr>
        <w:t>3</w:t>
      </w:r>
      <w:r w:rsidRPr="00A61195">
        <w:t>/l.</w:t>
      </w:r>
    </w:p>
    <w:p w14:paraId="6832A360" w14:textId="77777777" w:rsidR="00647D0C" w:rsidRPr="00A61195" w:rsidRDefault="00647D0C" w:rsidP="00A61195">
      <w:pPr>
        <w:pStyle w:val="Point0"/>
        <w:spacing w:before="0" w:after="0" w:line="240" w:lineRule="auto"/>
        <w:ind w:left="851" w:hanging="851"/>
      </w:pPr>
      <w:r w:rsidRPr="00A61195">
        <w:t>(</w:t>
      </w:r>
      <w:r w:rsidRPr="00D3772B">
        <w:rPr>
          <w:b/>
          <w:bCs/>
          <w:vertAlign w:val="superscript"/>
        </w:rPr>
        <w:t>10</w:t>
      </w:r>
      <w:r w:rsidRPr="00A61195">
        <w:t>)</w:t>
      </w:r>
      <w:r w:rsidRPr="00A61195">
        <w:tab/>
        <w:t>Nu este prevăzut niciun parametru orientativ pentru acest grup de substanțe. Parametrul sau parametrii orientativi se definesc prin metoda analitică.</w:t>
      </w:r>
    </w:p>
    <w:p w14:paraId="79B28D7C" w14:textId="58658159" w:rsidR="00647D0C" w:rsidRPr="00A61195" w:rsidRDefault="00647D0C" w:rsidP="00A61195">
      <w:pPr>
        <w:pStyle w:val="Point0"/>
        <w:spacing w:before="0" w:after="0" w:line="240" w:lineRule="auto"/>
        <w:ind w:left="851" w:hanging="851"/>
      </w:pPr>
      <w:r w:rsidRPr="00A61195">
        <w:t>(</w:t>
      </w:r>
      <w:r w:rsidRPr="00D3772B">
        <w:rPr>
          <w:b/>
          <w:bCs/>
          <w:vertAlign w:val="superscript"/>
        </w:rPr>
        <w:t>11</w:t>
      </w:r>
      <w:r w:rsidRPr="00A61195">
        <w:t>)</w:t>
      </w:r>
      <w:r w:rsidRPr="00A61195">
        <w:tab/>
        <w:t>DDT total cuprinde suma izomerilor următori: 1,1,1-tricloro 2,2 bis (p-</w:t>
      </w:r>
      <w:proofErr w:type="spellStart"/>
      <w:r w:rsidRPr="00A61195">
        <w:t>clorofenil</w:t>
      </w:r>
      <w:proofErr w:type="spellEnd"/>
      <w:r w:rsidRPr="00A61195">
        <w:t>)etan (număr CAS 50 29 3, număr UE 200 024 3); 1,1,1</w:t>
      </w:r>
      <w:r w:rsidR="00D3772B">
        <w:t>­</w:t>
      </w:r>
      <w:r w:rsidRPr="00A61195">
        <w:t>tricloro-2-(o-</w:t>
      </w:r>
      <w:proofErr w:type="spellStart"/>
      <w:r w:rsidRPr="00A61195">
        <w:t>clorfenil</w:t>
      </w:r>
      <w:proofErr w:type="spellEnd"/>
      <w:r w:rsidRPr="00A61195">
        <w:t>)-2-(p-</w:t>
      </w:r>
      <w:proofErr w:type="spellStart"/>
      <w:r w:rsidRPr="00A61195">
        <w:t>clorfenil</w:t>
      </w:r>
      <w:proofErr w:type="spellEnd"/>
      <w:r w:rsidRPr="00A61195">
        <w:t>)etan (număr CAS 789 02 6, număr UE 212 332 5); 1,1-dicloro-2,2-bis(p-</w:t>
      </w:r>
      <w:proofErr w:type="spellStart"/>
      <w:r w:rsidRPr="00A61195">
        <w:t>clorfenil</w:t>
      </w:r>
      <w:proofErr w:type="spellEnd"/>
      <w:r w:rsidRPr="00A61195">
        <w:t>)etilenă (număr CAS 72 55 9, număr UE 200 784 6) și 1,1-dicloro-2,2-bis(p-</w:t>
      </w:r>
      <w:proofErr w:type="spellStart"/>
      <w:r w:rsidRPr="00A61195">
        <w:t>clorfenil</w:t>
      </w:r>
      <w:proofErr w:type="spellEnd"/>
      <w:r w:rsidRPr="00A61195">
        <w:t>)etan (număr CAS 72 54 8, număr UE 200 783 0).</w:t>
      </w:r>
    </w:p>
    <w:p w14:paraId="51EAD8AA" w14:textId="77777777" w:rsidR="00647D0C" w:rsidRPr="00A61195" w:rsidRDefault="00647D0C" w:rsidP="00A61195">
      <w:pPr>
        <w:pStyle w:val="Point0"/>
        <w:spacing w:before="0" w:after="0" w:line="240" w:lineRule="auto"/>
        <w:ind w:left="851" w:hanging="851"/>
      </w:pPr>
      <w:r w:rsidRPr="00A61195">
        <w:t>(</w:t>
      </w:r>
      <w:r w:rsidRPr="00D3772B">
        <w:rPr>
          <w:b/>
          <w:bCs/>
          <w:vertAlign w:val="superscript"/>
        </w:rPr>
        <w:t>12</w:t>
      </w:r>
      <w:r w:rsidRPr="00A61195">
        <w:t>)</w:t>
      </w:r>
      <w:r w:rsidRPr="00A61195">
        <w:tab/>
        <w:t xml:space="preserve">Aceste SCM-uri se referă la concentrațiile </w:t>
      </w:r>
      <w:proofErr w:type="spellStart"/>
      <w:r w:rsidRPr="00A61195">
        <w:t>biodisponibile</w:t>
      </w:r>
      <w:proofErr w:type="spellEnd"/>
      <w:r w:rsidRPr="00A61195">
        <w:t xml:space="preserve"> ale substanțelor.</w:t>
      </w:r>
    </w:p>
    <w:p w14:paraId="3986CD19" w14:textId="77777777" w:rsidR="00647D0C" w:rsidRPr="00A61195" w:rsidRDefault="00647D0C" w:rsidP="00647D0C">
      <w:pPr>
        <w:spacing w:before="0" w:after="160" w:line="259" w:lineRule="auto"/>
        <w:rPr>
          <w:rFonts w:asciiTheme="majorBidi" w:eastAsia="Calibri" w:hAnsiTheme="majorBidi" w:cstheme="majorBidi"/>
          <w:szCs w:val="24"/>
        </w:rPr>
      </w:pPr>
      <w:r w:rsidRPr="00A61195">
        <w:rPr>
          <w:rFonts w:asciiTheme="majorBidi" w:eastAsia="Calibri" w:hAnsiTheme="majorBidi" w:cstheme="majorBidi"/>
          <w:szCs w:val="24"/>
        </w:rPr>
        <w:br w:type="page"/>
      </w:r>
    </w:p>
    <w:p w14:paraId="0376FBAC" w14:textId="6D80F69B" w:rsidR="00647D0C" w:rsidRPr="00A61195" w:rsidRDefault="00647D0C" w:rsidP="00A61195">
      <w:pPr>
        <w:pStyle w:val="Point0"/>
        <w:spacing w:before="0" w:after="0" w:line="240" w:lineRule="auto"/>
        <w:ind w:left="851" w:hanging="851"/>
      </w:pPr>
      <w:r w:rsidRPr="00A61195">
        <w:lastRenderedPageBreak/>
        <w:t>(</w:t>
      </w:r>
      <w:r w:rsidRPr="00D3772B">
        <w:rPr>
          <w:b/>
          <w:bCs/>
          <w:vertAlign w:val="superscript"/>
        </w:rPr>
        <w:t>14</w:t>
      </w:r>
      <w:r w:rsidRPr="00A61195">
        <w:t>)</w:t>
      </w:r>
      <w:r w:rsidRPr="00A61195">
        <w:tab/>
      </w:r>
      <w:proofErr w:type="spellStart"/>
      <w:r w:rsidRPr="00A61195">
        <w:t>Nonilfenol</w:t>
      </w:r>
      <w:proofErr w:type="spellEnd"/>
      <w:r w:rsidRPr="00A61195">
        <w:t xml:space="preserve"> (număr CAS 25154-52-3, număr UE 246-672-0), inclusiv izomerii 4-nonilfenol (număr CAS 104-40-5, număr UE 203-199-4) și 4</w:t>
      </w:r>
      <w:r w:rsidR="00D3772B">
        <w:t>­</w:t>
      </w:r>
      <w:r w:rsidRPr="00A61195">
        <w:t>nonilfenol (ramificat) (număr CAS 84852-15-3, număr UE 284-325-5).</w:t>
      </w:r>
    </w:p>
    <w:p w14:paraId="06A1A2D2" w14:textId="77777777" w:rsidR="00647D0C" w:rsidRPr="00A61195" w:rsidRDefault="00647D0C" w:rsidP="00A61195">
      <w:pPr>
        <w:pStyle w:val="Point0"/>
        <w:spacing w:before="0" w:after="0" w:line="240" w:lineRule="auto"/>
        <w:ind w:left="851" w:hanging="851"/>
      </w:pPr>
      <w:r w:rsidRPr="00A61195">
        <w:t>(</w:t>
      </w:r>
      <w:r w:rsidRPr="00D3772B">
        <w:rPr>
          <w:b/>
          <w:bCs/>
          <w:vertAlign w:val="superscript"/>
        </w:rPr>
        <w:t>15</w:t>
      </w:r>
      <w:r w:rsidRPr="00A61195">
        <w:t>)</w:t>
      </w:r>
      <w:r w:rsidRPr="00A61195">
        <w:tab/>
      </w:r>
      <w:proofErr w:type="spellStart"/>
      <w:r w:rsidRPr="00A61195">
        <w:t>Octilfenol</w:t>
      </w:r>
      <w:proofErr w:type="spellEnd"/>
      <w:r w:rsidRPr="00A61195">
        <w:t xml:space="preserve"> (număr CAS 1806-26-4, număr UE 217-302-5), inclusiv izomerul 4-(1,1’,3,3’-tetrametilbutil)-fenol (număr CAS 140-66-9, număr UE 205-426-2).</w:t>
      </w:r>
    </w:p>
    <w:p w14:paraId="01F001A6" w14:textId="17FB9AD0" w:rsidR="00647D0C" w:rsidRPr="00A61195" w:rsidRDefault="00647D0C" w:rsidP="00A61195">
      <w:pPr>
        <w:pStyle w:val="Point0"/>
        <w:spacing w:before="0" w:after="0" w:line="240" w:lineRule="auto"/>
        <w:ind w:left="851" w:hanging="851"/>
      </w:pPr>
      <w:r w:rsidRPr="00A61195">
        <w:t>(</w:t>
      </w:r>
      <w:r w:rsidRPr="00D3772B">
        <w:rPr>
          <w:b/>
          <w:bCs/>
          <w:vertAlign w:val="superscript"/>
        </w:rPr>
        <w:t>16</w:t>
      </w:r>
      <w:r w:rsidRPr="00A61195">
        <w:t>)</w:t>
      </w:r>
      <w:r w:rsidRPr="00A61195">
        <w:tab/>
      </w:r>
      <w:proofErr w:type="spellStart"/>
      <w:r w:rsidRPr="00A61195">
        <w:t>Benzo</w:t>
      </w:r>
      <w:proofErr w:type="spellEnd"/>
      <w:r w:rsidRPr="00A61195">
        <w:t>(a)</w:t>
      </w:r>
      <w:proofErr w:type="spellStart"/>
      <w:r w:rsidRPr="00A61195">
        <w:t>piren</w:t>
      </w:r>
      <w:proofErr w:type="spellEnd"/>
      <w:r w:rsidRPr="00A61195">
        <w:t xml:space="preserve"> (număr CAS 50-32-8) (FPR 1), </w:t>
      </w:r>
      <w:proofErr w:type="spellStart"/>
      <w:r w:rsidRPr="00A61195">
        <w:t>benzo</w:t>
      </w:r>
      <w:proofErr w:type="spellEnd"/>
      <w:r w:rsidRPr="00A61195">
        <w:t>(b)</w:t>
      </w:r>
      <w:proofErr w:type="spellStart"/>
      <w:r w:rsidRPr="00A61195">
        <w:t>fluoranten</w:t>
      </w:r>
      <w:proofErr w:type="spellEnd"/>
      <w:r w:rsidRPr="00A61195">
        <w:t xml:space="preserve"> (număr CAS 205-99-2) (FPR 0,1), </w:t>
      </w:r>
      <w:proofErr w:type="spellStart"/>
      <w:r w:rsidRPr="00A61195">
        <w:t>benzo</w:t>
      </w:r>
      <w:proofErr w:type="spellEnd"/>
      <w:r w:rsidRPr="00A61195">
        <w:t>(k)</w:t>
      </w:r>
      <w:proofErr w:type="spellStart"/>
      <w:r w:rsidRPr="00A61195">
        <w:t>fluoranten</w:t>
      </w:r>
      <w:proofErr w:type="spellEnd"/>
      <w:r w:rsidRPr="00A61195">
        <w:t xml:space="preserve"> (număr CAS</w:t>
      </w:r>
      <w:r w:rsidR="00D3772B">
        <w:t> </w:t>
      </w:r>
      <w:r w:rsidRPr="00A61195">
        <w:t>207</w:t>
      </w:r>
      <w:r w:rsidR="00D3772B">
        <w:t>­</w:t>
      </w:r>
      <w:r w:rsidRPr="00A61195">
        <w:t>08</w:t>
      </w:r>
      <w:r w:rsidR="00D3772B">
        <w:t>­</w:t>
      </w:r>
      <w:r w:rsidRPr="00A61195">
        <w:t xml:space="preserve">9) (FPR 0,1), </w:t>
      </w:r>
      <w:proofErr w:type="spellStart"/>
      <w:r w:rsidRPr="00A61195">
        <w:t>benzo</w:t>
      </w:r>
      <w:proofErr w:type="spellEnd"/>
      <w:r w:rsidRPr="00A61195">
        <w:t>(</w:t>
      </w:r>
      <w:proofErr w:type="spellStart"/>
      <w:r w:rsidRPr="00A61195">
        <w:t>g,h,i</w:t>
      </w:r>
      <w:proofErr w:type="spellEnd"/>
      <w:r w:rsidRPr="00A61195">
        <w:t>)</w:t>
      </w:r>
      <w:proofErr w:type="spellStart"/>
      <w:r w:rsidRPr="00A61195">
        <w:t>perilen</w:t>
      </w:r>
      <w:proofErr w:type="spellEnd"/>
      <w:r w:rsidRPr="00A61195">
        <w:t xml:space="preserve"> (număr CAS 191-24-2) (FPR 0), </w:t>
      </w:r>
      <w:proofErr w:type="spellStart"/>
      <w:r w:rsidRPr="00A61195">
        <w:t>indeno</w:t>
      </w:r>
      <w:proofErr w:type="spellEnd"/>
      <w:r w:rsidRPr="00A61195">
        <w:t>(1,2,3-cd)</w:t>
      </w:r>
      <w:proofErr w:type="spellStart"/>
      <w:r w:rsidRPr="00A61195">
        <w:t>piren</w:t>
      </w:r>
      <w:proofErr w:type="spellEnd"/>
      <w:r w:rsidRPr="00A61195">
        <w:t xml:space="preserve"> (număr CAS 193-39-5) (FPR 0,1), </w:t>
      </w:r>
      <w:proofErr w:type="spellStart"/>
      <w:r w:rsidRPr="00A61195">
        <w:t>crisen</w:t>
      </w:r>
      <w:proofErr w:type="spellEnd"/>
      <w:r w:rsidRPr="00A61195">
        <w:t xml:space="preserve"> (număr CAS 218-01-9) (FPR 0,01), </w:t>
      </w:r>
      <w:proofErr w:type="spellStart"/>
      <w:r w:rsidRPr="00A61195">
        <w:t>benzo</w:t>
      </w:r>
      <w:proofErr w:type="spellEnd"/>
      <w:r w:rsidRPr="00A61195">
        <w:t xml:space="preserve">(a)antracen (număr CAS 56-55-3) (FPR 0,1), </w:t>
      </w:r>
      <w:proofErr w:type="spellStart"/>
      <w:r w:rsidRPr="00A61195">
        <w:t>dibenz</w:t>
      </w:r>
      <w:proofErr w:type="spellEnd"/>
      <w:r w:rsidRPr="00A61195">
        <w:t>(</w:t>
      </w:r>
      <w:proofErr w:type="spellStart"/>
      <w:r w:rsidRPr="00A61195">
        <w:t>a,h</w:t>
      </w:r>
      <w:proofErr w:type="spellEnd"/>
      <w:r w:rsidRPr="00A61195">
        <w:t xml:space="preserve">)antracen (număr CAS 53-70-3) (FPR 1) și </w:t>
      </w:r>
      <w:proofErr w:type="spellStart"/>
      <w:r w:rsidRPr="00A61195">
        <w:t>fluoranten</w:t>
      </w:r>
      <w:proofErr w:type="spellEnd"/>
      <w:r w:rsidRPr="00A61195">
        <w:t xml:space="preserve"> (număr CAS 206-44-0) (FPR 0,01). </w:t>
      </w:r>
      <w:proofErr w:type="spellStart"/>
      <w:r w:rsidRPr="00A61195">
        <w:t>Fluorantenul</w:t>
      </w:r>
      <w:proofErr w:type="spellEnd"/>
      <w:r w:rsidRPr="00A61195">
        <w:t xml:space="preserve"> apare separat și în rândul 15. HAP-urile antracen și naftalină sunt incluse în listă doar separat, deoarece nu este disponibil niciun FPR.</w:t>
      </w:r>
    </w:p>
    <w:p w14:paraId="6F7BE8FC" w14:textId="395BE141" w:rsidR="00647D0C" w:rsidRPr="00A61195" w:rsidRDefault="00647D0C" w:rsidP="00A61195">
      <w:pPr>
        <w:pStyle w:val="Point0"/>
        <w:spacing w:before="0" w:after="0" w:line="240" w:lineRule="auto"/>
        <w:ind w:left="851" w:hanging="851"/>
      </w:pPr>
      <w:r w:rsidRPr="00A61195">
        <w:t>(</w:t>
      </w:r>
      <w:r w:rsidRPr="00D3772B">
        <w:rPr>
          <w:b/>
          <w:bCs/>
          <w:vertAlign w:val="superscript"/>
        </w:rPr>
        <w:t>17</w:t>
      </w:r>
      <w:r w:rsidRPr="00A61195">
        <w:t>)</w:t>
      </w:r>
      <w:r w:rsidRPr="00A61195">
        <w:tab/>
        <w:t xml:space="preserve">Pentru grupul de hidrocarburi aromatice policiclice (HAP) (nr. 28), SCM-urile pentru </w:t>
      </w:r>
      <w:proofErr w:type="spellStart"/>
      <w:r w:rsidRPr="00A61195">
        <w:t>biotă</w:t>
      </w:r>
      <w:proofErr w:type="spellEnd"/>
      <w:r w:rsidRPr="00A61195">
        <w:t xml:space="preserve"> se referă la suma concentrațiilor a opt din cele nouă HAP-uri enumerate în nota de subsol 16 și exprimate ca echivalenți ai </w:t>
      </w:r>
      <w:proofErr w:type="spellStart"/>
      <w:r w:rsidRPr="00A61195">
        <w:t>benzo</w:t>
      </w:r>
      <w:proofErr w:type="spellEnd"/>
      <w:r w:rsidRPr="00A61195">
        <w:t>(a)</w:t>
      </w:r>
      <w:proofErr w:type="spellStart"/>
      <w:r w:rsidRPr="00A61195">
        <w:t>pirenului</w:t>
      </w:r>
      <w:proofErr w:type="spellEnd"/>
      <w:r w:rsidRPr="00A61195">
        <w:t xml:space="preserve"> pe baza potențelor cancerigene ale substanțelor în raport cu cea a </w:t>
      </w:r>
      <w:proofErr w:type="spellStart"/>
      <w:r w:rsidRPr="00A61195">
        <w:t>benzo</w:t>
      </w:r>
      <w:proofErr w:type="spellEnd"/>
      <w:r w:rsidRPr="00A61195">
        <w:t>(a)</w:t>
      </w:r>
      <w:proofErr w:type="spellStart"/>
      <w:r w:rsidRPr="00A61195">
        <w:t>pirenului</w:t>
      </w:r>
      <w:proofErr w:type="spellEnd"/>
      <w:r w:rsidRPr="00A61195">
        <w:t xml:space="preserve">, și anume a FPR-urilor din nota de subsol 16. Nu este necesar să se măsoare </w:t>
      </w:r>
      <w:proofErr w:type="spellStart"/>
      <w:r w:rsidRPr="00A61195">
        <w:t>benzo</w:t>
      </w:r>
      <w:proofErr w:type="spellEnd"/>
      <w:r w:rsidRPr="00A61195">
        <w:t>(</w:t>
      </w:r>
      <w:proofErr w:type="spellStart"/>
      <w:r w:rsidRPr="00A61195">
        <w:t>g,h,i</w:t>
      </w:r>
      <w:proofErr w:type="spellEnd"/>
      <w:r w:rsidRPr="00A61195">
        <w:t>)</w:t>
      </w:r>
      <w:proofErr w:type="spellStart"/>
      <w:r w:rsidRPr="00A61195">
        <w:t>perilenul</w:t>
      </w:r>
      <w:proofErr w:type="spellEnd"/>
      <w:r w:rsidRPr="00A61195">
        <w:t xml:space="preserve"> din </w:t>
      </w:r>
      <w:proofErr w:type="spellStart"/>
      <w:r w:rsidRPr="00A61195">
        <w:t>biotă</w:t>
      </w:r>
      <w:proofErr w:type="spellEnd"/>
      <w:r w:rsidRPr="00A61195">
        <w:t xml:space="preserve"> pentru a se stabili conformitatea cu SCM-urile generale pentru </w:t>
      </w:r>
      <w:proofErr w:type="spellStart"/>
      <w:r w:rsidRPr="00A61195">
        <w:t>biotă</w:t>
      </w:r>
      <w:proofErr w:type="spellEnd"/>
      <w:r w:rsidRPr="00A61195">
        <w:t>.</w:t>
      </w:r>
      <w:r w:rsidRPr="00A61195">
        <w:rPr>
          <w:i/>
        </w:rPr>
        <w:t xml:space="preserve"> </w:t>
      </w:r>
      <w:r w:rsidRPr="00A61195">
        <w:t xml:space="preserve">SCM-urile pentru </w:t>
      </w:r>
      <w:proofErr w:type="spellStart"/>
      <w:r w:rsidRPr="00A61195">
        <w:t>biotă</w:t>
      </w:r>
      <w:proofErr w:type="spellEnd"/>
      <w:r w:rsidRPr="00A61195">
        <w:t xml:space="preserve"> pentru </w:t>
      </w:r>
      <w:proofErr w:type="spellStart"/>
      <w:r w:rsidRPr="00A61195">
        <w:t>fluoranten</w:t>
      </w:r>
      <w:proofErr w:type="spellEnd"/>
      <w:r w:rsidRPr="00A61195">
        <w:t xml:space="preserve"> din rândul 15 trebuie, de asemenea, să fie respectate.</w:t>
      </w:r>
    </w:p>
    <w:p w14:paraId="7FA607C7" w14:textId="77777777" w:rsidR="00647D0C" w:rsidRPr="00A61195" w:rsidRDefault="00647D0C" w:rsidP="00A61195">
      <w:pPr>
        <w:pStyle w:val="Point0"/>
        <w:spacing w:before="0" w:after="0" w:line="240" w:lineRule="auto"/>
        <w:ind w:left="851" w:hanging="851"/>
      </w:pPr>
      <w:r w:rsidRPr="00A61195">
        <w:t>(</w:t>
      </w:r>
      <w:r w:rsidRPr="00D3772B">
        <w:rPr>
          <w:b/>
          <w:bCs/>
          <w:vertAlign w:val="superscript"/>
        </w:rPr>
        <w:t>1</w:t>
      </w:r>
      <w:r w:rsidRPr="00A61195">
        <w:rPr>
          <w:vertAlign w:val="superscript"/>
        </w:rPr>
        <w:t>8</w:t>
      </w:r>
      <w:r w:rsidRPr="00A61195">
        <w:t>)</w:t>
      </w:r>
      <w:r w:rsidRPr="00A61195">
        <w:tab/>
        <w:t xml:space="preserve">Compuși </w:t>
      </w:r>
      <w:proofErr w:type="spellStart"/>
      <w:r w:rsidRPr="00A61195">
        <w:t>tributilstanici</w:t>
      </w:r>
      <w:proofErr w:type="spellEnd"/>
      <w:r w:rsidRPr="00A61195">
        <w:t xml:space="preserve">, inclusiv cationul </w:t>
      </w:r>
      <w:proofErr w:type="spellStart"/>
      <w:r w:rsidRPr="00A61195">
        <w:t>tributilstaniu</w:t>
      </w:r>
      <w:proofErr w:type="spellEnd"/>
      <w:r w:rsidRPr="00A61195">
        <w:t xml:space="preserve"> (număr CAS 36643-28-4).</w:t>
      </w:r>
    </w:p>
    <w:p w14:paraId="1F85545B" w14:textId="77777777" w:rsidR="00647D0C" w:rsidRPr="00A61195" w:rsidRDefault="00647D0C" w:rsidP="00A61195">
      <w:pPr>
        <w:pStyle w:val="Point0"/>
        <w:spacing w:before="0" w:after="0" w:line="240" w:lineRule="auto"/>
        <w:ind w:left="851" w:hanging="851"/>
      </w:pPr>
      <w:r w:rsidRPr="00A61195">
        <w:t>(</w:t>
      </w:r>
      <w:r w:rsidRPr="00D3772B">
        <w:rPr>
          <w:b/>
          <w:bCs/>
          <w:vertAlign w:val="superscript"/>
        </w:rPr>
        <w:t>19</w:t>
      </w:r>
      <w:r w:rsidRPr="00A61195">
        <w:t>)</w:t>
      </w:r>
      <w:r w:rsidRPr="00A61195">
        <w:tab/>
        <w:t>SCM pentru sedimente.</w:t>
      </w:r>
    </w:p>
    <w:p w14:paraId="39852038" w14:textId="77777777" w:rsidR="00647D0C" w:rsidRPr="00A61195" w:rsidRDefault="00647D0C" w:rsidP="00A61195">
      <w:pPr>
        <w:pStyle w:val="Point0"/>
        <w:spacing w:before="0" w:after="0" w:line="240" w:lineRule="auto"/>
        <w:ind w:left="851" w:hanging="851"/>
      </w:pPr>
      <w:r w:rsidRPr="00A61195">
        <w:t>(</w:t>
      </w:r>
      <w:r w:rsidRPr="00D3772B">
        <w:rPr>
          <w:b/>
          <w:bCs/>
          <w:vertAlign w:val="superscript"/>
        </w:rPr>
        <w:t>20</w:t>
      </w:r>
      <w:r w:rsidRPr="00A61195">
        <w:t>)</w:t>
      </w:r>
      <w:r w:rsidRPr="00A61195">
        <w:tab/>
        <w:t>Nu sunt disponibile suficiente informații pentru a se stabili un SCM-CMA pentru aceste substanțe.</w:t>
      </w:r>
    </w:p>
    <w:p w14:paraId="5901F2A9" w14:textId="6F5F63D0" w:rsidR="00647D0C" w:rsidRPr="00A61195" w:rsidRDefault="00647D0C" w:rsidP="00A61195">
      <w:pPr>
        <w:spacing w:before="0" w:after="160" w:line="259" w:lineRule="auto"/>
        <w:rPr>
          <w:rFonts w:asciiTheme="majorBidi" w:eastAsia="Calibri" w:hAnsiTheme="majorBidi" w:cstheme="majorBidi"/>
          <w:szCs w:val="24"/>
        </w:rPr>
      </w:pPr>
      <w:r w:rsidRPr="00A61195">
        <w:rPr>
          <w:rFonts w:asciiTheme="majorBidi" w:eastAsia="Calibri" w:hAnsiTheme="majorBidi" w:cstheme="majorBidi"/>
          <w:szCs w:val="24"/>
        </w:rPr>
        <w:br w:type="page"/>
      </w:r>
    </w:p>
    <w:p w14:paraId="3AC721CD" w14:textId="77777777" w:rsidR="00647D0C" w:rsidRPr="00A61195" w:rsidRDefault="00647D0C" w:rsidP="00A61195">
      <w:pPr>
        <w:pStyle w:val="Point0"/>
        <w:spacing w:before="0" w:after="0" w:line="240" w:lineRule="auto"/>
        <w:ind w:left="851" w:hanging="851"/>
      </w:pPr>
      <w:r w:rsidRPr="00A61195">
        <w:lastRenderedPageBreak/>
        <w:t>(</w:t>
      </w:r>
      <w:r w:rsidRPr="00D3772B">
        <w:rPr>
          <w:b/>
          <w:bCs/>
          <w:vertAlign w:val="superscript"/>
        </w:rPr>
        <w:t>21</w:t>
      </w:r>
      <w:r w:rsidRPr="00A61195">
        <w:t>)</w:t>
      </w:r>
      <w:r w:rsidRPr="00A61195">
        <w:tab/>
        <w:t>Sunt vizați următorii compuși:</w:t>
      </w:r>
    </w:p>
    <w:p w14:paraId="0468783D" w14:textId="77EBE316" w:rsidR="00647D0C" w:rsidRPr="00A61195" w:rsidRDefault="00647D0C" w:rsidP="00A61195">
      <w:pPr>
        <w:pStyle w:val="Text1"/>
        <w:spacing w:before="0" w:after="0" w:line="240" w:lineRule="auto"/>
        <w:ind w:left="851"/>
        <w:rPr>
          <w:rFonts w:eastAsia="Calibri" w:cstheme="majorBidi"/>
          <w:szCs w:val="24"/>
        </w:rPr>
      </w:pPr>
      <w:r w:rsidRPr="00A61195">
        <w:t xml:space="preserve">7 </w:t>
      </w:r>
      <w:proofErr w:type="spellStart"/>
      <w:r w:rsidRPr="00A61195">
        <w:t>dibenzoparadioxine</w:t>
      </w:r>
      <w:proofErr w:type="spellEnd"/>
      <w:r w:rsidRPr="00A61195">
        <w:t xml:space="preserve"> </w:t>
      </w:r>
      <w:proofErr w:type="spellStart"/>
      <w:r w:rsidRPr="00A61195">
        <w:t>policlorurate</w:t>
      </w:r>
      <w:proofErr w:type="spellEnd"/>
      <w:r w:rsidRPr="00A61195">
        <w:t xml:space="preserve"> (PCDD): 2,3,7,8-T4CDD (număr CAS 1746-01-6, număr UE 217-122-7), 1,2,3,7,8-P5CDD (număr CAS</w:t>
      </w:r>
      <w:r w:rsidR="00D3772B">
        <w:t> </w:t>
      </w:r>
      <w:r w:rsidRPr="00A61195">
        <w:t>40321-76-4), 1,2,3,4,7,8-H6CDD (număr CAS 39227-28-6), 1,2,3,6,7,8-H6CDD (număr CAS 57653-85-7), 1,2,3,7,8,9-H6CDD (număr CAS 19408-74-3), 1,2,3,4,6,7,8-H7CDD (număr CAS 35822-46-9), 1,2,3,4,6,7,8,9-O8CDD (număr CAS 3268-87-9);</w:t>
      </w:r>
    </w:p>
    <w:p w14:paraId="36D96991" w14:textId="06DD894C" w:rsidR="00647D0C" w:rsidRPr="00A61195" w:rsidRDefault="00647D0C" w:rsidP="00A61195">
      <w:pPr>
        <w:pStyle w:val="Text1"/>
        <w:spacing w:before="0" w:after="0" w:line="240" w:lineRule="auto"/>
        <w:ind w:left="851"/>
        <w:rPr>
          <w:rFonts w:eastAsia="Calibri" w:cstheme="majorBidi"/>
          <w:szCs w:val="24"/>
        </w:rPr>
      </w:pPr>
      <w:r w:rsidRPr="00A61195">
        <w:t xml:space="preserve">10 </w:t>
      </w:r>
      <w:proofErr w:type="spellStart"/>
      <w:r w:rsidRPr="00A61195">
        <w:t>dibenzofurani</w:t>
      </w:r>
      <w:proofErr w:type="spellEnd"/>
      <w:r w:rsidRPr="00A61195">
        <w:t xml:space="preserve"> </w:t>
      </w:r>
      <w:proofErr w:type="spellStart"/>
      <w:r w:rsidRPr="00A61195">
        <w:t>policlorurați</w:t>
      </w:r>
      <w:proofErr w:type="spellEnd"/>
      <w:r w:rsidRPr="00A61195">
        <w:t xml:space="preserve"> (PCDF): 2,3,7,8-T4CDF (număr CAS 51207-31-9), 1,2,3,7,8-P5CDF (număr CAS 57117-41-6), 2,3,4,7,8</w:t>
      </w:r>
      <w:r w:rsidR="00D3772B">
        <w:t>­</w:t>
      </w:r>
      <w:r w:rsidRPr="00A61195">
        <w:t>P5CDF (număr CAS 57117-31-4), 1,2,3,4,7,8-H6CDF (număr CAS 70648-26-9), 1,2,3,6,7,8-H6CDF (număr CAS 57117-44-9), 1,2,3,7,8,9-H6CDF (număr CAS 72918-21-9), 2,3,4,6,7,8-H6CDF (număr CAS 60851-34-5), 1,2,3,4,6,7,8-H7CDF (număr CAS 67562-39-4), 1,2,3,4,7,8,9-H7CDF (număr CAS 55673-89-7), 1,2,3,4,6,7,8,9-O8CDF (număr CAS 39001-02-0);</w:t>
      </w:r>
    </w:p>
    <w:p w14:paraId="4DB3BC5D" w14:textId="2F7B27BA" w:rsidR="00647D0C" w:rsidRPr="00A61195" w:rsidRDefault="00647D0C" w:rsidP="00A61195">
      <w:pPr>
        <w:pStyle w:val="Text1"/>
        <w:spacing w:before="0" w:after="0" w:line="240" w:lineRule="auto"/>
        <w:ind w:left="851"/>
        <w:rPr>
          <w:rFonts w:eastAsia="Calibri" w:cstheme="majorBidi"/>
          <w:szCs w:val="24"/>
        </w:rPr>
      </w:pPr>
      <w:r w:rsidRPr="00A61195">
        <w:t xml:space="preserve">12 </w:t>
      </w:r>
      <w:proofErr w:type="spellStart"/>
      <w:r w:rsidRPr="00A61195">
        <w:t>bifenili</w:t>
      </w:r>
      <w:proofErr w:type="spellEnd"/>
      <w:r w:rsidRPr="00A61195">
        <w:t xml:space="preserve"> </w:t>
      </w:r>
      <w:proofErr w:type="spellStart"/>
      <w:r w:rsidRPr="00A61195">
        <w:t>policlorurați</w:t>
      </w:r>
      <w:proofErr w:type="spellEnd"/>
      <w:r w:rsidRPr="00A61195">
        <w:t xml:space="preserve"> asemănători </w:t>
      </w:r>
      <w:proofErr w:type="spellStart"/>
      <w:r w:rsidRPr="00A61195">
        <w:t>dioxinelor</w:t>
      </w:r>
      <w:proofErr w:type="spellEnd"/>
      <w:r w:rsidRPr="00A61195">
        <w:t xml:space="preserve"> (PCB-DL): 3,3’,4,4’-T4CB (PCB 77, număr CAS 32598-13-3), 3,3’,4’,5-T4CB (PCB 81, număr CAS 70362-50-4), 2,3,3',4,4'-P5CB (PCB 105, număr CAS 32598-14-4), 2,3,4,4',5-P5CB (PCB 114, număr CAS 74472-37-0), 2,3',4,4',5-P5CB (PCB 118, număr CAS 31508-00-6), 2,3',4,4',5'-P5CB (PCB 123, număr CAS 65510-44-3), 3,3’,4,4’,5-P5CB (PCB 126, număr CAS 57465-28-8), 2,3,3',4,4',5-H6CB (PCB 156, număr CAS 38380-08-4), 2,3,3',4,4',5'-H6CB (PCB 157, număr CAS 69782-90-7), 2,3',4,4',5,5'-H6CB (PCB 167, număr CAS 52663-72-6), 3,3’,4,4’,5,5’-H6CB (PCB 169, număr CAS 32774-16-6), 2,3,3',4,4',5,5'-H7CB (PCB</w:t>
      </w:r>
      <w:r w:rsidR="00D3772B">
        <w:t> </w:t>
      </w:r>
      <w:r w:rsidRPr="00A61195">
        <w:t>189, număr CAS 39635-31-9).</w:t>
      </w:r>
    </w:p>
    <w:p w14:paraId="034E09B7" w14:textId="14DD3F53" w:rsidR="00647D0C" w:rsidRPr="00A61195" w:rsidRDefault="00647D0C" w:rsidP="00A61195">
      <w:pPr>
        <w:pStyle w:val="Point0"/>
        <w:spacing w:before="0" w:after="0" w:line="240" w:lineRule="auto"/>
        <w:ind w:left="851" w:hanging="851"/>
      </w:pPr>
      <w:r w:rsidRPr="00A61195">
        <w:t>(</w:t>
      </w:r>
      <w:r w:rsidRPr="00D3772B">
        <w:rPr>
          <w:b/>
          <w:bCs/>
          <w:vertAlign w:val="superscript"/>
        </w:rPr>
        <w:t>22</w:t>
      </w:r>
      <w:r w:rsidRPr="00A61195">
        <w:t>)</w:t>
      </w:r>
      <w:r w:rsidRPr="00A61195">
        <w:tab/>
        <w:t xml:space="preserve">Pentru grupul </w:t>
      </w:r>
      <w:proofErr w:type="spellStart"/>
      <w:r w:rsidRPr="00A61195">
        <w:t>dioxinelor</w:t>
      </w:r>
      <w:proofErr w:type="spellEnd"/>
      <w:r w:rsidRPr="00A61195">
        <w:t xml:space="preserve"> și al compușilor asemănători </w:t>
      </w:r>
      <w:proofErr w:type="spellStart"/>
      <w:r w:rsidRPr="00A61195">
        <w:t>dioxinelor</w:t>
      </w:r>
      <w:proofErr w:type="spellEnd"/>
      <w:r w:rsidRPr="00A61195">
        <w:t xml:space="preserve"> (nr. 37), SCM-urile pentru </w:t>
      </w:r>
      <w:proofErr w:type="spellStart"/>
      <w:r w:rsidRPr="00A61195">
        <w:t>biotă</w:t>
      </w:r>
      <w:proofErr w:type="spellEnd"/>
      <w:r w:rsidRPr="00A61195">
        <w:t xml:space="preserve"> se referă la suma concentrațiilor substanțelor enumerate în nota de subsol 21 și exprimate ca echivalenți toxici pe baza factorilor de echivalență toxică din 2005 ai Organizației Mondiale a Sănătății.</w:t>
      </w:r>
    </w:p>
    <w:p w14:paraId="63D7615C" w14:textId="2FA4EE19" w:rsidR="00647D0C" w:rsidRPr="00A61195" w:rsidRDefault="00647D0C" w:rsidP="00A61195">
      <w:pPr>
        <w:pStyle w:val="Point0"/>
        <w:spacing w:before="0" w:after="0" w:line="240" w:lineRule="auto"/>
        <w:ind w:left="851" w:hanging="851"/>
      </w:pPr>
      <w:r w:rsidRPr="00A61195">
        <w:t>(</w:t>
      </w:r>
      <w:r w:rsidRPr="00D3772B">
        <w:rPr>
          <w:b/>
          <w:bCs/>
          <w:vertAlign w:val="superscript"/>
        </w:rPr>
        <w:t>23</w:t>
      </w:r>
      <w:r w:rsidRPr="00A61195">
        <w:t>)</w:t>
      </w:r>
      <w:r w:rsidRPr="00A61195">
        <w:tab/>
        <w:t xml:space="preserve">Numărul CAS 52315-07-8 se referă la un amestec de izomeri de </w:t>
      </w:r>
      <w:proofErr w:type="spellStart"/>
      <w:r w:rsidRPr="00A61195">
        <w:t>cipermetrin</w:t>
      </w:r>
      <w:proofErr w:type="spellEnd"/>
      <w:r w:rsidRPr="00A61195">
        <w:t>, alfa-</w:t>
      </w:r>
      <w:proofErr w:type="spellStart"/>
      <w:r w:rsidRPr="00A61195">
        <w:t>cipermetrin</w:t>
      </w:r>
      <w:proofErr w:type="spellEnd"/>
      <w:r w:rsidRPr="00A61195">
        <w:t xml:space="preserve"> (număr CAS 67375-30-8, număr UE</w:t>
      </w:r>
      <w:r w:rsidR="00D3772B">
        <w:t> </w:t>
      </w:r>
      <w:r w:rsidRPr="00A61195">
        <w:t>257</w:t>
      </w:r>
      <w:r w:rsidR="00D3772B">
        <w:t>­</w:t>
      </w:r>
      <w:r w:rsidRPr="00A61195">
        <w:t>842</w:t>
      </w:r>
      <w:r w:rsidR="00D3772B">
        <w:t>­</w:t>
      </w:r>
      <w:r w:rsidRPr="00A61195">
        <w:t>9), beta-</w:t>
      </w:r>
      <w:proofErr w:type="spellStart"/>
      <w:r w:rsidRPr="00A61195">
        <w:t>cipermetrin</w:t>
      </w:r>
      <w:proofErr w:type="spellEnd"/>
      <w:r w:rsidRPr="00A61195">
        <w:t xml:space="preserve"> (număr CAS 65731-84-2, număr UE 265-898-0), teta-</w:t>
      </w:r>
      <w:proofErr w:type="spellStart"/>
      <w:r w:rsidRPr="00A61195">
        <w:t>cipermetrin</w:t>
      </w:r>
      <w:proofErr w:type="spellEnd"/>
      <w:r w:rsidRPr="00A61195">
        <w:t xml:space="preserve"> (număr CAS 71691-59-1) și </w:t>
      </w:r>
      <w:proofErr w:type="spellStart"/>
      <w:r w:rsidRPr="00A61195">
        <w:t>zeta</w:t>
      </w:r>
      <w:r w:rsidR="0039432B">
        <w:t>­</w:t>
      </w:r>
      <w:r w:rsidRPr="00A61195">
        <w:t>cipermetrin</w:t>
      </w:r>
      <w:proofErr w:type="spellEnd"/>
      <w:r w:rsidRPr="00A61195">
        <w:t xml:space="preserve"> (număr CAS 1315501-18-8, număr UE 257-842-9).</w:t>
      </w:r>
    </w:p>
    <w:p w14:paraId="58BEE2E2" w14:textId="77777777" w:rsidR="00647D0C" w:rsidRPr="00A61195" w:rsidRDefault="00647D0C" w:rsidP="00A61195">
      <w:pPr>
        <w:pStyle w:val="Point0"/>
        <w:spacing w:before="0" w:after="0" w:line="240" w:lineRule="auto"/>
        <w:ind w:left="851" w:hanging="851"/>
      </w:pPr>
      <w:r w:rsidRPr="00A61195">
        <w:t>(</w:t>
      </w:r>
      <w:r w:rsidRPr="00D3772B">
        <w:rPr>
          <w:b/>
          <w:bCs/>
          <w:vertAlign w:val="superscript"/>
        </w:rPr>
        <w:t>24</w:t>
      </w:r>
      <w:r w:rsidRPr="00A61195">
        <w:t>)</w:t>
      </w:r>
      <w:r w:rsidRPr="00A61195">
        <w:tab/>
        <w:t>Sunt vizați 1,3,5,7,9,11-hexabromociclododecanul (număr CAS 25637-99-4, număr UE 247-148-4), 1,2,5,6,9,10-hexabromociclododecanul (număr CAS 3194-55-6, număr UE 221-695-9), α-</w:t>
      </w:r>
      <w:proofErr w:type="spellStart"/>
      <w:r w:rsidRPr="00A61195">
        <w:t>hexabromociclododecanul</w:t>
      </w:r>
      <w:proofErr w:type="spellEnd"/>
      <w:r w:rsidRPr="00A61195">
        <w:t xml:space="preserve"> (număr CAS 134237-50-6), β-</w:t>
      </w:r>
      <w:proofErr w:type="spellStart"/>
      <w:r w:rsidRPr="00A61195">
        <w:t>hexabromociclododecanul</w:t>
      </w:r>
      <w:proofErr w:type="spellEnd"/>
      <w:r w:rsidRPr="00A61195">
        <w:t xml:space="preserve"> (număr CAS 134237-51-7) și γ-</w:t>
      </w:r>
      <w:proofErr w:type="spellStart"/>
      <w:r w:rsidRPr="00A61195">
        <w:t>hexa</w:t>
      </w:r>
      <w:proofErr w:type="spellEnd"/>
      <w:r w:rsidRPr="00A61195">
        <w:t xml:space="preserve"> </w:t>
      </w:r>
      <w:proofErr w:type="spellStart"/>
      <w:r w:rsidRPr="00A61195">
        <w:t>bromociclododecanul</w:t>
      </w:r>
      <w:proofErr w:type="spellEnd"/>
      <w:r w:rsidRPr="00A61195">
        <w:t xml:space="preserve"> (număr CAS 134237-52-8).</w:t>
      </w:r>
    </w:p>
    <w:p w14:paraId="2E12EE7D" w14:textId="77777777" w:rsidR="00647D0C" w:rsidRPr="00A61195" w:rsidRDefault="00647D0C" w:rsidP="00647D0C">
      <w:pPr>
        <w:spacing w:before="0" w:after="160" w:line="259" w:lineRule="auto"/>
        <w:rPr>
          <w:rFonts w:asciiTheme="majorBidi" w:eastAsia="Calibri" w:hAnsiTheme="majorBidi" w:cstheme="majorBidi"/>
          <w:szCs w:val="24"/>
        </w:rPr>
      </w:pPr>
      <w:r w:rsidRPr="00A61195">
        <w:rPr>
          <w:rFonts w:asciiTheme="majorBidi" w:eastAsia="Calibri" w:hAnsiTheme="majorBidi" w:cstheme="majorBidi"/>
          <w:szCs w:val="24"/>
        </w:rPr>
        <w:br w:type="page"/>
      </w:r>
    </w:p>
    <w:p w14:paraId="27540AF4" w14:textId="77777777" w:rsidR="00647D0C" w:rsidRPr="00A61195" w:rsidRDefault="00647D0C" w:rsidP="00A61195">
      <w:pPr>
        <w:pStyle w:val="Point0"/>
        <w:spacing w:before="0" w:after="0" w:line="240" w:lineRule="auto"/>
        <w:ind w:left="851" w:hanging="851"/>
      </w:pPr>
      <w:r w:rsidRPr="00A61195">
        <w:lastRenderedPageBreak/>
        <w:t>(</w:t>
      </w:r>
      <w:r w:rsidRPr="00D3772B">
        <w:rPr>
          <w:b/>
          <w:bCs/>
          <w:vertAlign w:val="superscript"/>
        </w:rPr>
        <w:t>25</w:t>
      </w:r>
      <w:r w:rsidRPr="00A61195">
        <w:t>)</w:t>
      </w:r>
      <w:r w:rsidRPr="00A61195">
        <w:tab/>
        <w:t>Pentru apa dulce captată pentru prepararea de apă potabilă.</w:t>
      </w:r>
    </w:p>
    <w:p w14:paraId="5E34E870" w14:textId="77777777" w:rsidR="00647D0C" w:rsidRPr="00A61195" w:rsidRDefault="00647D0C" w:rsidP="00A61195">
      <w:pPr>
        <w:pStyle w:val="Point0"/>
        <w:spacing w:before="0" w:after="0" w:line="240" w:lineRule="auto"/>
        <w:ind w:left="851" w:hanging="851"/>
      </w:pPr>
      <w:r w:rsidRPr="00A61195">
        <w:t>(</w:t>
      </w:r>
      <w:r w:rsidRPr="00D3772B">
        <w:rPr>
          <w:b/>
          <w:bCs/>
          <w:vertAlign w:val="superscript"/>
        </w:rPr>
        <w:t>26</w:t>
      </w:r>
      <w:r w:rsidRPr="00A61195">
        <w:t>)</w:t>
      </w:r>
      <w:r w:rsidRPr="00A61195">
        <w:tab/>
        <w:t>Pentru apa dulce care nu este captată pentru prepararea de apă potabilă.</w:t>
      </w:r>
    </w:p>
    <w:p w14:paraId="2EC5FA90" w14:textId="77777777" w:rsidR="00647D0C" w:rsidRPr="00A61195" w:rsidRDefault="00647D0C" w:rsidP="00A61195">
      <w:pPr>
        <w:pStyle w:val="Point0"/>
        <w:spacing w:before="0" w:after="0" w:line="240" w:lineRule="auto"/>
        <w:ind w:left="851" w:hanging="851"/>
      </w:pPr>
      <w:r w:rsidRPr="00A61195">
        <w:t>(</w:t>
      </w:r>
      <w:r w:rsidRPr="00D3772B">
        <w:rPr>
          <w:b/>
          <w:bCs/>
          <w:vertAlign w:val="superscript"/>
        </w:rPr>
        <w:t>27</w:t>
      </w:r>
      <w:r w:rsidRPr="00A61195">
        <w:t>)</w:t>
      </w:r>
      <w:r w:rsidRPr="00A61195">
        <w:tab/>
        <w:t>Sunt vizați următorii compuși, enumerați alături de numărul CAS, numărul UE și factorul de potență relativă (FPR):</w:t>
      </w:r>
    </w:p>
    <w:p w14:paraId="7C2A3309" w14:textId="018B1605" w:rsidR="00647D0C" w:rsidRPr="00A61195" w:rsidRDefault="00647D0C" w:rsidP="00A61195">
      <w:pPr>
        <w:pStyle w:val="Text1"/>
        <w:spacing w:before="0" w:after="0" w:line="240" w:lineRule="auto"/>
        <w:ind w:left="851"/>
        <w:rPr>
          <w:rFonts w:eastAsia="Calibri" w:cstheme="majorBidi"/>
          <w:szCs w:val="24"/>
        </w:rPr>
      </w:pPr>
      <w:r w:rsidRPr="00A61195">
        <w:t xml:space="preserve">Acid </w:t>
      </w:r>
      <w:proofErr w:type="spellStart"/>
      <w:r w:rsidRPr="00A61195">
        <w:t>perfluorooctanoic</w:t>
      </w:r>
      <w:proofErr w:type="spellEnd"/>
      <w:r w:rsidRPr="00A61195">
        <w:t xml:space="preserve"> (PFOA) (număr CAS 335-67-1, UE 206-397-9) (FPR 1), acid </w:t>
      </w:r>
      <w:proofErr w:type="spellStart"/>
      <w:r w:rsidRPr="00A61195">
        <w:t>perfluorooctansulfonic</w:t>
      </w:r>
      <w:proofErr w:type="spellEnd"/>
      <w:r w:rsidRPr="00A61195">
        <w:t xml:space="preserve"> (PFOS) (număr CAS 1763-23-1, UE 217-179-8) (FPR 2), acid </w:t>
      </w:r>
      <w:proofErr w:type="spellStart"/>
      <w:r w:rsidRPr="00A61195">
        <w:t>perfluorohexansulfonic</w:t>
      </w:r>
      <w:proofErr w:type="spellEnd"/>
      <w:r w:rsidRPr="00A61195">
        <w:t xml:space="preserve"> (</w:t>
      </w:r>
      <w:proofErr w:type="spellStart"/>
      <w:r w:rsidRPr="00A61195">
        <w:t>PFHxS</w:t>
      </w:r>
      <w:proofErr w:type="spellEnd"/>
      <w:r w:rsidRPr="00A61195">
        <w:t xml:space="preserve">) (număr CAS 355-46-4, UE 206-587-1) (FPR 0,6), acid </w:t>
      </w:r>
      <w:proofErr w:type="spellStart"/>
      <w:r w:rsidRPr="00A61195">
        <w:t>perfluorononanoic</w:t>
      </w:r>
      <w:proofErr w:type="spellEnd"/>
      <w:r w:rsidRPr="00A61195">
        <w:t xml:space="preserve"> (PFNA) (număr CAS 375-95-1, UE 206-801-3) (FPR 10), acid </w:t>
      </w:r>
      <w:proofErr w:type="spellStart"/>
      <w:r w:rsidRPr="00A61195">
        <w:t>perfluorobutansulfonic</w:t>
      </w:r>
      <w:proofErr w:type="spellEnd"/>
      <w:r w:rsidRPr="00A61195">
        <w:t xml:space="preserve"> (PFBS) (număr CAS 375-73-5, UE 206-793-1) (FPR</w:t>
      </w:r>
      <w:r w:rsidR="00D3772B">
        <w:t> </w:t>
      </w:r>
      <w:r w:rsidRPr="00A61195">
        <w:t xml:space="preserve">0,001), acid </w:t>
      </w:r>
      <w:proofErr w:type="spellStart"/>
      <w:r w:rsidRPr="00A61195">
        <w:t>perfluorohexanoic</w:t>
      </w:r>
      <w:proofErr w:type="spellEnd"/>
      <w:r w:rsidRPr="00A61195">
        <w:t xml:space="preserve"> (</w:t>
      </w:r>
      <w:proofErr w:type="spellStart"/>
      <w:r w:rsidRPr="00A61195">
        <w:t>PFHxA</w:t>
      </w:r>
      <w:proofErr w:type="spellEnd"/>
      <w:r w:rsidRPr="00A61195">
        <w:t xml:space="preserve">) (număr CAS 307-24-4, UE 206-196-6) (FPR 0,01), acid </w:t>
      </w:r>
      <w:proofErr w:type="spellStart"/>
      <w:r w:rsidRPr="00A61195">
        <w:t>perfluorobutanoic</w:t>
      </w:r>
      <w:proofErr w:type="spellEnd"/>
      <w:r w:rsidRPr="00A61195">
        <w:t xml:space="preserve"> (PFBA) (număr CAS 375-22-4, UE 206-786-3) (FPR 0,05), acid </w:t>
      </w:r>
      <w:proofErr w:type="spellStart"/>
      <w:r w:rsidRPr="00A61195">
        <w:t>perfluoropentanoic</w:t>
      </w:r>
      <w:proofErr w:type="spellEnd"/>
      <w:r w:rsidRPr="00A61195">
        <w:t xml:space="preserve"> (</w:t>
      </w:r>
      <w:proofErr w:type="spellStart"/>
      <w:r w:rsidRPr="00A61195">
        <w:t>PFPeA</w:t>
      </w:r>
      <w:proofErr w:type="spellEnd"/>
      <w:r w:rsidRPr="00A61195">
        <w:t xml:space="preserve">) (număr CAS 2706-90-3, UE 220-300-7) (FPR 0,03), acid </w:t>
      </w:r>
      <w:proofErr w:type="spellStart"/>
      <w:r w:rsidRPr="00A61195">
        <w:t>perfluoropentansulfonic</w:t>
      </w:r>
      <w:proofErr w:type="spellEnd"/>
      <w:r w:rsidRPr="00A61195">
        <w:t xml:space="preserve"> (</w:t>
      </w:r>
      <w:proofErr w:type="spellStart"/>
      <w:r w:rsidRPr="00A61195">
        <w:t>PFPeS</w:t>
      </w:r>
      <w:proofErr w:type="spellEnd"/>
      <w:r w:rsidRPr="00A61195">
        <w:t xml:space="preserve">) (număr CAS 2706-91-4, UE 220-301-2) (FPR 0,3005), acid </w:t>
      </w:r>
      <w:proofErr w:type="spellStart"/>
      <w:r w:rsidRPr="00A61195">
        <w:t>perfluorodecanoic</w:t>
      </w:r>
      <w:proofErr w:type="spellEnd"/>
      <w:r w:rsidRPr="00A61195">
        <w:t xml:space="preserve"> (PFDA) (număr CAS</w:t>
      </w:r>
      <w:r w:rsidR="00D3772B">
        <w:t> </w:t>
      </w:r>
      <w:r w:rsidRPr="00A61195">
        <w:t>335</w:t>
      </w:r>
      <w:r w:rsidR="00D3772B">
        <w:t>­</w:t>
      </w:r>
      <w:r w:rsidRPr="00A61195">
        <w:t>76</w:t>
      </w:r>
      <w:r w:rsidR="00D3772B">
        <w:t>­</w:t>
      </w:r>
      <w:r w:rsidRPr="00A61195">
        <w:t xml:space="preserve">2, UE 206-400-3) (FPR 7), acid </w:t>
      </w:r>
      <w:proofErr w:type="spellStart"/>
      <w:r w:rsidRPr="00A61195">
        <w:t>perfluorododecanoic</w:t>
      </w:r>
      <w:proofErr w:type="spellEnd"/>
      <w:r w:rsidRPr="00A61195">
        <w:t xml:space="preserve"> (</w:t>
      </w:r>
      <w:proofErr w:type="spellStart"/>
      <w:r w:rsidRPr="00A61195">
        <w:t>PFDoDA</w:t>
      </w:r>
      <w:proofErr w:type="spellEnd"/>
      <w:r w:rsidRPr="00A61195">
        <w:t xml:space="preserve"> sau </w:t>
      </w:r>
      <w:proofErr w:type="spellStart"/>
      <w:r w:rsidRPr="00A61195">
        <w:t>PFDoA</w:t>
      </w:r>
      <w:proofErr w:type="spellEnd"/>
      <w:r w:rsidRPr="00A61195">
        <w:t xml:space="preserve">) (număr CAS 307-55-1, UE 206-203-2) (FPR 3), acid </w:t>
      </w:r>
      <w:proofErr w:type="spellStart"/>
      <w:r w:rsidRPr="00A61195">
        <w:t>perfluoroundecanoic</w:t>
      </w:r>
      <w:proofErr w:type="spellEnd"/>
      <w:r w:rsidRPr="00A61195">
        <w:t xml:space="preserve"> (</w:t>
      </w:r>
      <w:proofErr w:type="spellStart"/>
      <w:r w:rsidRPr="00A61195">
        <w:t>PFUnDA</w:t>
      </w:r>
      <w:proofErr w:type="spellEnd"/>
      <w:r w:rsidRPr="00A61195">
        <w:t xml:space="preserve"> sau </w:t>
      </w:r>
      <w:proofErr w:type="spellStart"/>
      <w:r w:rsidRPr="00A61195">
        <w:t>PFUnA</w:t>
      </w:r>
      <w:proofErr w:type="spellEnd"/>
      <w:r w:rsidRPr="00A61195">
        <w:t xml:space="preserve">) (număr CAS 2058-94-8, UE 218-165-4) (FPR 4), acid </w:t>
      </w:r>
      <w:proofErr w:type="spellStart"/>
      <w:r w:rsidRPr="00A61195">
        <w:t>perfluoroheptanoic</w:t>
      </w:r>
      <w:proofErr w:type="spellEnd"/>
      <w:r w:rsidRPr="00A61195">
        <w:t xml:space="preserve"> (</w:t>
      </w:r>
      <w:proofErr w:type="spellStart"/>
      <w:r w:rsidRPr="00A61195">
        <w:t>PFHpA</w:t>
      </w:r>
      <w:proofErr w:type="spellEnd"/>
      <w:r w:rsidRPr="00A61195">
        <w:t>) (număr CAS</w:t>
      </w:r>
      <w:r w:rsidR="00D3772B">
        <w:t> </w:t>
      </w:r>
      <w:r w:rsidRPr="00A61195">
        <w:t xml:space="preserve">375-85-9, UE 206-798-9) (FPR 0,505), acid </w:t>
      </w:r>
      <w:proofErr w:type="spellStart"/>
      <w:r w:rsidRPr="00A61195">
        <w:t>perfluorotridecanoic</w:t>
      </w:r>
      <w:proofErr w:type="spellEnd"/>
      <w:r w:rsidRPr="00A61195">
        <w:t xml:space="preserve"> (</w:t>
      </w:r>
      <w:proofErr w:type="spellStart"/>
      <w:r w:rsidRPr="00A61195">
        <w:t>PFTrDA</w:t>
      </w:r>
      <w:proofErr w:type="spellEnd"/>
      <w:r w:rsidRPr="00A61195">
        <w:t xml:space="preserve">) (număr CAS 72629-94-8, UE 276-745-2) (FPR 1,65), acid </w:t>
      </w:r>
      <w:proofErr w:type="spellStart"/>
      <w:r w:rsidRPr="00A61195">
        <w:t>perfluoroheptansulfonic</w:t>
      </w:r>
      <w:proofErr w:type="spellEnd"/>
      <w:r w:rsidRPr="00A61195">
        <w:t xml:space="preserve"> (</w:t>
      </w:r>
      <w:proofErr w:type="spellStart"/>
      <w:r w:rsidRPr="00A61195">
        <w:t>PFHpS</w:t>
      </w:r>
      <w:proofErr w:type="spellEnd"/>
      <w:r w:rsidRPr="00A61195">
        <w:t xml:space="preserve">) (număr CAS 375-92-8, UE 206-800-8) (FPR 1,3), acid </w:t>
      </w:r>
      <w:proofErr w:type="spellStart"/>
      <w:r w:rsidRPr="00A61195">
        <w:t>perfluorodecansulfonic</w:t>
      </w:r>
      <w:proofErr w:type="spellEnd"/>
      <w:r w:rsidRPr="00A61195">
        <w:t xml:space="preserve"> (PFDS) (număr CAS</w:t>
      </w:r>
      <w:r w:rsidR="00D3772B">
        <w:t> </w:t>
      </w:r>
      <w:r w:rsidRPr="00A61195">
        <w:t>335</w:t>
      </w:r>
      <w:r w:rsidR="00D3772B">
        <w:t>­</w:t>
      </w:r>
      <w:r w:rsidRPr="00A61195">
        <w:t xml:space="preserve">77-3, UE 206-401-9) (FPR 2), acid </w:t>
      </w:r>
      <w:proofErr w:type="spellStart"/>
      <w:r w:rsidRPr="00A61195">
        <w:t>perfluorotetradecanoic</w:t>
      </w:r>
      <w:proofErr w:type="spellEnd"/>
      <w:r w:rsidRPr="00A61195">
        <w:t xml:space="preserve"> (</w:t>
      </w:r>
      <w:proofErr w:type="spellStart"/>
      <w:r w:rsidRPr="00A61195">
        <w:t>PFTeDA</w:t>
      </w:r>
      <w:proofErr w:type="spellEnd"/>
      <w:r w:rsidRPr="00A61195">
        <w:t xml:space="preserve">) (număr CAS 376-06-7, UE 206-803-4) (FPR 0,3), acid </w:t>
      </w:r>
      <w:proofErr w:type="spellStart"/>
      <w:r w:rsidRPr="00A61195">
        <w:t>perfluorohexadecanoic</w:t>
      </w:r>
      <w:proofErr w:type="spellEnd"/>
      <w:r w:rsidRPr="00A61195">
        <w:t xml:space="preserve"> (</w:t>
      </w:r>
      <w:proofErr w:type="spellStart"/>
      <w:r w:rsidRPr="00A61195">
        <w:t>PFHxDA</w:t>
      </w:r>
      <w:proofErr w:type="spellEnd"/>
      <w:r w:rsidRPr="00A61195">
        <w:t xml:space="preserve">) (număr CAS 67905-19-5, UE 267-638-1) (FPR 0,02), acid </w:t>
      </w:r>
      <w:proofErr w:type="spellStart"/>
      <w:r w:rsidRPr="00A61195">
        <w:t>perfluorooctadecanoic</w:t>
      </w:r>
      <w:proofErr w:type="spellEnd"/>
      <w:r w:rsidRPr="00A61195">
        <w:t xml:space="preserve"> (PFODA) (număr CAS</w:t>
      </w:r>
      <w:r w:rsidR="00D3772B">
        <w:t> </w:t>
      </w:r>
      <w:r w:rsidRPr="00A61195">
        <w:t>16517-11-6, UE 240-582-5) (FPR 0,02), acid 2,3,3,3-tetrafluoro-2-(</w:t>
      </w:r>
      <w:proofErr w:type="spellStart"/>
      <w:r w:rsidRPr="00A61195">
        <w:t>heptafluoropropoxi</w:t>
      </w:r>
      <w:proofErr w:type="spellEnd"/>
      <w:r w:rsidRPr="00A61195">
        <w:t>)</w:t>
      </w:r>
      <w:proofErr w:type="spellStart"/>
      <w:r w:rsidRPr="00A61195">
        <w:t>propionic</w:t>
      </w:r>
      <w:proofErr w:type="spellEnd"/>
      <w:r w:rsidRPr="00A61195">
        <w:t xml:space="preserve"> (HFPO-DA) (număr CAS 13252-13-6) (FPR 0,06), acid 2,2,3-trifluoro-3-(1,1,2,2,3,3-hexafluoro-3-(trifluorometoxi)propoxi)propionic (număr CAS 919005-14-4) (FPR 0,03), alcool 2-(</w:t>
      </w:r>
      <w:proofErr w:type="spellStart"/>
      <w:r w:rsidRPr="00A61195">
        <w:t>perfluorohexil</w:t>
      </w:r>
      <w:proofErr w:type="spellEnd"/>
      <w:r w:rsidRPr="00A61195">
        <w:t>)etilic (6:2 FTOH) (număr CAS 647-42-7, UE 211-477-1) (FPR 0,02), 2-(</w:t>
      </w:r>
      <w:proofErr w:type="spellStart"/>
      <w:r w:rsidRPr="00A61195">
        <w:t>perfluorooctil</w:t>
      </w:r>
      <w:proofErr w:type="spellEnd"/>
      <w:r w:rsidRPr="00A61195">
        <w:t>)etanol (8:2 FTOH) (număr CAS</w:t>
      </w:r>
      <w:r w:rsidR="00D3772B">
        <w:t> </w:t>
      </w:r>
      <w:r w:rsidRPr="00A61195">
        <w:t xml:space="preserve">678-39-7, UE 211-648-0) (FPR 0,04) și acid 2,2-difluoro-2-[(2,2,4,5-tetrafluoro-5-(trifluorometoxi)-1,3-dioxolan-4-il)oxi]acetic (C6O4) (număr CAS 1190931-41-9) (FPR 0,06), acid </w:t>
      </w:r>
      <w:proofErr w:type="spellStart"/>
      <w:r w:rsidRPr="00A61195">
        <w:t>trifluoroacetic</w:t>
      </w:r>
      <w:proofErr w:type="spellEnd"/>
      <w:r w:rsidRPr="00A61195">
        <w:t xml:space="preserve"> (TFA) (număr CAS 76-05-1, UE 200-929-3) (FPR 0,002).</w:t>
      </w:r>
    </w:p>
    <w:p w14:paraId="79F4E078" w14:textId="77777777" w:rsidR="00647D0C" w:rsidRPr="00A61195" w:rsidRDefault="00647D0C" w:rsidP="00647D0C">
      <w:pPr>
        <w:spacing w:before="0" w:after="0" w:line="240" w:lineRule="auto"/>
        <w:ind w:left="851" w:hanging="851"/>
        <w:jc w:val="both"/>
        <w:rPr>
          <w:rFonts w:asciiTheme="majorBidi" w:eastAsia="Calibri" w:hAnsiTheme="majorBidi" w:cstheme="majorBidi"/>
          <w:szCs w:val="24"/>
        </w:rPr>
      </w:pPr>
      <w:r w:rsidRPr="00A61195">
        <w:rPr>
          <w:rFonts w:asciiTheme="majorBidi" w:eastAsia="Calibri" w:hAnsiTheme="majorBidi" w:cstheme="majorBidi"/>
          <w:szCs w:val="24"/>
        </w:rPr>
        <w:br w:type="page"/>
      </w:r>
    </w:p>
    <w:p w14:paraId="425453B4" w14:textId="06D31C49" w:rsidR="00647D0C" w:rsidRPr="00A61195" w:rsidRDefault="00647D0C" w:rsidP="00A61195">
      <w:pPr>
        <w:pStyle w:val="Point0"/>
        <w:spacing w:before="0" w:after="0" w:line="240" w:lineRule="auto"/>
        <w:ind w:left="851" w:hanging="851"/>
      </w:pPr>
      <w:r w:rsidRPr="00A61195">
        <w:lastRenderedPageBreak/>
        <w:t>(</w:t>
      </w:r>
      <w:r w:rsidRPr="00D3772B">
        <w:rPr>
          <w:b/>
          <w:bCs/>
          <w:vertAlign w:val="superscript"/>
        </w:rPr>
        <w:t>28</w:t>
      </w:r>
      <w:r w:rsidRPr="00A61195">
        <w:t>)</w:t>
      </w:r>
      <w:r w:rsidRPr="00A61195">
        <w:tab/>
        <w:t>Pentru grupul de PFAS (nr. 65), SCM-urile se referă la suma concentrațiilor celor 25 de PFAS enumerate în nota de subsol 27, exprimate ca echivalenți ai PFOA pe baza potențelor substanțelor în raport cu cea a PFOA, și anume a FPR-urilor din nota de subsol 27. SCM-</w:t>
      </w:r>
      <w:proofErr w:type="spellStart"/>
      <w:r w:rsidRPr="00A61195">
        <w:t>ul</w:t>
      </w:r>
      <w:proofErr w:type="spellEnd"/>
      <w:r w:rsidRPr="00A61195">
        <w:t xml:space="preserve"> critic este SCM-</w:t>
      </w:r>
      <w:proofErr w:type="spellStart"/>
      <w:r w:rsidRPr="00A61195">
        <w:t>ul</w:t>
      </w:r>
      <w:proofErr w:type="spellEnd"/>
      <w:r w:rsidRPr="00A61195">
        <w:t xml:space="preserve"> pentru </w:t>
      </w:r>
      <w:proofErr w:type="spellStart"/>
      <w:r w:rsidRPr="00A61195">
        <w:t>biotă</w:t>
      </w:r>
      <w:proofErr w:type="spellEnd"/>
      <w:r w:rsidRPr="00A61195">
        <w:t xml:space="preserve"> (referitor la consumul de pește) și, prin urmare, trebuie să fie respectat. SCM-MA nu asigură o protecție echivalentă.</w:t>
      </w:r>
    </w:p>
    <w:p w14:paraId="381C00D3" w14:textId="4C476DB5" w:rsidR="00647D0C" w:rsidRPr="00A61195" w:rsidRDefault="00647D0C" w:rsidP="00A61195">
      <w:pPr>
        <w:pStyle w:val="Point0"/>
        <w:spacing w:before="0" w:after="0" w:line="240" w:lineRule="auto"/>
        <w:ind w:left="851" w:hanging="851"/>
      </w:pPr>
      <w:r w:rsidRPr="00A61195">
        <w:t>(</w:t>
      </w:r>
      <w:r w:rsidRPr="00D3772B">
        <w:rPr>
          <w:b/>
          <w:bCs/>
          <w:vertAlign w:val="superscript"/>
        </w:rPr>
        <w:t>29</w:t>
      </w:r>
      <w:r w:rsidRPr="00A61195">
        <w:t>)</w:t>
      </w:r>
      <w:r w:rsidRPr="00A61195">
        <w:tab/>
        <w:t>«Pesticide» înseamnă produsele fitosanitare, astfel cum sunt menționate la articolul 2 din Regulamentul (CE) nr.</w:t>
      </w:r>
      <w:r w:rsidR="00D3772B">
        <w:t> </w:t>
      </w:r>
      <w:r w:rsidRPr="00A61195">
        <w:t xml:space="preserve">1107/2009, și produsele </w:t>
      </w:r>
      <w:proofErr w:type="spellStart"/>
      <w:r w:rsidRPr="00A61195">
        <w:t>biocide</w:t>
      </w:r>
      <w:proofErr w:type="spellEnd"/>
      <w:r w:rsidRPr="00A61195">
        <w:t>, astfel cum sunt definite la articolul 3 din Regulamentul (UE) nr.</w:t>
      </w:r>
      <w:r w:rsidR="00D3772B">
        <w:t> </w:t>
      </w:r>
      <w:r w:rsidRPr="00A61195">
        <w:t>528/2012.</w:t>
      </w:r>
    </w:p>
    <w:p w14:paraId="25586FBA" w14:textId="6BF0DAC8" w:rsidR="00647D0C" w:rsidRPr="00A61195" w:rsidRDefault="00647D0C" w:rsidP="00A61195">
      <w:pPr>
        <w:pStyle w:val="Point0"/>
        <w:spacing w:before="0" w:after="0" w:line="240" w:lineRule="auto"/>
        <w:ind w:left="851" w:hanging="851"/>
      </w:pPr>
      <w:r w:rsidRPr="00A61195">
        <w:t>(</w:t>
      </w:r>
      <w:r w:rsidRPr="00D3772B">
        <w:rPr>
          <w:b/>
          <w:bCs/>
          <w:vertAlign w:val="superscript"/>
        </w:rPr>
        <w:t>30</w:t>
      </w:r>
      <w:r w:rsidRPr="00A61195">
        <w:t>)</w:t>
      </w:r>
      <w:r w:rsidRPr="00A61195">
        <w:tab/>
        <w:t>Criteriile minime de performanță stabilite în Directiva 2009/90/CE se aplică fiecărei substanțe individuale din grupul de substanțe, dar ținând seama de necesitatea de a cuantifica contribuția fiecărei substanțe la concentrația totală în vederea comparării cu SCM-urile.</w:t>
      </w:r>
    </w:p>
    <w:p w14:paraId="4CC2FA93" w14:textId="120628B0" w:rsidR="00647D0C" w:rsidRPr="00A61195" w:rsidRDefault="00647D0C" w:rsidP="00A61195">
      <w:pPr>
        <w:pStyle w:val="Point0"/>
        <w:spacing w:before="0" w:line="240" w:lineRule="auto"/>
        <w:ind w:left="851" w:hanging="851"/>
      </w:pPr>
      <w:r w:rsidRPr="00A61195">
        <w:t>(</w:t>
      </w:r>
      <w:r w:rsidRPr="00D3772B">
        <w:rPr>
          <w:b/>
          <w:bCs/>
          <w:vertAlign w:val="superscript"/>
        </w:rPr>
        <w:t>31</w:t>
      </w:r>
      <w:r w:rsidRPr="00A61195">
        <w:t>)</w:t>
      </w:r>
      <w:r w:rsidRPr="00A61195">
        <w:tab/>
        <w:t xml:space="preserve">Cu următoarele excepții: cele patru pesticide care trebuie monitorizate în </w:t>
      </w:r>
      <w:proofErr w:type="spellStart"/>
      <w:r w:rsidRPr="00A61195">
        <w:t>biotă</w:t>
      </w:r>
      <w:proofErr w:type="spellEnd"/>
      <w:r w:rsidRPr="00A61195">
        <w:t xml:space="preserve"> sau sedimente, și anume substanțele cu numerele 16, 30, 34 și 44, precum și </w:t>
      </w:r>
      <w:proofErr w:type="spellStart"/>
      <w:r w:rsidRPr="00A61195">
        <w:t>glifosatul</w:t>
      </w:r>
      <w:proofErr w:type="spellEnd"/>
      <w:r w:rsidRPr="00A61195">
        <w:t>.</w:t>
      </w:r>
    </w:p>
    <w:p w14:paraId="6F13C898" w14:textId="77777777" w:rsidR="00647D0C" w:rsidRPr="00A61195" w:rsidRDefault="00647D0C" w:rsidP="00647D0C">
      <w:pPr>
        <w:ind w:left="851" w:hanging="851"/>
      </w:pPr>
      <w:r w:rsidRPr="00A61195">
        <w:t>_______________</w:t>
      </w:r>
    </w:p>
    <w:p w14:paraId="5B31DB9B" w14:textId="1929E79D" w:rsidR="00647D0C" w:rsidRPr="00D3772B" w:rsidRDefault="00647D0C" w:rsidP="00A61195">
      <w:pPr>
        <w:pStyle w:val="Point0"/>
        <w:spacing w:before="0" w:line="240" w:lineRule="auto"/>
        <w:ind w:left="851" w:hanging="851"/>
      </w:pPr>
      <w:r w:rsidRPr="00D3772B">
        <w:rPr>
          <w:vertAlign w:val="superscript"/>
        </w:rPr>
        <w:t>+</w:t>
      </w:r>
      <w:r w:rsidRPr="00D3772B">
        <w:tab/>
        <w:t>Regulamentul (UE) 2023/915 al Comisiei din 25 aprilie 2023 privind nivelurile maxime pentru anumiți contaminanți din produsele alimentare și de abrogare a Regulamentului (CE) nr. 1881/2006 (JO L 119, 5.5.2023, p. 103, ELI: </w:t>
      </w:r>
      <w:hyperlink r:id="rId94" w:history="1">
        <w:r w:rsidRPr="00D3772B">
          <w:rPr>
            <w:rStyle w:val="Hyperlink"/>
          </w:rPr>
          <w:t>http://data.europa.eu/eli/reg/2023/915/oj</w:t>
        </w:r>
      </w:hyperlink>
      <w:r w:rsidRPr="00D3772B">
        <w:t>).”</w:t>
      </w:r>
    </w:p>
    <w:p w14:paraId="65035E56" w14:textId="2203AFCD" w:rsidR="00647D0C" w:rsidRPr="00A61195" w:rsidRDefault="00647D0C" w:rsidP="00A61195">
      <w:pPr>
        <w:pStyle w:val="Point0"/>
        <w:sectPr w:rsidR="00647D0C" w:rsidRPr="00A61195" w:rsidSect="00B35CF3">
          <w:headerReference w:type="default" r:id="rId95"/>
          <w:footerReference w:type="default" r:id="rId96"/>
          <w:footnotePr>
            <w:numRestart w:val="eachSect"/>
          </w:footnotePr>
          <w:pgSz w:w="16839" w:h="11907" w:orient="landscape" w:code="9"/>
          <w:pgMar w:top="1134" w:right="1134" w:bottom="1134" w:left="1134" w:header="567" w:footer="567" w:gutter="0"/>
          <w:cols w:space="720"/>
          <w:docGrid w:linePitch="360"/>
        </w:sectPr>
      </w:pPr>
    </w:p>
    <w:p w14:paraId="4D46F178" w14:textId="027C0B04" w:rsidR="00647D0C" w:rsidRPr="00A61195" w:rsidRDefault="00647D0C" w:rsidP="00A61195">
      <w:pPr>
        <w:pStyle w:val="Point0"/>
      </w:pPr>
      <w:r w:rsidRPr="00A61195">
        <w:lastRenderedPageBreak/>
        <w:t>3.</w:t>
      </w:r>
      <w:r w:rsidRPr="00A61195">
        <w:tab/>
        <w:t>Partea B se modifică după cum urmează:</w:t>
      </w:r>
    </w:p>
    <w:p w14:paraId="35AA5579" w14:textId="77777777" w:rsidR="00647D0C" w:rsidRPr="00A61195" w:rsidRDefault="00647D0C" w:rsidP="00A61195">
      <w:pPr>
        <w:pStyle w:val="Point1"/>
      </w:pPr>
      <w:r w:rsidRPr="00A61195">
        <w:t>(a)</w:t>
      </w:r>
      <w:r w:rsidRPr="00A61195">
        <w:tab/>
        <w:t>la punctul 1, primul paragraf se înlocuiește cu următorul text:</w:t>
      </w:r>
    </w:p>
    <w:p w14:paraId="629DC45E" w14:textId="77777777" w:rsidR="00647D0C" w:rsidRPr="00A61195" w:rsidRDefault="00647D0C" w:rsidP="00A61195">
      <w:pPr>
        <w:pStyle w:val="Text2"/>
      </w:pPr>
      <w:r w:rsidRPr="00A61195">
        <w:t>„Pentru orice corp de apă de suprafață, aplicarea SCM-MA-urilor înseamnă că, pentru fiecare punct de monitorizare reprezentativ din respectivul corp de apă, media aritmetică a concentrațiilor măsurate în diferite perioade ale anului nu depășește valoarea standard.”;</w:t>
      </w:r>
    </w:p>
    <w:p w14:paraId="598339F1" w14:textId="77777777" w:rsidR="00647D0C" w:rsidRPr="00A61195" w:rsidRDefault="00647D0C" w:rsidP="00A61195">
      <w:pPr>
        <w:pStyle w:val="Point1"/>
      </w:pPr>
      <w:r w:rsidRPr="00A61195">
        <w:t>(b)</w:t>
      </w:r>
      <w:r w:rsidRPr="00A61195">
        <w:tab/>
        <w:t>la punctul 2, primul paragraf se înlocuiește cu următorul text:</w:t>
      </w:r>
    </w:p>
    <w:p w14:paraId="1A52ACB1" w14:textId="77777777" w:rsidR="00647D0C" w:rsidRPr="00A61195" w:rsidRDefault="00647D0C" w:rsidP="00A61195">
      <w:pPr>
        <w:pStyle w:val="Text2"/>
      </w:pPr>
      <w:r w:rsidRPr="00A61195">
        <w:t>„Pentru orice corp de apă de suprafață, aplicarea SCM-CMA-urilor înseamnă că, în orice punct de monitorizare reprezentativ din respectivul corp de apă, concentrația măsurată nu depășește valoarea standard.”</w:t>
      </w:r>
    </w:p>
    <w:p w14:paraId="70B7C97B" w14:textId="22EDB877" w:rsidR="00647D0C" w:rsidRPr="00A61195" w:rsidRDefault="00647D0C" w:rsidP="00647D0C">
      <w:pPr>
        <w:pStyle w:val="Lignefinal"/>
      </w:pPr>
    </w:p>
    <w:p w14:paraId="379268D4" w14:textId="77777777" w:rsidR="00647D0C" w:rsidRPr="00A61195" w:rsidRDefault="00647D0C" w:rsidP="00A61195">
      <w:pPr>
        <w:pStyle w:val="Annexetitre"/>
        <w:sectPr w:rsidR="00647D0C" w:rsidRPr="00A61195" w:rsidSect="00B35CF3">
          <w:headerReference w:type="default" r:id="rId97"/>
          <w:footerReference w:type="default" r:id="rId98"/>
          <w:footnotePr>
            <w:numRestart w:val="eachSect"/>
          </w:footnotePr>
          <w:pgSz w:w="11907" w:h="16839" w:code="9"/>
          <w:pgMar w:top="1134" w:right="1134" w:bottom="1134" w:left="1134" w:header="567" w:footer="567" w:gutter="0"/>
          <w:cols w:space="720"/>
          <w:docGrid w:linePitch="360"/>
        </w:sectPr>
      </w:pPr>
    </w:p>
    <w:p w14:paraId="55B962F3" w14:textId="77777777" w:rsidR="00647D0C" w:rsidRPr="00A61195" w:rsidRDefault="00647D0C" w:rsidP="00A61195">
      <w:pPr>
        <w:pStyle w:val="Annexetitre"/>
        <w:rPr>
          <w:bCs/>
        </w:rPr>
      </w:pPr>
      <w:r w:rsidRPr="00A61195">
        <w:lastRenderedPageBreak/>
        <w:t>ANEXA VII</w:t>
      </w:r>
    </w:p>
    <w:p w14:paraId="4415FA70" w14:textId="77777777" w:rsidR="00647D0C" w:rsidRPr="00A61195" w:rsidRDefault="00647D0C" w:rsidP="00647D0C">
      <w:pPr>
        <w:rPr>
          <w:rFonts w:eastAsia="Calibri" w:cs="Arial"/>
          <w:bCs/>
        </w:rPr>
      </w:pPr>
      <w:r w:rsidRPr="00A61195">
        <w:rPr>
          <w:rFonts w:eastAsia="Calibri" w:cs="Arial"/>
          <w:bCs/>
        </w:rPr>
        <w:t>La Directiva 2008/105/CE se adaugă următoarea anexă:</w:t>
      </w:r>
    </w:p>
    <w:p w14:paraId="1A3585B0" w14:textId="77777777" w:rsidR="00647D0C" w:rsidRPr="00A61195" w:rsidRDefault="00647D0C" w:rsidP="00A61195">
      <w:pPr>
        <w:pStyle w:val="NormalCentered"/>
      </w:pPr>
      <w:r w:rsidRPr="00A61195">
        <w:t>„ANEXA II</w:t>
      </w:r>
    </w:p>
    <w:p w14:paraId="1256731A" w14:textId="1555A404" w:rsidR="00647D0C" w:rsidRPr="00A61195" w:rsidRDefault="00647D0C" w:rsidP="00A61195">
      <w:pPr>
        <w:pStyle w:val="NormalCentered"/>
      </w:pPr>
      <w:r w:rsidRPr="00A61195">
        <w:t xml:space="preserve">STANDARDE DE CALITATE A MEDIULUI </w:t>
      </w:r>
      <w:r w:rsidR="005C480A">
        <w:br/>
      </w:r>
      <w:r w:rsidRPr="00A61195">
        <w:t>PENTRU POLUANȚII SPECIFICI BAZINELOR HIDROGRAFICE</w:t>
      </w:r>
    </w:p>
    <w:p w14:paraId="198A6ED6" w14:textId="5BEE80AC" w:rsidR="00647D0C" w:rsidRPr="00A61195" w:rsidRDefault="005C480A" w:rsidP="00A61195">
      <w:pPr>
        <w:pStyle w:val="NormalCentered"/>
      </w:pPr>
      <w:r w:rsidRPr="00A61195">
        <w:t xml:space="preserve">PARTEA </w:t>
      </w:r>
      <w:r w:rsidR="00647D0C" w:rsidRPr="00A61195">
        <w:t xml:space="preserve">A: LISTA ORIENTATIVĂ A CATEGORIILOR DE POLUANȚI </w:t>
      </w:r>
      <w:r>
        <w:br/>
      </w:r>
      <w:r w:rsidR="00647D0C" w:rsidRPr="00A61195">
        <w:t>SPECIFICI BAZINELOR HIDROGRAFICE</w:t>
      </w:r>
    </w:p>
    <w:p w14:paraId="6ECAB8AB" w14:textId="77777777" w:rsidR="00647D0C" w:rsidRPr="00A61195" w:rsidRDefault="00647D0C" w:rsidP="00A61195">
      <w:pPr>
        <w:pStyle w:val="Point0"/>
      </w:pPr>
      <w:r w:rsidRPr="00A61195">
        <w:t>1.</w:t>
      </w:r>
      <w:r w:rsidRPr="00A61195">
        <w:tab/>
        <w:t xml:space="preserve">Compuși </w:t>
      </w:r>
      <w:proofErr w:type="spellStart"/>
      <w:r w:rsidRPr="00A61195">
        <w:t>organohalogenați</w:t>
      </w:r>
      <w:proofErr w:type="spellEnd"/>
      <w:r w:rsidRPr="00A61195">
        <w:t xml:space="preserve"> și substanțe care pot forma astfel de compuși în mediul acvatic.</w:t>
      </w:r>
    </w:p>
    <w:p w14:paraId="721B6969" w14:textId="77777777" w:rsidR="00647D0C" w:rsidRPr="00A61195" w:rsidRDefault="00647D0C" w:rsidP="00A61195">
      <w:pPr>
        <w:pStyle w:val="Point0"/>
      </w:pPr>
      <w:r w:rsidRPr="00A61195">
        <w:t>2.</w:t>
      </w:r>
      <w:r w:rsidRPr="00A61195">
        <w:tab/>
        <w:t xml:space="preserve">Compuși </w:t>
      </w:r>
      <w:proofErr w:type="spellStart"/>
      <w:r w:rsidRPr="00A61195">
        <w:t>organofosforici</w:t>
      </w:r>
      <w:proofErr w:type="spellEnd"/>
      <w:r w:rsidRPr="00A61195">
        <w:t>.</w:t>
      </w:r>
    </w:p>
    <w:p w14:paraId="20A7D390" w14:textId="77777777" w:rsidR="00647D0C" w:rsidRPr="00A61195" w:rsidRDefault="00647D0C" w:rsidP="00A61195">
      <w:pPr>
        <w:pStyle w:val="Point0"/>
      </w:pPr>
      <w:r w:rsidRPr="00A61195">
        <w:t>3.</w:t>
      </w:r>
      <w:r w:rsidRPr="00A61195">
        <w:tab/>
        <w:t xml:space="preserve">Compuși </w:t>
      </w:r>
      <w:proofErr w:type="spellStart"/>
      <w:r w:rsidRPr="00A61195">
        <w:t>organostanici</w:t>
      </w:r>
      <w:proofErr w:type="spellEnd"/>
      <w:r w:rsidRPr="00A61195">
        <w:t>.</w:t>
      </w:r>
    </w:p>
    <w:p w14:paraId="616BFCDF" w14:textId="77777777" w:rsidR="00647D0C" w:rsidRPr="00A61195" w:rsidRDefault="00647D0C" w:rsidP="00A61195">
      <w:pPr>
        <w:pStyle w:val="Point0"/>
      </w:pPr>
      <w:r w:rsidRPr="00A61195">
        <w:t>4.</w:t>
      </w:r>
      <w:r w:rsidRPr="00A61195">
        <w:tab/>
        <w:t xml:space="preserve">Substanțe și preparate sau compușii de descompunere ai acestora, pentru care s-a demonstrat caracterul cancerigen sau mutagen sau proprietățile care pot afecta funcțiile </w:t>
      </w:r>
      <w:proofErr w:type="spellStart"/>
      <w:r w:rsidRPr="00A61195">
        <w:t>steroidogene</w:t>
      </w:r>
      <w:proofErr w:type="spellEnd"/>
      <w:r w:rsidRPr="00A61195">
        <w:t>, tiroidiene, de reproducere sau alte funcții de tip endocrin în sau prin mediul acvatic.</w:t>
      </w:r>
    </w:p>
    <w:p w14:paraId="06D0F4BF" w14:textId="77777777" w:rsidR="00647D0C" w:rsidRPr="00A61195" w:rsidRDefault="00647D0C" w:rsidP="00647D0C">
      <w:pPr>
        <w:spacing w:before="0" w:after="160" w:line="259" w:lineRule="auto"/>
      </w:pPr>
      <w:r w:rsidRPr="00A61195">
        <w:br w:type="page"/>
      </w:r>
    </w:p>
    <w:p w14:paraId="1949EEEC" w14:textId="77777777" w:rsidR="00647D0C" w:rsidRPr="00A61195" w:rsidRDefault="00647D0C" w:rsidP="00A61195">
      <w:pPr>
        <w:pStyle w:val="Point0"/>
      </w:pPr>
      <w:r w:rsidRPr="00A61195">
        <w:lastRenderedPageBreak/>
        <w:t>5.</w:t>
      </w:r>
      <w:r w:rsidRPr="00A61195">
        <w:tab/>
        <w:t xml:space="preserve">Hidrocarburi persistente și substanțe organice toxice persistente și </w:t>
      </w:r>
      <w:proofErr w:type="spellStart"/>
      <w:r w:rsidRPr="00A61195">
        <w:t>bioacumulabile</w:t>
      </w:r>
      <w:proofErr w:type="spellEnd"/>
    </w:p>
    <w:p w14:paraId="445F9BAA" w14:textId="77777777" w:rsidR="00647D0C" w:rsidRPr="00A61195" w:rsidRDefault="00647D0C" w:rsidP="00A61195">
      <w:pPr>
        <w:pStyle w:val="Point0"/>
      </w:pPr>
      <w:r w:rsidRPr="00A61195">
        <w:t>6.</w:t>
      </w:r>
      <w:r w:rsidRPr="00A61195">
        <w:tab/>
        <w:t>Cianuri.</w:t>
      </w:r>
    </w:p>
    <w:p w14:paraId="22E3B0FC" w14:textId="77777777" w:rsidR="00647D0C" w:rsidRPr="00A61195" w:rsidRDefault="00647D0C" w:rsidP="00A61195">
      <w:pPr>
        <w:pStyle w:val="Point0"/>
      </w:pPr>
      <w:r w:rsidRPr="00A61195">
        <w:t>7.</w:t>
      </w:r>
      <w:r w:rsidRPr="00A61195">
        <w:tab/>
        <w:t>Metale și compușii acestora.</w:t>
      </w:r>
    </w:p>
    <w:p w14:paraId="1409806D" w14:textId="77777777" w:rsidR="00647D0C" w:rsidRPr="00A61195" w:rsidRDefault="00647D0C" w:rsidP="00A61195">
      <w:pPr>
        <w:pStyle w:val="Point0"/>
      </w:pPr>
      <w:r w:rsidRPr="00A61195">
        <w:t>8.</w:t>
      </w:r>
      <w:r w:rsidRPr="00A61195">
        <w:tab/>
        <w:t>Arsen și compușii acestuia.</w:t>
      </w:r>
    </w:p>
    <w:p w14:paraId="4B909702" w14:textId="77777777" w:rsidR="00647D0C" w:rsidRPr="00A61195" w:rsidRDefault="00647D0C" w:rsidP="00A61195">
      <w:pPr>
        <w:pStyle w:val="Point0"/>
      </w:pPr>
      <w:r w:rsidRPr="00A61195">
        <w:t>9.</w:t>
      </w:r>
      <w:r w:rsidRPr="00A61195">
        <w:tab/>
        <w:t xml:space="preserve">Produse </w:t>
      </w:r>
      <w:proofErr w:type="spellStart"/>
      <w:r w:rsidRPr="00A61195">
        <w:t>biocide</w:t>
      </w:r>
      <w:proofErr w:type="spellEnd"/>
      <w:r w:rsidRPr="00A61195">
        <w:t xml:space="preserve"> și produse de protecție a plantelor.</w:t>
      </w:r>
    </w:p>
    <w:p w14:paraId="04FE1786" w14:textId="77777777" w:rsidR="00647D0C" w:rsidRPr="00A61195" w:rsidRDefault="00647D0C" w:rsidP="00A61195">
      <w:pPr>
        <w:pStyle w:val="Point0"/>
      </w:pPr>
      <w:r w:rsidRPr="00A61195">
        <w:t>10.</w:t>
      </w:r>
      <w:r w:rsidRPr="00A61195">
        <w:tab/>
        <w:t xml:space="preserve">Materii în suspensie, inclusiv </w:t>
      </w:r>
      <w:proofErr w:type="spellStart"/>
      <w:r w:rsidRPr="00A61195">
        <w:t>microplastice</w:t>
      </w:r>
      <w:proofErr w:type="spellEnd"/>
      <w:r w:rsidRPr="00A61195">
        <w:t>/</w:t>
      </w:r>
      <w:proofErr w:type="spellStart"/>
      <w:r w:rsidRPr="00A61195">
        <w:t>nanoplastice</w:t>
      </w:r>
      <w:proofErr w:type="spellEnd"/>
      <w:r w:rsidRPr="00A61195">
        <w:t>.</w:t>
      </w:r>
    </w:p>
    <w:p w14:paraId="22D92375" w14:textId="6BBF4D20" w:rsidR="00647D0C" w:rsidRPr="00A61195" w:rsidRDefault="00647D0C" w:rsidP="00A61195">
      <w:pPr>
        <w:pStyle w:val="Point0"/>
      </w:pPr>
      <w:r w:rsidRPr="00A61195">
        <w:t>11.</w:t>
      </w:r>
      <w:r w:rsidRPr="00A61195">
        <w:tab/>
        <w:t xml:space="preserve">Microorganisme, gene sau material genetic care reflectă prezența unor microorganisme rezistente la agenți </w:t>
      </w:r>
      <w:proofErr w:type="spellStart"/>
      <w:r w:rsidRPr="00A61195">
        <w:t>antimicrobieni</w:t>
      </w:r>
      <w:proofErr w:type="spellEnd"/>
      <w:r w:rsidRPr="00A61195">
        <w:t>, în special microorganisme patogene pentru oameni sau animale.</w:t>
      </w:r>
    </w:p>
    <w:p w14:paraId="7F3206AF" w14:textId="77777777" w:rsidR="00647D0C" w:rsidRPr="00A61195" w:rsidRDefault="00647D0C" w:rsidP="00647D0C">
      <w:pPr>
        <w:spacing w:before="0" w:after="160" w:line="259" w:lineRule="auto"/>
        <w:rPr>
          <w:smallCaps/>
        </w:rPr>
      </w:pPr>
      <w:r w:rsidRPr="00A61195">
        <w:rPr>
          <w:smallCaps/>
        </w:rPr>
        <w:br w:type="page"/>
      </w:r>
    </w:p>
    <w:p w14:paraId="3D3756D8" w14:textId="7AC8921A" w:rsidR="00647D0C" w:rsidRPr="00A61195" w:rsidRDefault="00647D0C" w:rsidP="00A61195">
      <w:pPr>
        <w:pStyle w:val="NormalCentered"/>
      </w:pPr>
      <w:r w:rsidRPr="00A61195">
        <w:lastRenderedPageBreak/>
        <w:t xml:space="preserve">PARTEA B: PROCEDURA DE CALCULARE </w:t>
      </w:r>
      <w:r w:rsidR="005C480A">
        <w:br/>
      </w:r>
      <w:r w:rsidRPr="00A61195">
        <w:t xml:space="preserve">A STANDARDELOR DE CALITATE A MEDIULUI </w:t>
      </w:r>
      <w:r w:rsidR="005C480A">
        <w:br/>
      </w:r>
      <w:r w:rsidRPr="00A61195">
        <w:t>PENTRU POLUANȚII SPECIFICI BAZINELOR HIDROGRAFICE</w:t>
      </w:r>
    </w:p>
    <w:p w14:paraId="0F0B6C45" w14:textId="24FEB911" w:rsidR="00647D0C" w:rsidRPr="00A61195" w:rsidRDefault="00647D0C" w:rsidP="00647D0C">
      <w:pPr>
        <w:rPr>
          <w:rFonts w:cs="Arial"/>
        </w:rPr>
      </w:pPr>
      <w:r w:rsidRPr="00A61195">
        <w:t>Metodele utilizate pentru stabilirea de SCM-uri pentru poluanții specifici bazinelor hidrografice includ următoarele etape:</w:t>
      </w:r>
    </w:p>
    <w:p w14:paraId="444557B3" w14:textId="77777777" w:rsidR="00647D0C" w:rsidRPr="00A61195" w:rsidRDefault="00647D0C" w:rsidP="00A61195">
      <w:pPr>
        <w:pStyle w:val="Point0"/>
      </w:pPr>
      <w:r w:rsidRPr="00A61195">
        <w:t>(a)</w:t>
      </w:r>
      <w:r w:rsidRPr="00A61195">
        <w:tab/>
        <w:t>identificarea receptorilor și a compartimentelor sau matricelor în pericol din cauza substanței care prezintă motive de îngrijorare;</w:t>
      </w:r>
      <w:bookmarkStart w:id="32" w:name="DQCErrorScope7EA7D33423CB04596D89455BF69"/>
    </w:p>
    <w:bookmarkEnd w:id="32"/>
    <w:p w14:paraId="3342568E" w14:textId="77777777" w:rsidR="00647D0C" w:rsidRPr="00A61195" w:rsidRDefault="00647D0C" w:rsidP="00A61195">
      <w:pPr>
        <w:pStyle w:val="Point0"/>
      </w:pPr>
      <w:r w:rsidRPr="00A61195">
        <w:t>(b)</w:t>
      </w:r>
      <w:r w:rsidRPr="00A61195">
        <w:tab/>
        <w:t>compararea și evaluarea calității datelor referitoare la proprietățile substanței care prezintă motive de îngrijorare, inclusiv la (</w:t>
      </w:r>
      <w:proofErr w:type="spellStart"/>
      <w:r w:rsidRPr="00A61195">
        <w:t>eco</w:t>
      </w:r>
      <w:proofErr w:type="spellEnd"/>
      <w:r w:rsidRPr="00A61195">
        <w:t xml:space="preserve">)toxicitatea acesteia, în special din rapoartele studiilor de laborator, de </w:t>
      </w:r>
      <w:proofErr w:type="spellStart"/>
      <w:r w:rsidRPr="00A61195">
        <w:t>mezocosmos</w:t>
      </w:r>
      <w:proofErr w:type="spellEnd"/>
      <w:r w:rsidRPr="00A61195">
        <w:t xml:space="preserve"> și de teren care acoperă efectele cronice și efectele acute atât în mediul de apă dulce, cât și în mediul de apă sărată;</w:t>
      </w:r>
      <w:bookmarkStart w:id="33" w:name="DQCErrorScopeE7BF5094F8E837978550AF8E98A"/>
    </w:p>
    <w:bookmarkEnd w:id="33"/>
    <w:p w14:paraId="12FF47FA" w14:textId="77777777" w:rsidR="00647D0C" w:rsidRPr="00A61195" w:rsidRDefault="00647D0C" w:rsidP="00A61195">
      <w:pPr>
        <w:pStyle w:val="Point0"/>
      </w:pPr>
      <w:r w:rsidRPr="00A61195">
        <w:t>(c)</w:t>
      </w:r>
      <w:r w:rsidRPr="00A61195">
        <w:tab/>
        <w:t>extrapolarea datelor de (</w:t>
      </w:r>
      <w:proofErr w:type="spellStart"/>
      <w:r w:rsidRPr="00A61195">
        <w:t>eco</w:t>
      </w:r>
      <w:proofErr w:type="spellEnd"/>
      <w:r w:rsidRPr="00A61195">
        <w:t>)toxicitate la concentrații fără efect sau similare, cu ajutorul unor metode deterministe sau probabilistice, precum și selectarea și aplicarea unor factori de evaluare adecvați pentru abordarea incertitudinilor și pentru calcularea SCM-urilor;</w:t>
      </w:r>
      <w:bookmarkStart w:id="34" w:name="DQCErrorScopeF9951EA4F948C9985FBE160ED28"/>
    </w:p>
    <w:bookmarkEnd w:id="34"/>
    <w:p w14:paraId="6678F2BF" w14:textId="77777777" w:rsidR="00647D0C" w:rsidRPr="00A61195" w:rsidRDefault="00647D0C" w:rsidP="00A61195">
      <w:pPr>
        <w:pStyle w:val="Point0"/>
      </w:pPr>
      <w:r w:rsidRPr="00A61195">
        <w:t>(d)</w:t>
      </w:r>
      <w:r w:rsidRPr="00A61195">
        <w:tab/>
        <w:t>compararea SCM-urilor pentru diferiți receptori și diferite compartimente și selectarea SCM-urilor critice, și anume a SCM-urilor prin care se asigură protecția celui mai sensibil receptor din compartimentul sau matricea cu cea mai mare relevanță.</w:t>
      </w:r>
    </w:p>
    <w:p w14:paraId="5B802888" w14:textId="77777777" w:rsidR="00D10615" w:rsidRPr="00A61195" w:rsidRDefault="00D10615" w:rsidP="00647D0C">
      <w:pPr>
        <w:rPr>
          <w:smallCaps/>
        </w:rPr>
        <w:sectPr w:rsidR="00D10615" w:rsidRPr="00A61195" w:rsidSect="00B35CF3">
          <w:headerReference w:type="default" r:id="rId99"/>
          <w:footerReference w:type="default" r:id="rId100"/>
          <w:footnotePr>
            <w:numRestart w:val="eachSect"/>
          </w:footnotePr>
          <w:pgSz w:w="11907" w:h="16839" w:code="9"/>
          <w:pgMar w:top="1134" w:right="1134" w:bottom="1134" w:left="1134" w:header="567" w:footer="567" w:gutter="0"/>
          <w:pgNumType w:start="1"/>
          <w:cols w:space="720"/>
          <w:docGrid w:linePitch="360"/>
        </w:sectPr>
      </w:pPr>
    </w:p>
    <w:p w14:paraId="49057AAE" w14:textId="7B99D6B1" w:rsidR="00647D0C" w:rsidRPr="00A61195" w:rsidRDefault="00647D0C" w:rsidP="00A61195">
      <w:pPr>
        <w:pStyle w:val="NormalCentered"/>
      </w:pPr>
      <w:r w:rsidRPr="00A61195">
        <w:lastRenderedPageBreak/>
        <w:t xml:space="preserve">PARTEA C: REGISTRUL CU STANDARDE ARMONIZATE DE CALITATE A MEDIULUI </w:t>
      </w:r>
      <w:r w:rsidR="005C480A">
        <w:br/>
      </w:r>
      <w:r w:rsidRPr="00A61195">
        <w:t>PENTRU POLUANȚII SPECIFICI BAZINELOR HIDROGRAFICE.</w:t>
      </w:r>
    </w:p>
    <w:tbl>
      <w:tblPr>
        <w:tblStyle w:val="TableGrid"/>
        <w:tblW w:w="5000" w:type="pct"/>
        <w:tblLook w:val="04A0" w:firstRow="1" w:lastRow="0" w:firstColumn="1" w:lastColumn="0" w:noHBand="0" w:noVBand="1"/>
      </w:tblPr>
      <w:tblGrid>
        <w:gridCol w:w="947"/>
        <w:gridCol w:w="1820"/>
        <w:gridCol w:w="2047"/>
        <w:gridCol w:w="1593"/>
        <w:gridCol w:w="1590"/>
        <w:gridCol w:w="1136"/>
        <w:gridCol w:w="1121"/>
        <w:gridCol w:w="1360"/>
        <w:gridCol w:w="1360"/>
        <w:gridCol w:w="1587"/>
      </w:tblGrid>
      <w:tr w:rsidR="00647D0C" w:rsidRPr="00A61195" w14:paraId="3A1718BF" w14:textId="77777777" w:rsidTr="00D10615">
        <w:trPr>
          <w:tblHeader/>
        </w:trPr>
        <w:tc>
          <w:tcPr>
            <w:tcW w:w="325" w:type="pct"/>
            <w:vAlign w:val="center"/>
          </w:tcPr>
          <w:p w14:paraId="23AEBF31" w14:textId="59A002A9" w:rsidR="00647D0C" w:rsidRPr="00A61195" w:rsidRDefault="00647D0C" w:rsidP="009D20AB">
            <w:pPr>
              <w:spacing w:before="60" w:after="60" w:line="240" w:lineRule="auto"/>
              <w:jc w:val="center"/>
              <w:rPr>
                <w:rFonts w:eastAsia="Calibri"/>
              </w:rPr>
            </w:pPr>
            <w:r w:rsidRPr="00A61195">
              <w:t>Nr. crt.</w:t>
            </w:r>
          </w:p>
        </w:tc>
        <w:tc>
          <w:tcPr>
            <w:tcW w:w="625" w:type="pct"/>
            <w:vAlign w:val="center"/>
          </w:tcPr>
          <w:p w14:paraId="01E98B5A" w14:textId="77777777" w:rsidR="00647D0C" w:rsidRPr="00A61195" w:rsidRDefault="00647D0C" w:rsidP="009D20AB">
            <w:pPr>
              <w:spacing w:before="60" w:after="60" w:line="240" w:lineRule="auto"/>
              <w:jc w:val="center"/>
              <w:rPr>
                <w:rFonts w:eastAsia="Calibri"/>
              </w:rPr>
            </w:pPr>
            <w:r w:rsidRPr="00A61195">
              <w:t>Denumirea substanței</w:t>
            </w:r>
          </w:p>
        </w:tc>
        <w:tc>
          <w:tcPr>
            <w:tcW w:w="703" w:type="pct"/>
            <w:vAlign w:val="center"/>
          </w:tcPr>
          <w:p w14:paraId="7793B949" w14:textId="77777777" w:rsidR="00647D0C" w:rsidRPr="00A61195" w:rsidRDefault="00647D0C" w:rsidP="009D20AB">
            <w:pPr>
              <w:spacing w:before="60" w:after="60" w:line="240" w:lineRule="auto"/>
              <w:jc w:val="center"/>
              <w:rPr>
                <w:rFonts w:eastAsia="Calibri"/>
              </w:rPr>
            </w:pPr>
            <w:r w:rsidRPr="00A61195">
              <w:t>Categoria de substanțe</w:t>
            </w:r>
          </w:p>
        </w:tc>
        <w:tc>
          <w:tcPr>
            <w:tcW w:w="547" w:type="pct"/>
            <w:vAlign w:val="center"/>
          </w:tcPr>
          <w:p w14:paraId="79380B32" w14:textId="77777777" w:rsidR="00647D0C" w:rsidRPr="00A61195" w:rsidRDefault="00647D0C" w:rsidP="009D20AB">
            <w:pPr>
              <w:spacing w:before="60" w:after="60" w:line="240" w:lineRule="auto"/>
              <w:jc w:val="center"/>
              <w:rPr>
                <w:rFonts w:eastAsia="Calibri"/>
              </w:rPr>
            </w:pPr>
            <w:r w:rsidRPr="00A61195">
              <w:t>Numărul CAS (</w:t>
            </w:r>
            <w:r w:rsidRPr="005C480A">
              <w:rPr>
                <w:b/>
                <w:bCs/>
                <w:vertAlign w:val="superscript"/>
              </w:rPr>
              <w:t>1</w:t>
            </w:r>
            <w:r w:rsidRPr="00A61195">
              <w:t>)</w:t>
            </w:r>
          </w:p>
        </w:tc>
        <w:tc>
          <w:tcPr>
            <w:tcW w:w="546" w:type="pct"/>
            <w:vAlign w:val="center"/>
          </w:tcPr>
          <w:p w14:paraId="761280A9" w14:textId="77777777" w:rsidR="00647D0C" w:rsidRPr="00A61195" w:rsidRDefault="00647D0C" w:rsidP="009D20AB">
            <w:pPr>
              <w:spacing w:before="60" w:after="60" w:line="240" w:lineRule="auto"/>
              <w:jc w:val="center"/>
              <w:rPr>
                <w:rFonts w:eastAsia="Calibri"/>
              </w:rPr>
            </w:pPr>
            <w:r w:rsidRPr="00A61195">
              <w:t>Numărul UE (</w:t>
            </w:r>
            <w:r w:rsidRPr="005C480A">
              <w:rPr>
                <w:b/>
                <w:bCs/>
                <w:vertAlign w:val="superscript"/>
              </w:rPr>
              <w:t>2</w:t>
            </w:r>
            <w:r w:rsidRPr="00A61195">
              <w:t>)</w:t>
            </w:r>
          </w:p>
        </w:tc>
        <w:tc>
          <w:tcPr>
            <w:tcW w:w="390" w:type="pct"/>
            <w:vAlign w:val="center"/>
          </w:tcPr>
          <w:p w14:paraId="3EDECB35" w14:textId="77777777" w:rsidR="00647D0C" w:rsidRPr="00A61195" w:rsidRDefault="00647D0C" w:rsidP="009D20AB">
            <w:pPr>
              <w:spacing w:before="60" w:after="60" w:line="240" w:lineRule="auto"/>
              <w:jc w:val="center"/>
              <w:rPr>
                <w:rFonts w:eastAsia="Calibri"/>
              </w:rPr>
            </w:pPr>
            <w:r w:rsidRPr="00A61195">
              <w:t>SCM-MA (</w:t>
            </w:r>
            <w:r w:rsidRPr="005C480A">
              <w:rPr>
                <w:b/>
                <w:bCs/>
                <w:vertAlign w:val="superscript"/>
              </w:rPr>
              <w:t>3</w:t>
            </w:r>
            <w:r w:rsidRPr="00A61195">
              <w:t>)</w:t>
            </w:r>
          </w:p>
          <w:p w14:paraId="042674D1" w14:textId="77777777" w:rsidR="00647D0C" w:rsidRPr="00A61195" w:rsidRDefault="00647D0C" w:rsidP="009D20AB">
            <w:pPr>
              <w:spacing w:before="60" w:after="60" w:line="240" w:lineRule="auto"/>
              <w:jc w:val="center"/>
              <w:rPr>
                <w:rFonts w:eastAsia="Calibri"/>
              </w:rPr>
            </w:pPr>
            <w:r w:rsidRPr="00A61195">
              <w:t>Ape interioare de suprafață (</w:t>
            </w:r>
            <w:r w:rsidRPr="005C480A">
              <w:rPr>
                <w:b/>
                <w:bCs/>
                <w:vertAlign w:val="superscript"/>
              </w:rPr>
              <w:t>4</w:t>
            </w:r>
            <w:r w:rsidRPr="00A61195">
              <w:t>)</w:t>
            </w:r>
          </w:p>
          <w:p w14:paraId="525C311E" w14:textId="77777777" w:rsidR="00647D0C" w:rsidRPr="00A61195" w:rsidRDefault="00647D0C" w:rsidP="009D20AB">
            <w:pPr>
              <w:spacing w:before="60" w:after="60" w:line="240" w:lineRule="auto"/>
              <w:jc w:val="center"/>
              <w:rPr>
                <w:rFonts w:eastAsia="Calibri"/>
              </w:rPr>
            </w:pPr>
            <w:r w:rsidRPr="00A61195">
              <w:t>[</w:t>
            </w:r>
            <w:proofErr w:type="spellStart"/>
            <w:r w:rsidRPr="00A61195">
              <w:t>μg</w:t>
            </w:r>
            <w:proofErr w:type="spellEnd"/>
            <w:r w:rsidRPr="00A61195">
              <w:t>/l]</w:t>
            </w:r>
          </w:p>
        </w:tc>
        <w:tc>
          <w:tcPr>
            <w:tcW w:w="385" w:type="pct"/>
            <w:vAlign w:val="center"/>
          </w:tcPr>
          <w:p w14:paraId="35D538C5" w14:textId="77777777" w:rsidR="00647D0C" w:rsidRPr="0039432B" w:rsidRDefault="00647D0C" w:rsidP="009D20AB">
            <w:pPr>
              <w:spacing w:before="60" w:after="60" w:line="240" w:lineRule="auto"/>
              <w:jc w:val="center"/>
              <w:rPr>
                <w:rFonts w:eastAsia="Calibri"/>
              </w:rPr>
            </w:pPr>
            <w:r w:rsidRPr="00A61195">
              <w:t>SCM-MA (</w:t>
            </w:r>
            <w:r w:rsidRPr="005C480A">
              <w:rPr>
                <w:b/>
                <w:bCs/>
                <w:vertAlign w:val="superscript"/>
              </w:rPr>
              <w:t>3</w:t>
            </w:r>
            <w:r w:rsidRPr="00A61195">
              <w:t>)</w:t>
            </w:r>
          </w:p>
          <w:p w14:paraId="4FEFB47C" w14:textId="77777777" w:rsidR="00647D0C" w:rsidRPr="00A61195" w:rsidRDefault="00647D0C" w:rsidP="009D20AB">
            <w:pPr>
              <w:spacing w:before="60" w:after="60" w:line="240" w:lineRule="auto"/>
              <w:jc w:val="center"/>
              <w:rPr>
                <w:rFonts w:eastAsia="Calibri"/>
              </w:rPr>
            </w:pPr>
            <w:r w:rsidRPr="00A61195">
              <w:t>Alte ape de suprafață</w:t>
            </w:r>
          </w:p>
          <w:p w14:paraId="39EBC77F" w14:textId="77777777" w:rsidR="00647D0C" w:rsidRPr="00A61195" w:rsidRDefault="00647D0C" w:rsidP="009D20AB">
            <w:pPr>
              <w:spacing w:before="60" w:after="60" w:line="240" w:lineRule="auto"/>
              <w:jc w:val="center"/>
              <w:rPr>
                <w:rFonts w:eastAsia="Calibri"/>
              </w:rPr>
            </w:pPr>
            <w:r w:rsidRPr="00A61195">
              <w:t>[</w:t>
            </w:r>
            <w:proofErr w:type="spellStart"/>
            <w:r w:rsidRPr="00A61195">
              <w:t>μg</w:t>
            </w:r>
            <w:proofErr w:type="spellEnd"/>
            <w:r w:rsidRPr="00A61195">
              <w:t>/l]</w:t>
            </w:r>
          </w:p>
        </w:tc>
        <w:tc>
          <w:tcPr>
            <w:tcW w:w="467" w:type="pct"/>
            <w:vAlign w:val="center"/>
          </w:tcPr>
          <w:p w14:paraId="255133CC" w14:textId="77777777" w:rsidR="00647D0C" w:rsidRPr="00A61195" w:rsidRDefault="00647D0C" w:rsidP="009D20AB">
            <w:pPr>
              <w:spacing w:before="60" w:after="60" w:line="240" w:lineRule="auto"/>
              <w:jc w:val="center"/>
              <w:rPr>
                <w:rFonts w:eastAsia="Calibri"/>
              </w:rPr>
            </w:pPr>
            <w:r w:rsidRPr="00A61195">
              <w:t>SCM-CMA (</w:t>
            </w:r>
            <w:r w:rsidRPr="005C480A">
              <w:rPr>
                <w:b/>
                <w:bCs/>
                <w:vertAlign w:val="superscript"/>
              </w:rPr>
              <w:t>5</w:t>
            </w:r>
            <w:r w:rsidRPr="00A61195">
              <w:t>)</w:t>
            </w:r>
          </w:p>
          <w:p w14:paraId="373CD8B9" w14:textId="77777777" w:rsidR="00647D0C" w:rsidRPr="0039432B" w:rsidRDefault="00647D0C" w:rsidP="009D20AB">
            <w:pPr>
              <w:spacing w:before="60" w:after="60" w:line="240" w:lineRule="auto"/>
              <w:jc w:val="center"/>
              <w:rPr>
                <w:rFonts w:eastAsia="Calibri"/>
              </w:rPr>
            </w:pPr>
            <w:r w:rsidRPr="00A61195">
              <w:t>Ape interioare de suprafață (</w:t>
            </w:r>
            <w:r w:rsidRPr="005C480A">
              <w:rPr>
                <w:b/>
                <w:bCs/>
                <w:vertAlign w:val="superscript"/>
              </w:rPr>
              <w:t>4</w:t>
            </w:r>
            <w:r w:rsidRPr="00A61195">
              <w:t>)</w:t>
            </w:r>
          </w:p>
          <w:p w14:paraId="34531337" w14:textId="77777777" w:rsidR="00647D0C" w:rsidRPr="00A61195" w:rsidRDefault="00647D0C" w:rsidP="009D20AB">
            <w:pPr>
              <w:spacing w:before="60" w:after="60" w:line="240" w:lineRule="auto"/>
              <w:jc w:val="center"/>
              <w:rPr>
                <w:rFonts w:eastAsia="Calibri"/>
              </w:rPr>
            </w:pPr>
            <w:r w:rsidRPr="00A61195">
              <w:t>[</w:t>
            </w:r>
            <w:proofErr w:type="spellStart"/>
            <w:r w:rsidRPr="00A61195">
              <w:t>μg</w:t>
            </w:r>
            <w:proofErr w:type="spellEnd"/>
            <w:r w:rsidRPr="00A61195">
              <w:t>/l]</w:t>
            </w:r>
          </w:p>
        </w:tc>
        <w:tc>
          <w:tcPr>
            <w:tcW w:w="467" w:type="pct"/>
            <w:vAlign w:val="center"/>
          </w:tcPr>
          <w:p w14:paraId="7214EEEF" w14:textId="77777777" w:rsidR="00647D0C" w:rsidRPr="00A61195" w:rsidRDefault="00647D0C" w:rsidP="009D20AB">
            <w:pPr>
              <w:spacing w:before="60" w:after="60" w:line="240" w:lineRule="auto"/>
              <w:jc w:val="center"/>
              <w:rPr>
                <w:rFonts w:eastAsia="Calibri"/>
              </w:rPr>
            </w:pPr>
            <w:r w:rsidRPr="00A61195">
              <w:t>SCM-CMA (</w:t>
            </w:r>
            <w:r w:rsidRPr="005C480A">
              <w:rPr>
                <w:b/>
                <w:bCs/>
                <w:vertAlign w:val="superscript"/>
              </w:rPr>
              <w:t>5</w:t>
            </w:r>
            <w:r w:rsidRPr="00A61195">
              <w:t>)</w:t>
            </w:r>
          </w:p>
          <w:p w14:paraId="281F2B61" w14:textId="77777777" w:rsidR="00647D0C" w:rsidRPr="00A61195" w:rsidRDefault="00647D0C" w:rsidP="009D20AB">
            <w:pPr>
              <w:spacing w:before="60" w:after="60" w:line="240" w:lineRule="auto"/>
              <w:jc w:val="center"/>
              <w:rPr>
                <w:rFonts w:eastAsia="Calibri"/>
              </w:rPr>
            </w:pPr>
            <w:r w:rsidRPr="00A61195">
              <w:t>Alte ape de suprafață</w:t>
            </w:r>
          </w:p>
          <w:p w14:paraId="4ECFF916" w14:textId="77777777" w:rsidR="00647D0C" w:rsidRPr="00A61195" w:rsidRDefault="00647D0C" w:rsidP="009D20AB">
            <w:pPr>
              <w:spacing w:before="60" w:after="60" w:line="240" w:lineRule="auto"/>
              <w:jc w:val="center"/>
              <w:rPr>
                <w:rFonts w:eastAsia="Calibri"/>
              </w:rPr>
            </w:pPr>
            <w:r w:rsidRPr="00A61195">
              <w:t>[</w:t>
            </w:r>
            <w:proofErr w:type="spellStart"/>
            <w:r w:rsidRPr="00A61195">
              <w:t>μg</w:t>
            </w:r>
            <w:proofErr w:type="spellEnd"/>
            <w:r w:rsidRPr="00A61195">
              <w:t>/l]</w:t>
            </w:r>
          </w:p>
        </w:tc>
        <w:tc>
          <w:tcPr>
            <w:tcW w:w="546" w:type="pct"/>
            <w:vAlign w:val="center"/>
          </w:tcPr>
          <w:p w14:paraId="1B939A76" w14:textId="77777777" w:rsidR="00647D0C" w:rsidRPr="00A61195" w:rsidRDefault="00647D0C" w:rsidP="009D20AB">
            <w:pPr>
              <w:spacing w:before="60" w:after="60" w:line="240" w:lineRule="auto"/>
              <w:jc w:val="center"/>
              <w:rPr>
                <w:rFonts w:eastAsia="Calibri"/>
              </w:rPr>
            </w:pPr>
            <w:r w:rsidRPr="00A61195">
              <w:t>SCM</w:t>
            </w:r>
          </w:p>
          <w:p w14:paraId="08994FB3" w14:textId="77777777" w:rsidR="00647D0C" w:rsidRPr="00A61195" w:rsidRDefault="00647D0C" w:rsidP="009D20AB">
            <w:pPr>
              <w:spacing w:before="60" w:after="60" w:line="240" w:lineRule="auto"/>
              <w:jc w:val="center"/>
              <w:rPr>
                <w:rFonts w:eastAsia="Calibri"/>
              </w:rPr>
            </w:pPr>
            <w:proofErr w:type="spellStart"/>
            <w:r w:rsidRPr="00A61195">
              <w:t>biotă</w:t>
            </w:r>
            <w:proofErr w:type="spellEnd"/>
            <w:r w:rsidRPr="00A61195">
              <w:t xml:space="preserve"> (</w:t>
            </w:r>
            <w:r w:rsidRPr="005C480A">
              <w:rPr>
                <w:b/>
                <w:bCs/>
                <w:vertAlign w:val="superscript"/>
              </w:rPr>
              <w:t>6</w:t>
            </w:r>
            <w:r w:rsidRPr="00A61195">
              <w:t>)</w:t>
            </w:r>
          </w:p>
          <w:p w14:paraId="7C934DA8" w14:textId="77777777" w:rsidR="00647D0C" w:rsidRPr="00A61195" w:rsidRDefault="00647D0C" w:rsidP="009D20AB">
            <w:pPr>
              <w:spacing w:before="60" w:after="60" w:line="240" w:lineRule="auto"/>
              <w:jc w:val="center"/>
              <w:rPr>
                <w:rFonts w:eastAsia="Calibri"/>
              </w:rPr>
            </w:pPr>
            <w:r w:rsidRPr="00A61195">
              <w:t>[µg/kg greutate umedă] sau SCM pentru sedimente [µg/kg greutate uscată], dacă se indică astfel</w:t>
            </w:r>
          </w:p>
        </w:tc>
      </w:tr>
      <w:tr w:rsidR="00647D0C" w:rsidRPr="00A61195" w14:paraId="10A8E8A9" w14:textId="77777777" w:rsidTr="00D10615">
        <w:tc>
          <w:tcPr>
            <w:tcW w:w="325" w:type="pct"/>
          </w:tcPr>
          <w:p w14:paraId="231D34D3" w14:textId="77777777" w:rsidR="00647D0C" w:rsidRPr="00A61195" w:rsidRDefault="00647D0C" w:rsidP="009D20AB">
            <w:pPr>
              <w:spacing w:before="60" w:after="60" w:line="240" w:lineRule="auto"/>
              <w:rPr>
                <w:rFonts w:eastAsia="Calibri"/>
              </w:rPr>
            </w:pPr>
            <w:r w:rsidRPr="00A61195">
              <w:t>1</w:t>
            </w:r>
          </w:p>
        </w:tc>
        <w:tc>
          <w:tcPr>
            <w:tcW w:w="625" w:type="pct"/>
          </w:tcPr>
          <w:p w14:paraId="32804989" w14:textId="77777777" w:rsidR="00647D0C" w:rsidRPr="00A61195" w:rsidRDefault="00647D0C" w:rsidP="009D20AB">
            <w:pPr>
              <w:spacing w:before="60" w:after="60" w:line="240" w:lineRule="auto"/>
              <w:rPr>
                <w:rFonts w:eastAsia="Calibri"/>
              </w:rPr>
            </w:pPr>
            <w:proofErr w:type="spellStart"/>
            <w:r w:rsidRPr="00A61195">
              <w:t>Alaclor</w:t>
            </w:r>
            <w:proofErr w:type="spellEnd"/>
            <w:r w:rsidRPr="00A61195">
              <w:t xml:space="preserve"> (</w:t>
            </w:r>
            <w:r w:rsidRPr="005C480A">
              <w:rPr>
                <w:b/>
                <w:bCs/>
                <w:vertAlign w:val="superscript"/>
              </w:rPr>
              <w:t>7</w:t>
            </w:r>
            <w:r w:rsidRPr="00A61195">
              <w:t>)</w:t>
            </w:r>
          </w:p>
        </w:tc>
        <w:tc>
          <w:tcPr>
            <w:tcW w:w="703" w:type="pct"/>
          </w:tcPr>
          <w:p w14:paraId="7E91E029" w14:textId="77777777" w:rsidR="00647D0C" w:rsidRPr="00A61195" w:rsidRDefault="00647D0C" w:rsidP="009D20AB">
            <w:pPr>
              <w:spacing w:before="60" w:after="60" w:line="240" w:lineRule="auto"/>
              <w:rPr>
                <w:rFonts w:eastAsia="Calibri"/>
              </w:rPr>
            </w:pPr>
            <w:r w:rsidRPr="00A61195">
              <w:t>Pesticide</w:t>
            </w:r>
          </w:p>
        </w:tc>
        <w:tc>
          <w:tcPr>
            <w:tcW w:w="547" w:type="pct"/>
          </w:tcPr>
          <w:p w14:paraId="3D518B77" w14:textId="77777777" w:rsidR="00647D0C" w:rsidRPr="00A61195" w:rsidRDefault="00647D0C" w:rsidP="009D20AB">
            <w:pPr>
              <w:spacing w:before="60" w:after="60" w:line="240" w:lineRule="auto"/>
              <w:rPr>
                <w:rFonts w:eastAsia="Calibri"/>
              </w:rPr>
            </w:pPr>
            <w:r w:rsidRPr="00A61195">
              <w:t>15972-60-8</w:t>
            </w:r>
          </w:p>
        </w:tc>
        <w:tc>
          <w:tcPr>
            <w:tcW w:w="546" w:type="pct"/>
          </w:tcPr>
          <w:p w14:paraId="7C6036C2" w14:textId="77777777" w:rsidR="00647D0C" w:rsidRPr="00A61195" w:rsidRDefault="00647D0C" w:rsidP="009D20AB">
            <w:pPr>
              <w:spacing w:before="60" w:after="60" w:line="240" w:lineRule="auto"/>
              <w:rPr>
                <w:rFonts w:eastAsia="Calibri"/>
              </w:rPr>
            </w:pPr>
            <w:r w:rsidRPr="00A61195">
              <w:t>240-110-8</w:t>
            </w:r>
          </w:p>
        </w:tc>
        <w:tc>
          <w:tcPr>
            <w:tcW w:w="390" w:type="pct"/>
          </w:tcPr>
          <w:p w14:paraId="1221AB36" w14:textId="77777777" w:rsidR="00647D0C" w:rsidRPr="00A61195" w:rsidRDefault="00647D0C" w:rsidP="009D20AB">
            <w:pPr>
              <w:spacing w:before="60" w:after="60" w:line="240" w:lineRule="auto"/>
              <w:rPr>
                <w:rFonts w:eastAsia="Calibri"/>
              </w:rPr>
            </w:pPr>
            <w:r w:rsidRPr="00A61195">
              <w:t>0,3</w:t>
            </w:r>
          </w:p>
        </w:tc>
        <w:tc>
          <w:tcPr>
            <w:tcW w:w="385" w:type="pct"/>
          </w:tcPr>
          <w:p w14:paraId="30B1FE7A" w14:textId="77777777" w:rsidR="00647D0C" w:rsidRPr="00A61195" w:rsidRDefault="00647D0C" w:rsidP="009D20AB">
            <w:pPr>
              <w:spacing w:before="60" w:after="60" w:line="240" w:lineRule="auto"/>
              <w:rPr>
                <w:rFonts w:eastAsia="Calibri"/>
              </w:rPr>
            </w:pPr>
            <w:r w:rsidRPr="00A61195">
              <w:t>0,3</w:t>
            </w:r>
          </w:p>
        </w:tc>
        <w:tc>
          <w:tcPr>
            <w:tcW w:w="467" w:type="pct"/>
          </w:tcPr>
          <w:p w14:paraId="377C4937" w14:textId="77777777" w:rsidR="00647D0C" w:rsidRPr="00A61195" w:rsidRDefault="00647D0C" w:rsidP="009D20AB">
            <w:pPr>
              <w:spacing w:before="60" w:after="60" w:line="240" w:lineRule="auto"/>
              <w:rPr>
                <w:rFonts w:eastAsia="Calibri"/>
              </w:rPr>
            </w:pPr>
            <w:r w:rsidRPr="00A61195">
              <w:t>0,7</w:t>
            </w:r>
          </w:p>
        </w:tc>
        <w:tc>
          <w:tcPr>
            <w:tcW w:w="467" w:type="pct"/>
          </w:tcPr>
          <w:p w14:paraId="361193FB" w14:textId="77777777" w:rsidR="00647D0C" w:rsidRPr="00A61195" w:rsidRDefault="00647D0C" w:rsidP="009D20AB">
            <w:pPr>
              <w:spacing w:before="60" w:after="60" w:line="240" w:lineRule="auto"/>
              <w:rPr>
                <w:rFonts w:eastAsia="Calibri"/>
              </w:rPr>
            </w:pPr>
            <w:r w:rsidRPr="00A61195">
              <w:t>0,7</w:t>
            </w:r>
          </w:p>
        </w:tc>
        <w:tc>
          <w:tcPr>
            <w:tcW w:w="546" w:type="pct"/>
          </w:tcPr>
          <w:p w14:paraId="5B66C538" w14:textId="77777777" w:rsidR="00647D0C" w:rsidRPr="00A61195" w:rsidRDefault="00647D0C" w:rsidP="009D20AB">
            <w:pPr>
              <w:spacing w:before="60" w:after="60" w:line="240" w:lineRule="auto"/>
              <w:rPr>
                <w:rFonts w:eastAsia="Calibri"/>
              </w:rPr>
            </w:pPr>
          </w:p>
        </w:tc>
      </w:tr>
      <w:tr w:rsidR="00647D0C" w:rsidRPr="00A61195" w14:paraId="01415218" w14:textId="77777777" w:rsidTr="00D10615">
        <w:tc>
          <w:tcPr>
            <w:tcW w:w="325" w:type="pct"/>
          </w:tcPr>
          <w:p w14:paraId="3AF263C7" w14:textId="77777777" w:rsidR="00647D0C" w:rsidRPr="00A61195" w:rsidRDefault="00647D0C" w:rsidP="009D20AB">
            <w:pPr>
              <w:spacing w:before="60" w:after="60" w:line="240" w:lineRule="auto"/>
              <w:rPr>
                <w:rFonts w:eastAsia="Calibri"/>
              </w:rPr>
            </w:pPr>
            <w:r w:rsidRPr="00A61195">
              <w:t>2</w:t>
            </w:r>
          </w:p>
        </w:tc>
        <w:tc>
          <w:tcPr>
            <w:tcW w:w="625" w:type="pct"/>
          </w:tcPr>
          <w:p w14:paraId="7FEA8E99" w14:textId="77777777" w:rsidR="00647D0C" w:rsidRPr="00A61195" w:rsidRDefault="00647D0C" w:rsidP="009D20AB">
            <w:pPr>
              <w:spacing w:before="60" w:after="60" w:line="240" w:lineRule="auto"/>
              <w:rPr>
                <w:rFonts w:eastAsia="Calibri"/>
              </w:rPr>
            </w:pPr>
            <w:r w:rsidRPr="00A61195">
              <w:t>Tetraclorură de carbon (</w:t>
            </w:r>
            <w:r w:rsidRPr="005C480A">
              <w:rPr>
                <w:b/>
                <w:bCs/>
                <w:vertAlign w:val="superscript"/>
              </w:rPr>
              <w:t>7</w:t>
            </w:r>
            <w:r w:rsidRPr="00A61195">
              <w:t>)</w:t>
            </w:r>
          </w:p>
        </w:tc>
        <w:tc>
          <w:tcPr>
            <w:tcW w:w="703" w:type="pct"/>
          </w:tcPr>
          <w:p w14:paraId="646D8475" w14:textId="77777777" w:rsidR="00647D0C" w:rsidRPr="00A61195" w:rsidRDefault="00647D0C" w:rsidP="009D20AB">
            <w:pPr>
              <w:spacing w:before="60" w:after="60" w:line="240" w:lineRule="auto"/>
              <w:rPr>
                <w:rFonts w:eastAsia="Calibri"/>
              </w:rPr>
            </w:pPr>
            <w:r w:rsidRPr="00A61195">
              <w:t>Substanțe industriale</w:t>
            </w:r>
          </w:p>
        </w:tc>
        <w:tc>
          <w:tcPr>
            <w:tcW w:w="547" w:type="pct"/>
          </w:tcPr>
          <w:p w14:paraId="587F6687" w14:textId="77777777" w:rsidR="00647D0C" w:rsidRPr="00A61195" w:rsidRDefault="00647D0C" w:rsidP="009D20AB">
            <w:pPr>
              <w:spacing w:before="60" w:after="60" w:line="240" w:lineRule="auto"/>
              <w:rPr>
                <w:rFonts w:eastAsia="Calibri"/>
              </w:rPr>
            </w:pPr>
            <w:r w:rsidRPr="00A61195">
              <w:t>56-23-5</w:t>
            </w:r>
          </w:p>
        </w:tc>
        <w:tc>
          <w:tcPr>
            <w:tcW w:w="546" w:type="pct"/>
          </w:tcPr>
          <w:p w14:paraId="2A8D23B5" w14:textId="77777777" w:rsidR="00647D0C" w:rsidRPr="00A61195" w:rsidRDefault="00647D0C" w:rsidP="009D20AB">
            <w:pPr>
              <w:spacing w:before="60" w:after="60" w:line="240" w:lineRule="auto"/>
              <w:rPr>
                <w:rFonts w:eastAsia="Calibri"/>
              </w:rPr>
            </w:pPr>
            <w:r w:rsidRPr="00A61195">
              <w:t>200-262-8</w:t>
            </w:r>
          </w:p>
        </w:tc>
        <w:tc>
          <w:tcPr>
            <w:tcW w:w="390" w:type="pct"/>
          </w:tcPr>
          <w:p w14:paraId="039FA85B" w14:textId="77777777" w:rsidR="00647D0C" w:rsidRPr="00A61195" w:rsidRDefault="00647D0C" w:rsidP="009D20AB">
            <w:pPr>
              <w:spacing w:before="60" w:after="60" w:line="240" w:lineRule="auto"/>
              <w:rPr>
                <w:rFonts w:eastAsia="Calibri"/>
              </w:rPr>
            </w:pPr>
            <w:r w:rsidRPr="00A61195">
              <w:t>12</w:t>
            </w:r>
          </w:p>
        </w:tc>
        <w:tc>
          <w:tcPr>
            <w:tcW w:w="385" w:type="pct"/>
          </w:tcPr>
          <w:p w14:paraId="1F0A571E" w14:textId="77777777" w:rsidR="00647D0C" w:rsidRPr="00A61195" w:rsidRDefault="00647D0C" w:rsidP="009D20AB">
            <w:pPr>
              <w:spacing w:before="60" w:after="60" w:line="240" w:lineRule="auto"/>
              <w:rPr>
                <w:rFonts w:eastAsia="Calibri"/>
              </w:rPr>
            </w:pPr>
            <w:r w:rsidRPr="00A61195">
              <w:t>12</w:t>
            </w:r>
          </w:p>
        </w:tc>
        <w:tc>
          <w:tcPr>
            <w:tcW w:w="467" w:type="pct"/>
          </w:tcPr>
          <w:p w14:paraId="6ABCEC3E" w14:textId="77777777" w:rsidR="00647D0C" w:rsidRPr="00A61195" w:rsidRDefault="00647D0C" w:rsidP="009D20AB">
            <w:pPr>
              <w:spacing w:before="60" w:after="60" w:line="240" w:lineRule="auto"/>
              <w:rPr>
                <w:rFonts w:eastAsia="Calibri"/>
              </w:rPr>
            </w:pPr>
            <w:r w:rsidRPr="00A61195">
              <w:t>Nu se aplică</w:t>
            </w:r>
          </w:p>
        </w:tc>
        <w:tc>
          <w:tcPr>
            <w:tcW w:w="467" w:type="pct"/>
          </w:tcPr>
          <w:p w14:paraId="6CBFF843" w14:textId="77777777" w:rsidR="00647D0C" w:rsidRPr="00A61195" w:rsidRDefault="00647D0C" w:rsidP="009D20AB">
            <w:pPr>
              <w:spacing w:before="60" w:after="60" w:line="240" w:lineRule="auto"/>
              <w:rPr>
                <w:rFonts w:eastAsia="Calibri"/>
              </w:rPr>
            </w:pPr>
            <w:r w:rsidRPr="00A61195">
              <w:t>Nu se aplică</w:t>
            </w:r>
          </w:p>
        </w:tc>
        <w:tc>
          <w:tcPr>
            <w:tcW w:w="546" w:type="pct"/>
          </w:tcPr>
          <w:p w14:paraId="1BA41834" w14:textId="77777777" w:rsidR="00647D0C" w:rsidRPr="00A61195" w:rsidRDefault="00647D0C" w:rsidP="009D20AB">
            <w:pPr>
              <w:spacing w:before="60" w:after="60" w:line="240" w:lineRule="auto"/>
              <w:rPr>
                <w:rFonts w:eastAsia="Calibri"/>
              </w:rPr>
            </w:pPr>
          </w:p>
        </w:tc>
      </w:tr>
      <w:tr w:rsidR="00647D0C" w:rsidRPr="00A61195" w14:paraId="7AA83E78" w14:textId="77777777" w:rsidTr="00D10615">
        <w:tc>
          <w:tcPr>
            <w:tcW w:w="325" w:type="pct"/>
          </w:tcPr>
          <w:p w14:paraId="41F715F8" w14:textId="77777777" w:rsidR="00647D0C" w:rsidRPr="00A61195" w:rsidRDefault="00647D0C" w:rsidP="009D20AB">
            <w:pPr>
              <w:spacing w:before="60" w:after="60" w:line="240" w:lineRule="auto"/>
              <w:rPr>
                <w:rFonts w:eastAsia="Calibri"/>
              </w:rPr>
            </w:pPr>
            <w:r w:rsidRPr="00A61195">
              <w:t>3</w:t>
            </w:r>
          </w:p>
        </w:tc>
        <w:tc>
          <w:tcPr>
            <w:tcW w:w="625" w:type="pct"/>
          </w:tcPr>
          <w:p w14:paraId="3F12AE3A" w14:textId="77777777" w:rsidR="00647D0C" w:rsidRPr="00A61195" w:rsidRDefault="00647D0C" w:rsidP="009D20AB">
            <w:pPr>
              <w:spacing w:before="60" w:after="60" w:line="240" w:lineRule="auto"/>
              <w:rPr>
                <w:rFonts w:eastAsia="Calibri"/>
              </w:rPr>
            </w:pPr>
            <w:proofErr w:type="spellStart"/>
            <w:r w:rsidRPr="00A61195">
              <w:t>Clorfenvinfos</w:t>
            </w:r>
            <w:proofErr w:type="spellEnd"/>
            <w:r w:rsidRPr="00A61195">
              <w:t xml:space="preserve"> (</w:t>
            </w:r>
            <w:r w:rsidRPr="005C480A">
              <w:rPr>
                <w:b/>
                <w:bCs/>
                <w:vertAlign w:val="superscript"/>
              </w:rPr>
              <w:t>7</w:t>
            </w:r>
            <w:r w:rsidRPr="00A61195">
              <w:t>)</w:t>
            </w:r>
          </w:p>
        </w:tc>
        <w:tc>
          <w:tcPr>
            <w:tcW w:w="703" w:type="pct"/>
          </w:tcPr>
          <w:p w14:paraId="4AB2B1EC" w14:textId="77777777" w:rsidR="00647D0C" w:rsidRPr="00A61195" w:rsidRDefault="00647D0C" w:rsidP="009D20AB">
            <w:pPr>
              <w:spacing w:before="60" w:after="60" w:line="240" w:lineRule="auto"/>
              <w:rPr>
                <w:rFonts w:eastAsia="Calibri"/>
              </w:rPr>
            </w:pPr>
            <w:r w:rsidRPr="00A61195">
              <w:t>Pesticide</w:t>
            </w:r>
          </w:p>
        </w:tc>
        <w:tc>
          <w:tcPr>
            <w:tcW w:w="547" w:type="pct"/>
          </w:tcPr>
          <w:p w14:paraId="4460962E" w14:textId="77777777" w:rsidR="00647D0C" w:rsidRPr="00A61195" w:rsidRDefault="00647D0C" w:rsidP="009D20AB">
            <w:pPr>
              <w:spacing w:before="60" w:after="60" w:line="240" w:lineRule="auto"/>
              <w:rPr>
                <w:rFonts w:eastAsia="Calibri"/>
              </w:rPr>
            </w:pPr>
            <w:r w:rsidRPr="00A61195">
              <w:t>470-90-6</w:t>
            </w:r>
          </w:p>
        </w:tc>
        <w:tc>
          <w:tcPr>
            <w:tcW w:w="546" w:type="pct"/>
          </w:tcPr>
          <w:p w14:paraId="486E4EAF" w14:textId="77777777" w:rsidR="00647D0C" w:rsidRPr="00A61195" w:rsidRDefault="00647D0C" w:rsidP="009D20AB">
            <w:pPr>
              <w:spacing w:before="60" w:after="60" w:line="240" w:lineRule="auto"/>
              <w:rPr>
                <w:rFonts w:eastAsia="Calibri"/>
              </w:rPr>
            </w:pPr>
            <w:r w:rsidRPr="00A61195">
              <w:t>207-432-0</w:t>
            </w:r>
          </w:p>
        </w:tc>
        <w:tc>
          <w:tcPr>
            <w:tcW w:w="390" w:type="pct"/>
          </w:tcPr>
          <w:p w14:paraId="4ACD5F99" w14:textId="77777777" w:rsidR="00647D0C" w:rsidRPr="00A61195" w:rsidRDefault="00647D0C" w:rsidP="009D20AB">
            <w:pPr>
              <w:spacing w:before="60" w:after="60" w:line="240" w:lineRule="auto"/>
              <w:rPr>
                <w:rFonts w:eastAsia="Calibri"/>
              </w:rPr>
            </w:pPr>
            <w:r w:rsidRPr="00A61195">
              <w:t>0,1</w:t>
            </w:r>
          </w:p>
        </w:tc>
        <w:tc>
          <w:tcPr>
            <w:tcW w:w="385" w:type="pct"/>
          </w:tcPr>
          <w:p w14:paraId="43D94A1F" w14:textId="77777777" w:rsidR="00647D0C" w:rsidRPr="00A61195" w:rsidRDefault="00647D0C" w:rsidP="009D20AB">
            <w:pPr>
              <w:spacing w:before="60" w:after="60" w:line="240" w:lineRule="auto"/>
              <w:rPr>
                <w:rFonts w:eastAsia="Calibri"/>
              </w:rPr>
            </w:pPr>
            <w:r w:rsidRPr="00A61195">
              <w:t>0,1</w:t>
            </w:r>
          </w:p>
        </w:tc>
        <w:tc>
          <w:tcPr>
            <w:tcW w:w="467" w:type="pct"/>
          </w:tcPr>
          <w:p w14:paraId="01FD636D" w14:textId="77777777" w:rsidR="00647D0C" w:rsidRPr="00A61195" w:rsidRDefault="00647D0C" w:rsidP="009D20AB">
            <w:pPr>
              <w:spacing w:before="60" w:after="60" w:line="240" w:lineRule="auto"/>
              <w:rPr>
                <w:rFonts w:eastAsia="Calibri"/>
              </w:rPr>
            </w:pPr>
            <w:r w:rsidRPr="00A61195">
              <w:t>0,3</w:t>
            </w:r>
          </w:p>
        </w:tc>
        <w:tc>
          <w:tcPr>
            <w:tcW w:w="467" w:type="pct"/>
          </w:tcPr>
          <w:p w14:paraId="70DC101B" w14:textId="77777777" w:rsidR="00647D0C" w:rsidRPr="00A61195" w:rsidRDefault="00647D0C" w:rsidP="009D20AB">
            <w:pPr>
              <w:spacing w:before="60" w:after="60" w:line="240" w:lineRule="auto"/>
              <w:rPr>
                <w:rFonts w:eastAsia="Calibri"/>
              </w:rPr>
            </w:pPr>
            <w:r w:rsidRPr="00A61195">
              <w:t>0,3</w:t>
            </w:r>
          </w:p>
        </w:tc>
        <w:tc>
          <w:tcPr>
            <w:tcW w:w="546" w:type="pct"/>
          </w:tcPr>
          <w:p w14:paraId="4562CEE7" w14:textId="77777777" w:rsidR="00647D0C" w:rsidRPr="00A61195" w:rsidRDefault="00647D0C" w:rsidP="009D20AB">
            <w:pPr>
              <w:spacing w:before="60" w:after="60" w:line="240" w:lineRule="auto"/>
              <w:rPr>
                <w:rFonts w:eastAsia="Calibri"/>
              </w:rPr>
            </w:pPr>
          </w:p>
        </w:tc>
      </w:tr>
      <w:tr w:rsidR="00647D0C" w:rsidRPr="00A61195" w14:paraId="5D63F9FC" w14:textId="77777777" w:rsidTr="00D10615">
        <w:tc>
          <w:tcPr>
            <w:tcW w:w="325" w:type="pct"/>
          </w:tcPr>
          <w:p w14:paraId="23717788" w14:textId="77777777" w:rsidR="00647D0C" w:rsidRPr="00A61195" w:rsidRDefault="00647D0C" w:rsidP="009D20AB">
            <w:pPr>
              <w:spacing w:before="60" w:after="60" w:line="240" w:lineRule="auto"/>
              <w:rPr>
                <w:rFonts w:eastAsia="Calibri"/>
              </w:rPr>
            </w:pPr>
            <w:r w:rsidRPr="00A61195">
              <w:t>4</w:t>
            </w:r>
          </w:p>
        </w:tc>
        <w:tc>
          <w:tcPr>
            <w:tcW w:w="625" w:type="pct"/>
          </w:tcPr>
          <w:p w14:paraId="530372A6" w14:textId="77777777" w:rsidR="00647D0C" w:rsidRPr="00A61195" w:rsidRDefault="00647D0C" w:rsidP="009D20AB">
            <w:pPr>
              <w:spacing w:before="60" w:after="60" w:line="240" w:lineRule="auto"/>
              <w:rPr>
                <w:rFonts w:eastAsia="Calibri"/>
              </w:rPr>
            </w:pPr>
            <w:proofErr w:type="spellStart"/>
            <w:r w:rsidRPr="00A61195">
              <w:t>Simazin</w:t>
            </w:r>
            <w:proofErr w:type="spellEnd"/>
            <w:r w:rsidRPr="00A61195">
              <w:t xml:space="preserve"> (</w:t>
            </w:r>
            <w:r w:rsidRPr="005C480A">
              <w:rPr>
                <w:b/>
                <w:bCs/>
                <w:vertAlign w:val="superscript"/>
              </w:rPr>
              <w:t>7</w:t>
            </w:r>
            <w:r w:rsidRPr="00A61195">
              <w:t>)</w:t>
            </w:r>
          </w:p>
        </w:tc>
        <w:tc>
          <w:tcPr>
            <w:tcW w:w="703" w:type="pct"/>
          </w:tcPr>
          <w:p w14:paraId="465226C4" w14:textId="77777777" w:rsidR="00647D0C" w:rsidRPr="00A61195" w:rsidRDefault="00647D0C" w:rsidP="009D20AB">
            <w:pPr>
              <w:spacing w:before="60" w:after="60" w:line="240" w:lineRule="auto"/>
              <w:rPr>
                <w:rFonts w:eastAsia="Calibri"/>
              </w:rPr>
            </w:pPr>
            <w:r w:rsidRPr="00A61195">
              <w:t>Pesticide</w:t>
            </w:r>
          </w:p>
        </w:tc>
        <w:tc>
          <w:tcPr>
            <w:tcW w:w="547" w:type="pct"/>
          </w:tcPr>
          <w:p w14:paraId="58A60C96" w14:textId="77777777" w:rsidR="00647D0C" w:rsidRPr="00A61195" w:rsidRDefault="00647D0C" w:rsidP="009D20AB">
            <w:pPr>
              <w:spacing w:before="60" w:after="60" w:line="240" w:lineRule="auto"/>
              <w:rPr>
                <w:rFonts w:eastAsia="Calibri"/>
              </w:rPr>
            </w:pPr>
            <w:r w:rsidRPr="00A61195">
              <w:t>122-34-9</w:t>
            </w:r>
          </w:p>
        </w:tc>
        <w:tc>
          <w:tcPr>
            <w:tcW w:w="546" w:type="pct"/>
          </w:tcPr>
          <w:p w14:paraId="753DB918" w14:textId="77777777" w:rsidR="00647D0C" w:rsidRPr="00A61195" w:rsidRDefault="00647D0C" w:rsidP="009D20AB">
            <w:pPr>
              <w:spacing w:before="60" w:after="60" w:line="240" w:lineRule="auto"/>
              <w:rPr>
                <w:rFonts w:eastAsia="Calibri"/>
              </w:rPr>
            </w:pPr>
            <w:r w:rsidRPr="00A61195">
              <w:t>204-535-2</w:t>
            </w:r>
          </w:p>
        </w:tc>
        <w:tc>
          <w:tcPr>
            <w:tcW w:w="390" w:type="pct"/>
          </w:tcPr>
          <w:p w14:paraId="5BF2CF6B" w14:textId="77777777" w:rsidR="00647D0C" w:rsidRPr="00A61195" w:rsidRDefault="00647D0C" w:rsidP="009D20AB">
            <w:pPr>
              <w:spacing w:before="60" w:after="60" w:line="240" w:lineRule="auto"/>
              <w:rPr>
                <w:rFonts w:eastAsia="Calibri"/>
              </w:rPr>
            </w:pPr>
            <w:r w:rsidRPr="00A61195">
              <w:t>1</w:t>
            </w:r>
          </w:p>
        </w:tc>
        <w:tc>
          <w:tcPr>
            <w:tcW w:w="385" w:type="pct"/>
          </w:tcPr>
          <w:p w14:paraId="0D0C25E6" w14:textId="77777777" w:rsidR="00647D0C" w:rsidRPr="00A61195" w:rsidRDefault="00647D0C" w:rsidP="009D20AB">
            <w:pPr>
              <w:spacing w:before="60" w:after="60" w:line="240" w:lineRule="auto"/>
              <w:rPr>
                <w:rFonts w:eastAsia="Calibri"/>
              </w:rPr>
            </w:pPr>
            <w:r w:rsidRPr="00A61195">
              <w:t>1</w:t>
            </w:r>
          </w:p>
        </w:tc>
        <w:tc>
          <w:tcPr>
            <w:tcW w:w="467" w:type="pct"/>
          </w:tcPr>
          <w:p w14:paraId="26169CDB" w14:textId="77777777" w:rsidR="00647D0C" w:rsidRPr="00A61195" w:rsidRDefault="00647D0C" w:rsidP="009D20AB">
            <w:pPr>
              <w:spacing w:before="60" w:after="60" w:line="240" w:lineRule="auto"/>
              <w:rPr>
                <w:rFonts w:eastAsia="Calibri"/>
              </w:rPr>
            </w:pPr>
            <w:r w:rsidRPr="00A61195">
              <w:t>4</w:t>
            </w:r>
          </w:p>
        </w:tc>
        <w:tc>
          <w:tcPr>
            <w:tcW w:w="467" w:type="pct"/>
          </w:tcPr>
          <w:p w14:paraId="4C8C4F28" w14:textId="77777777" w:rsidR="00647D0C" w:rsidRPr="00A61195" w:rsidRDefault="00647D0C" w:rsidP="009D20AB">
            <w:pPr>
              <w:spacing w:before="60" w:after="60" w:line="240" w:lineRule="auto"/>
              <w:rPr>
                <w:rFonts w:eastAsia="Calibri"/>
              </w:rPr>
            </w:pPr>
            <w:r w:rsidRPr="00A61195">
              <w:t>4</w:t>
            </w:r>
          </w:p>
        </w:tc>
        <w:tc>
          <w:tcPr>
            <w:tcW w:w="546" w:type="pct"/>
          </w:tcPr>
          <w:p w14:paraId="3DC583F4" w14:textId="77777777" w:rsidR="00647D0C" w:rsidRPr="00A61195" w:rsidRDefault="00647D0C" w:rsidP="009D20AB">
            <w:pPr>
              <w:spacing w:before="60" w:after="60" w:line="240" w:lineRule="auto"/>
              <w:rPr>
                <w:rFonts w:eastAsia="Calibri"/>
              </w:rPr>
            </w:pPr>
          </w:p>
        </w:tc>
      </w:tr>
      <w:tr w:rsidR="00647D0C" w:rsidRPr="00A61195" w14:paraId="1FAE245B" w14:textId="77777777" w:rsidTr="00D10615">
        <w:tc>
          <w:tcPr>
            <w:tcW w:w="325" w:type="pct"/>
          </w:tcPr>
          <w:p w14:paraId="5F7A2A49" w14:textId="77777777" w:rsidR="00647D0C" w:rsidRPr="00A61195" w:rsidRDefault="00647D0C" w:rsidP="009D20AB">
            <w:pPr>
              <w:pageBreakBefore/>
              <w:spacing w:before="60" w:after="60" w:line="240" w:lineRule="auto"/>
              <w:rPr>
                <w:rFonts w:eastAsia="Calibri"/>
                <w:bCs/>
              </w:rPr>
            </w:pPr>
            <w:r w:rsidRPr="00A61195">
              <w:lastRenderedPageBreak/>
              <w:t>5</w:t>
            </w:r>
          </w:p>
        </w:tc>
        <w:tc>
          <w:tcPr>
            <w:tcW w:w="625" w:type="pct"/>
          </w:tcPr>
          <w:p w14:paraId="6CB52861" w14:textId="77777777" w:rsidR="00647D0C" w:rsidRPr="00A61195" w:rsidRDefault="00647D0C" w:rsidP="009D20AB">
            <w:pPr>
              <w:spacing w:before="60" w:after="60" w:line="240" w:lineRule="auto"/>
              <w:rPr>
                <w:rFonts w:eastAsia="Calibri"/>
                <w:bCs/>
              </w:rPr>
            </w:pPr>
            <w:proofErr w:type="spellStart"/>
            <w:r w:rsidRPr="00A61195">
              <w:t>Triclorbenzeni</w:t>
            </w:r>
            <w:proofErr w:type="spellEnd"/>
            <w:r w:rsidRPr="00A61195">
              <w:t xml:space="preserve"> (</w:t>
            </w:r>
            <w:r w:rsidRPr="005C480A">
              <w:rPr>
                <w:b/>
                <w:bCs/>
                <w:vertAlign w:val="superscript"/>
              </w:rPr>
              <w:t>7</w:t>
            </w:r>
            <w:r w:rsidRPr="00A61195">
              <w:t>)</w:t>
            </w:r>
          </w:p>
        </w:tc>
        <w:tc>
          <w:tcPr>
            <w:tcW w:w="703" w:type="pct"/>
          </w:tcPr>
          <w:p w14:paraId="7CDB06B9" w14:textId="77777777" w:rsidR="00647D0C" w:rsidRPr="00A61195" w:rsidRDefault="00647D0C" w:rsidP="009D20AB">
            <w:pPr>
              <w:spacing w:before="60" w:after="60" w:line="240" w:lineRule="auto"/>
              <w:rPr>
                <w:rFonts w:eastAsia="Calibri"/>
                <w:bCs/>
              </w:rPr>
            </w:pPr>
            <w:r w:rsidRPr="00A61195">
              <w:t>Substanțe industriale – solvenți</w:t>
            </w:r>
          </w:p>
        </w:tc>
        <w:tc>
          <w:tcPr>
            <w:tcW w:w="547" w:type="pct"/>
          </w:tcPr>
          <w:p w14:paraId="799DE037" w14:textId="77777777" w:rsidR="00647D0C" w:rsidRPr="00A61195" w:rsidRDefault="00647D0C" w:rsidP="009D20AB">
            <w:pPr>
              <w:spacing w:before="60" w:after="60" w:line="240" w:lineRule="auto"/>
              <w:rPr>
                <w:rFonts w:eastAsia="Calibri"/>
                <w:bCs/>
              </w:rPr>
            </w:pPr>
            <w:r w:rsidRPr="00A61195">
              <w:t>12002-48-1</w:t>
            </w:r>
          </w:p>
        </w:tc>
        <w:tc>
          <w:tcPr>
            <w:tcW w:w="546" w:type="pct"/>
          </w:tcPr>
          <w:p w14:paraId="38AF854F" w14:textId="77777777" w:rsidR="00647D0C" w:rsidRPr="00A61195" w:rsidRDefault="00647D0C" w:rsidP="009D20AB">
            <w:pPr>
              <w:spacing w:before="60" w:after="60" w:line="240" w:lineRule="auto"/>
              <w:rPr>
                <w:rFonts w:eastAsia="Calibri"/>
                <w:bCs/>
              </w:rPr>
            </w:pPr>
            <w:r w:rsidRPr="00A61195">
              <w:t>234-413-4</w:t>
            </w:r>
          </w:p>
        </w:tc>
        <w:tc>
          <w:tcPr>
            <w:tcW w:w="390" w:type="pct"/>
          </w:tcPr>
          <w:p w14:paraId="4099EDC2" w14:textId="77777777" w:rsidR="00647D0C" w:rsidRPr="00A61195" w:rsidRDefault="00647D0C" w:rsidP="009D20AB">
            <w:pPr>
              <w:spacing w:before="60" w:after="60" w:line="240" w:lineRule="auto"/>
              <w:rPr>
                <w:rFonts w:eastAsia="Calibri"/>
                <w:bCs/>
              </w:rPr>
            </w:pPr>
            <w:r w:rsidRPr="00A61195">
              <w:t>0,4</w:t>
            </w:r>
          </w:p>
        </w:tc>
        <w:tc>
          <w:tcPr>
            <w:tcW w:w="385" w:type="pct"/>
          </w:tcPr>
          <w:p w14:paraId="6C42FEF2" w14:textId="77777777" w:rsidR="00647D0C" w:rsidRPr="00A61195" w:rsidRDefault="00647D0C" w:rsidP="009D20AB">
            <w:pPr>
              <w:spacing w:before="60" w:after="60" w:line="240" w:lineRule="auto"/>
              <w:rPr>
                <w:rFonts w:eastAsia="Calibri"/>
                <w:bCs/>
              </w:rPr>
            </w:pPr>
            <w:r w:rsidRPr="00A61195">
              <w:t>0,4</w:t>
            </w:r>
          </w:p>
        </w:tc>
        <w:tc>
          <w:tcPr>
            <w:tcW w:w="467" w:type="pct"/>
          </w:tcPr>
          <w:p w14:paraId="613B7117" w14:textId="77777777" w:rsidR="00647D0C" w:rsidRPr="00A61195" w:rsidRDefault="00647D0C" w:rsidP="009D20AB">
            <w:pPr>
              <w:spacing w:before="60" w:after="60" w:line="240" w:lineRule="auto"/>
              <w:rPr>
                <w:rFonts w:eastAsia="Calibri"/>
                <w:bCs/>
              </w:rPr>
            </w:pPr>
            <w:r w:rsidRPr="00A61195">
              <w:t>Nu se aplică</w:t>
            </w:r>
          </w:p>
        </w:tc>
        <w:tc>
          <w:tcPr>
            <w:tcW w:w="467" w:type="pct"/>
          </w:tcPr>
          <w:p w14:paraId="406E5DD7" w14:textId="77777777" w:rsidR="00647D0C" w:rsidRPr="00A61195" w:rsidRDefault="00647D0C" w:rsidP="009D20AB">
            <w:pPr>
              <w:spacing w:before="60" w:after="60" w:line="240" w:lineRule="auto"/>
              <w:rPr>
                <w:rFonts w:eastAsia="Calibri"/>
                <w:bCs/>
              </w:rPr>
            </w:pPr>
            <w:r w:rsidRPr="00A61195">
              <w:t>Nu se aplică</w:t>
            </w:r>
          </w:p>
        </w:tc>
        <w:tc>
          <w:tcPr>
            <w:tcW w:w="546" w:type="pct"/>
          </w:tcPr>
          <w:p w14:paraId="6512DCD1" w14:textId="77777777" w:rsidR="00647D0C" w:rsidRPr="00A61195" w:rsidRDefault="00647D0C" w:rsidP="009D20AB">
            <w:pPr>
              <w:spacing w:before="60" w:after="60" w:line="240" w:lineRule="auto"/>
              <w:rPr>
                <w:rFonts w:eastAsia="Calibri"/>
                <w:bCs/>
              </w:rPr>
            </w:pPr>
          </w:p>
        </w:tc>
      </w:tr>
      <w:tr w:rsidR="00647D0C" w:rsidRPr="00A61195" w14:paraId="45F7E8C5" w14:textId="77777777" w:rsidTr="00D10615">
        <w:tc>
          <w:tcPr>
            <w:tcW w:w="325" w:type="pct"/>
          </w:tcPr>
          <w:p w14:paraId="76B57625" w14:textId="77777777" w:rsidR="00647D0C" w:rsidRPr="00A61195" w:rsidRDefault="00647D0C" w:rsidP="009D20AB">
            <w:pPr>
              <w:spacing w:before="60" w:after="60" w:line="240" w:lineRule="auto"/>
              <w:rPr>
                <w:rFonts w:eastAsia="Calibri"/>
                <w:bCs/>
              </w:rPr>
            </w:pPr>
            <w:r w:rsidRPr="00A61195">
              <w:t>6</w:t>
            </w:r>
          </w:p>
        </w:tc>
        <w:tc>
          <w:tcPr>
            <w:tcW w:w="625" w:type="pct"/>
          </w:tcPr>
          <w:p w14:paraId="2A826766" w14:textId="6A92EA3A" w:rsidR="00647D0C" w:rsidRPr="00A61195" w:rsidRDefault="00647D0C" w:rsidP="009D20AB">
            <w:pPr>
              <w:spacing w:before="60" w:after="60" w:line="240" w:lineRule="auto"/>
              <w:rPr>
                <w:rFonts w:eastAsia="Calibri"/>
                <w:bCs/>
              </w:rPr>
            </w:pPr>
            <w:proofErr w:type="spellStart"/>
            <w:r w:rsidRPr="00A61195">
              <w:t>Atrazin</w:t>
            </w:r>
            <w:proofErr w:type="spellEnd"/>
            <w:r w:rsidRPr="00A61195">
              <w:t xml:space="preserve"> (</w:t>
            </w:r>
            <w:r w:rsidRPr="005C480A">
              <w:rPr>
                <w:b/>
                <w:bCs/>
                <w:vertAlign w:val="superscript"/>
              </w:rPr>
              <w:t>7</w:t>
            </w:r>
            <w:r w:rsidRPr="00A61195">
              <w:t>)</w:t>
            </w:r>
          </w:p>
        </w:tc>
        <w:tc>
          <w:tcPr>
            <w:tcW w:w="703" w:type="pct"/>
          </w:tcPr>
          <w:p w14:paraId="67C57491" w14:textId="77777777" w:rsidR="00647D0C" w:rsidRPr="00A61195" w:rsidRDefault="00647D0C" w:rsidP="009D20AB">
            <w:pPr>
              <w:spacing w:before="60" w:after="60" w:line="240" w:lineRule="auto"/>
              <w:rPr>
                <w:rFonts w:eastAsia="Calibri"/>
                <w:bCs/>
              </w:rPr>
            </w:pPr>
            <w:r w:rsidRPr="00A61195">
              <w:t>Pesticide – erbicide</w:t>
            </w:r>
          </w:p>
        </w:tc>
        <w:tc>
          <w:tcPr>
            <w:tcW w:w="547" w:type="pct"/>
          </w:tcPr>
          <w:p w14:paraId="1D15C794" w14:textId="77777777" w:rsidR="00647D0C" w:rsidRPr="00A61195" w:rsidRDefault="00647D0C" w:rsidP="009D20AB">
            <w:pPr>
              <w:spacing w:before="60" w:after="60" w:line="240" w:lineRule="auto"/>
              <w:rPr>
                <w:rFonts w:eastAsia="Calibri"/>
                <w:bCs/>
              </w:rPr>
            </w:pPr>
            <w:r w:rsidRPr="00A61195">
              <w:t>1912-24-9</w:t>
            </w:r>
          </w:p>
        </w:tc>
        <w:tc>
          <w:tcPr>
            <w:tcW w:w="546" w:type="pct"/>
          </w:tcPr>
          <w:p w14:paraId="679637A1" w14:textId="77777777" w:rsidR="00647D0C" w:rsidRPr="00A61195" w:rsidRDefault="00647D0C" w:rsidP="009D20AB">
            <w:pPr>
              <w:spacing w:before="60" w:after="60" w:line="240" w:lineRule="auto"/>
              <w:rPr>
                <w:rFonts w:eastAsia="Calibri"/>
                <w:bCs/>
              </w:rPr>
            </w:pPr>
            <w:r w:rsidRPr="00A61195">
              <w:t>217-617-8</w:t>
            </w:r>
          </w:p>
        </w:tc>
        <w:tc>
          <w:tcPr>
            <w:tcW w:w="390" w:type="pct"/>
          </w:tcPr>
          <w:p w14:paraId="08E1048B" w14:textId="77777777" w:rsidR="00647D0C" w:rsidRPr="00A61195" w:rsidRDefault="00647D0C" w:rsidP="009D20AB">
            <w:pPr>
              <w:spacing w:before="60" w:after="60" w:line="240" w:lineRule="auto"/>
              <w:rPr>
                <w:rFonts w:eastAsia="Calibri"/>
                <w:bCs/>
              </w:rPr>
            </w:pPr>
            <w:r w:rsidRPr="00A61195">
              <w:t>0,6</w:t>
            </w:r>
          </w:p>
        </w:tc>
        <w:tc>
          <w:tcPr>
            <w:tcW w:w="385" w:type="pct"/>
          </w:tcPr>
          <w:p w14:paraId="3B77EEEF" w14:textId="77777777" w:rsidR="00647D0C" w:rsidRPr="00A61195" w:rsidRDefault="00647D0C" w:rsidP="009D20AB">
            <w:pPr>
              <w:spacing w:before="60" w:after="60" w:line="240" w:lineRule="auto"/>
              <w:rPr>
                <w:rFonts w:eastAsia="Calibri"/>
                <w:bCs/>
              </w:rPr>
            </w:pPr>
            <w:r w:rsidRPr="00A61195">
              <w:t>0,6</w:t>
            </w:r>
          </w:p>
        </w:tc>
        <w:tc>
          <w:tcPr>
            <w:tcW w:w="467" w:type="pct"/>
          </w:tcPr>
          <w:p w14:paraId="031627A3" w14:textId="77777777" w:rsidR="00647D0C" w:rsidRPr="00A61195" w:rsidRDefault="00647D0C" w:rsidP="009D20AB">
            <w:pPr>
              <w:spacing w:before="60" w:after="60" w:line="240" w:lineRule="auto"/>
              <w:rPr>
                <w:rFonts w:eastAsia="Calibri"/>
                <w:bCs/>
              </w:rPr>
            </w:pPr>
            <w:r w:rsidRPr="00A61195">
              <w:t>2,0</w:t>
            </w:r>
          </w:p>
        </w:tc>
        <w:tc>
          <w:tcPr>
            <w:tcW w:w="467" w:type="pct"/>
          </w:tcPr>
          <w:p w14:paraId="03FB3F68" w14:textId="77777777" w:rsidR="00647D0C" w:rsidRPr="00A61195" w:rsidRDefault="00647D0C" w:rsidP="009D20AB">
            <w:pPr>
              <w:spacing w:before="60" w:after="60" w:line="240" w:lineRule="auto"/>
              <w:rPr>
                <w:rFonts w:eastAsia="Calibri"/>
                <w:bCs/>
              </w:rPr>
            </w:pPr>
            <w:r w:rsidRPr="00A61195">
              <w:t>2,0</w:t>
            </w:r>
          </w:p>
        </w:tc>
        <w:tc>
          <w:tcPr>
            <w:tcW w:w="546" w:type="pct"/>
          </w:tcPr>
          <w:p w14:paraId="58BC2C2F" w14:textId="77777777" w:rsidR="00647D0C" w:rsidRPr="00A61195" w:rsidRDefault="00647D0C" w:rsidP="009D20AB">
            <w:pPr>
              <w:spacing w:before="60" w:after="60" w:line="240" w:lineRule="auto"/>
              <w:rPr>
                <w:rFonts w:eastAsia="Calibri"/>
                <w:bCs/>
              </w:rPr>
            </w:pPr>
          </w:p>
        </w:tc>
      </w:tr>
    </w:tbl>
    <w:p w14:paraId="542E73EE" w14:textId="77777777" w:rsidR="00647D0C" w:rsidRPr="00A61195" w:rsidRDefault="00647D0C" w:rsidP="00647D0C">
      <w:pPr>
        <w:spacing w:before="0" w:after="160" w:line="259" w:lineRule="auto"/>
        <w:rPr>
          <w:rFonts w:eastAsia="Calibri"/>
          <w:szCs w:val="24"/>
        </w:rPr>
      </w:pPr>
      <w:r w:rsidRPr="00A61195">
        <w:rPr>
          <w:rFonts w:eastAsia="Calibri"/>
          <w:szCs w:val="24"/>
        </w:rPr>
        <w:br w:type="page"/>
      </w:r>
    </w:p>
    <w:p w14:paraId="51A08847" w14:textId="4C8575AD" w:rsidR="00647D0C" w:rsidRPr="00A61195" w:rsidRDefault="00647D0C" w:rsidP="00A61195">
      <w:pPr>
        <w:rPr>
          <w:rFonts w:eastAsia="Calibri"/>
          <w:szCs w:val="24"/>
        </w:rPr>
      </w:pPr>
      <w:r w:rsidRPr="00A61195">
        <w:rPr>
          <w:rFonts w:eastAsia="Calibri"/>
          <w:szCs w:val="24"/>
        </w:rPr>
        <w:lastRenderedPageBreak/>
        <w:t>_______________</w:t>
      </w:r>
    </w:p>
    <w:p w14:paraId="152263BB" w14:textId="6B59084E" w:rsidR="00647D0C" w:rsidRPr="00A61195" w:rsidRDefault="00647D0C" w:rsidP="00A61195">
      <w:pPr>
        <w:pStyle w:val="Point0"/>
        <w:spacing w:before="0" w:after="0" w:line="240" w:lineRule="auto"/>
        <w:ind w:left="851" w:hanging="851"/>
        <w:rPr>
          <w:rFonts w:eastAsia="Calibri"/>
          <w:szCs w:val="24"/>
        </w:rPr>
      </w:pPr>
      <w:r w:rsidRPr="00A61195">
        <w:t>(</w:t>
      </w:r>
      <w:r w:rsidRPr="005C480A">
        <w:rPr>
          <w:b/>
          <w:bCs/>
          <w:vertAlign w:val="superscript"/>
        </w:rPr>
        <w:t>1</w:t>
      </w:r>
      <w:r w:rsidRPr="00A61195">
        <w:t>)</w:t>
      </w:r>
      <w:r w:rsidRPr="00A61195">
        <w:tab/>
        <w:t>CAS: serviciul de catalogare a substanțelor chimice (</w:t>
      </w:r>
      <w:proofErr w:type="spellStart"/>
      <w:r w:rsidRPr="005C480A">
        <w:rPr>
          <w:i/>
          <w:iCs/>
        </w:rPr>
        <w:t>Chemical</w:t>
      </w:r>
      <w:proofErr w:type="spellEnd"/>
      <w:r w:rsidRPr="005C480A">
        <w:rPr>
          <w:i/>
          <w:iCs/>
        </w:rPr>
        <w:t xml:space="preserve"> Abstract Service</w:t>
      </w:r>
      <w:r w:rsidRPr="00A61195">
        <w:t>).</w:t>
      </w:r>
    </w:p>
    <w:p w14:paraId="6358B07C" w14:textId="77777777" w:rsidR="00647D0C" w:rsidRPr="00A61195" w:rsidRDefault="00647D0C" w:rsidP="00A61195">
      <w:pPr>
        <w:pStyle w:val="Point0"/>
        <w:spacing w:before="0" w:after="0" w:line="240" w:lineRule="auto"/>
        <w:ind w:left="851" w:hanging="851"/>
        <w:rPr>
          <w:rFonts w:eastAsia="Calibri"/>
          <w:szCs w:val="24"/>
        </w:rPr>
      </w:pPr>
      <w:r w:rsidRPr="00A61195">
        <w:t>(</w:t>
      </w:r>
      <w:r w:rsidRPr="005C480A">
        <w:rPr>
          <w:b/>
          <w:bCs/>
          <w:vertAlign w:val="superscript"/>
        </w:rPr>
        <w:t>2</w:t>
      </w:r>
      <w:r w:rsidRPr="00A61195">
        <w:t>)</w:t>
      </w:r>
      <w:r w:rsidRPr="00A61195">
        <w:tab/>
        <w:t>Numărul UE: Inventarul european al substanțelor chimice existente introduse pe piață (EINECS) sau Lista europeană a substanțelor chimice notificate (ELINCS).</w:t>
      </w:r>
    </w:p>
    <w:p w14:paraId="5C775DB0" w14:textId="77777777" w:rsidR="00647D0C" w:rsidRPr="00A61195" w:rsidRDefault="00647D0C" w:rsidP="00A61195">
      <w:pPr>
        <w:pStyle w:val="Point0"/>
        <w:spacing w:before="0" w:after="0" w:line="240" w:lineRule="auto"/>
        <w:ind w:left="851" w:hanging="851"/>
      </w:pPr>
      <w:r w:rsidRPr="00A61195">
        <w:t>(</w:t>
      </w:r>
      <w:r w:rsidRPr="005C480A">
        <w:rPr>
          <w:b/>
          <w:bCs/>
          <w:vertAlign w:val="superscript"/>
        </w:rPr>
        <w:t>3</w:t>
      </w:r>
      <w:r w:rsidRPr="00A61195">
        <w:t>)</w:t>
      </w:r>
      <w:r w:rsidRPr="00A61195">
        <w:tab/>
        <w:t>Acest parametru reprezintă standardul de calitate a mediului exprimat ca valoare medie anuală (SCM-MA). Dacă nu se specifică altfel, acesta se aplică concentrației totale a tuturor substanțelor și izomerilor.</w:t>
      </w:r>
    </w:p>
    <w:p w14:paraId="6A51FE34" w14:textId="1A1327E3" w:rsidR="00647D0C" w:rsidRPr="00A61195" w:rsidRDefault="00647D0C" w:rsidP="00A61195">
      <w:pPr>
        <w:pStyle w:val="Point0"/>
        <w:spacing w:before="0" w:after="0" w:line="240" w:lineRule="auto"/>
        <w:ind w:left="851" w:hanging="851"/>
        <w:rPr>
          <w:rFonts w:eastAsia="Calibri"/>
          <w:szCs w:val="24"/>
        </w:rPr>
      </w:pPr>
      <w:r w:rsidRPr="00A61195">
        <w:t>(</w:t>
      </w:r>
      <w:r w:rsidRPr="005C480A">
        <w:rPr>
          <w:b/>
          <w:bCs/>
          <w:vertAlign w:val="superscript"/>
        </w:rPr>
        <w:t>4</w:t>
      </w:r>
      <w:r w:rsidRPr="00A61195">
        <w:t>)</w:t>
      </w:r>
      <w:r w:rsidRPr="00A61195">
        <w:tab/>
        <w:t>Apele interioare de suprafață cuprind râurile și lacurile, precum și corpurile de apă artificiale sau modificate substanțial care au legătură cu acestea.</w:t>
      </w:r>
    </w:p>
    <w:p w14:paraId="669205DA" w14:textId="77777777" w:rsidR="00647D0C" w:rsidRPr="00A61195" w:rsidRDefault="00647D0C" w:rsidP="00A61195">
      <w:pPr>
        <w:pStyle w:val="Point0"/>
        <w:spacing w:before="0" w:after="0" w:line="240" w:lineRule="auto"/>
        <w:ind w:left="851" w:hanging="851"/>
        <w:rPr>
          <w:rFonts w:eastAsia="Calibri"/>
          <w:szCs w:val="24"/>
        </w:rPr>
      </w:pPr>
      <w:r w:rsidRPr="00A61195">
        <w:t>(</w:t>
      </w:r>
      <w:r w:rsidRPr="005C480A">
        <w:rPr>
          <w:b/>
          <w:bCs/>
          <w:vertAlign w:val="superscript"/>
        </w:rPr>
        <w:t>5</w:t>
      </w:r>
      <w:r w:rsidRPr="00A61195">
        <w:t>)</w:t>
      </w:r>
      <w:r w:rsidRPr="00A61195">
        <w:tab/>
        <w:t>Acest parametru reprezintă standardul de calitate a mediului exprimat sub formă de concentrație maximă admisibilă (SCM-CMA). Atunci când pentru SCM-CMA apare indicația «nu se aplică», se consideră că valorile SCM-MA asigură protecție împotriva vârfurilor de poluare pe termen scurt care apar în cazul evacuărilor continue, deoarece acestea sunt semnificativ mai scăzute decât valorile obținute pe baza toxicității acute.</w:t>
      </w:r>
    </w:p>
    <w:p w14:paraId="0AF76ACB" w14:textId="77777777" w:rsidR="00647D0C" w:rsidRPr="00A61195" w:rsidRDefault="00647D0C" w:rsidP="00A61195">
      <w:pPr>
        <w:pStyle w:val="Point0"/>
        <w:spacing w:before="0" w:after="0" w:line="240" w:lineRule="auto"/>
        <w:ind w:left="851" w:hanging="851"/>
        <w:rPr>
          <w:rFonts w:eastAsia="Calibri"/>
          <w:szCs w:val="24"/>
        </w:rPr>
      </w:pPr>
      <w:r w:rsidRPr="00A61195">
        <w:t>(</w:t>
      </w:r>
      <w:r w:rsidRPr="005C480A">
        <w:rPr>
          <w:b/>
          <w:bCs/>
          <w:vertAlign w:val="superscript"/>
        </w:rPr>
        <w:t>6</w:t>
      </w:r>
      <w:r w:rsidRPr="00A61195">
        <w:t>)</w:t>
      </w:r>
      <w:r w:rsidRPr="00A61195">
        <w:tab/>
        <w:t xml:space="preserve">Dacă se indică un SCM pentru </w:t>
      </w:r>
      <w:proofErr w:type="spellStart"/>
      <w:r w:rsidRPr="00A61195">
        <w:t>biotă</w:t>
      </w:r>
      <w:proofErr w:type="spellEnd"/>
      <w:r w:rsidRPr="00A61195">
        <w:t xml:space="preserve">, în locul SCM-ului pentru apă se utilizează respectivul SCM pentru </w:t>
      </w:r>
      <w:proofErr w:type="spellStart"/>
      <w:r w:rsidRPr="00A61195">
        <w:t>biotă</w:t>
      </w:r>
      <w:proofErr w:type="spellEnd"/>
      <w:r w:rsidRPr="00A61195">
        <w:t xml:space="preserve">, fără a se aduce atingere articolului 3 alineatul (3) din prezenta directivă, ceea ce înseamnă că se poate monitoriza în loc un </w:t>
      </w:r>
      <w:proofErr w:type="spellStart"/>
      <w:r w:rsidRPr="00A61195">
        <w:t>taxon</w:t>
      </w:r>
      <w:proofErr w:type="spellEnd"/>
      <w:r w:rsidRPr="00A61195">
        <w:t xml:space="preserve"> alternativ al </w:t>
      </w:r>
      <w:proofErr w:type="spellStart"/>
      <w:r w:rsidRPr="00A61195">
        <w:t>biotei</w:t>
      </w:r>
      <w:proofErr w:type="spellEnd"/>
      <w:r w:rsidRPr="00A61195">
        <w:t xml:space="preserve"> sau o altă matrice, atâta vreme cât SCM-urile aplicate oferă un nivel de protecție echivalent. Dacă nu se indică altfel, SCM-</w:t>
      </w:r>
      <w:proofErr w:type="spellStart"/>
      <w:r w:rsidRPr="00A61195">
        <w:t>ul</w:t>
      </w:r>
      <w:proofErr w:type="spellEnd"/>
      <w:r w:rsidRPr="00A61195">
        <w:t xml:space="preserve"> pentru </w:t>
      </w:r>
      <w:proofErr w:type="spellStart"/>
      <w:r w:rsidRPr="00A61195">
        <w:t>biotă</w:t>
      </w:r>
      <w:proofErr w:type="spellEnd"/>
      <w:r w:rsidRPr="00A61195">
        <w:t xml:space="preserve"> se referă la pești.</w:t>
      </w:r>
    </w:p>
    <w:p w14:paraId="50C8A51E" w14:textId="77777777" w:rsidR="00647D0C" w:rsidRPr="00A61195" w:rsidRDefault="00647D0C" w:rsidP="00A61195">
      <w:pPr>
        <w:pStyle w:val="Point0"/>
        <w:spacing w:before="0" w:line="240" w:lineRule="auto"/>
        <w:ind w:left="851" w:hanging="851"/>
      </w:pPr>
      <w:r w:rsidRPr="00A61195">
        <w:t>(</w:t>
      </w:r>
      <w:r w:rsidRPr="005C480A">
        <w:rPr>
          <w:b/>
          <w:bCs/>
          <w:vertAlign w:val="superscript"/>
        </w:rPr>
        <w:t>7</w:t>
      </w:r>
      <w:r w:rsidRPr="00A61195">
        <w:t>)</w:t>
      </w:r>
      <w:r w:rsidRPr="00A61195">
        <w:tab/>
        <w:t>Substanță inclusă anterior pe lista de substanțe prioritare din anexa X la Directiva 2000/60/CE sau din anexa I la Directiva 2008/105/CE.”</w:t>
      </w:r>
    </w:p>
    <w:p w14:paraId="23999C48" w14:textId="77777777" w:rsidR="00647D0C" w:rsidRPr="00A61195" w:rsidRDefault="00647D0C" w:rsidP="00647D0C">
      <w:pPr>
        <w:pStyle w:val="LignefinalLandscape"/>
      </w:pPr>
    </w:p>
    <w:p w14:paraId="3C7352A8" w14:textId="77777777" w:rsidR="00647D0C" w:rsidRPr="00A61195" w:rsidRDefault="00647D0C" w:rsidP="00A61195">
      <w:pPr>
        <w:pStyle w:val="LignefinalLandscape"/>
        <w:sectPr w:rsidR="00647D0C" w:rsidRPr="00A61195" w:rsidSect="00B35CF3">
          <w:headerReference w:type="default" r:id="rId101"/>
          <w:footerReference w:type="default" r:id="rId102"/>
          <w:footnotePr>
            <w:numRestart w:val="eachSect"/>
          </w:footnotePr>
          <w:pgSz w:w="16839" w:h="11907" w:orient="landscape" w:code="9"/>
          <w:pgMar w:top="1134" w:right="1134" w:bottom="1134" w:left="1134" w:header="567" w:footer="567" w:gutter="0"/>
          <w:cols w:space="720"/>
          <w:docGrid w:linePitch="360"/>
        </w:sectPr>
      </w:pPr>
    </w:p>
    <w:p w14:paraId="2F36B9F2" w14:textId="77777777" w:rsidR="00647D0C" w:rsidRPr="00A61195" w:rsidRDefault="00647D0C" w:rsidP="00BF0F87">
      <w:pPr>
        <w:pStyle w:val="Annexetitre"/>
      </w:pPr>
      <w:r w:rsidRPr="00A61195">
        <w:lastRenderedPageBreak/>
        <w:t>ANEXA VIII</w:t>
      </w:r>
    </w:p>
    <w:p w14:paraId="61883441" w14:textId="77777777" w:rsidR="00647D0C" w:rsidRPr="00A61195" w:rsidRDefault="00647D0C" w:rsidP="00647D0C">
      <w:pPr>
        <w:rPr>
          <w:rFonts w:eastAsia="Calibri" w:cs="Arial"/>
          <w:bCs/>
        </w:rPr>
      </w:pPr>
      <w:r w:rsidRPr="00A61195">
        <w:rPr>
          <w:rFonts w:eastAsia="Calibri" w:cs="Arial"/>
          <w:bCs/>
        </w:rPr>
        <w:t>Următoarea anexă se adaugă la Directiva 2008/105/CE:</w:t>
      </w:r>
    </w:p>
    <w:p w14:paraId="41499C6C" w14:textId="77777777" w:rsidR="00647D0C" w:rsidRPr="00A61195" w:rsidRDefault="00647D0C" w:rsidP="00A61195">
      <w:pPr>
        <w:pStyle w:val="NormalCentered"/>
        <w:rPr>
          <w:rFonts w:eastAsia="Calibri" w:cs="Arial"/>
          <w:bCs/>
        </w:rPr>
      </w:pPr>
      <w:r w:rsidRPr="00A61195">
        <w:t>„ANEXA III</w:t>
      </w:r>
    </w:p>
    <w:p w14:paraId="4002A9E9" w14:textId="79043286" w:rsidR="00647D0C" w:rsidRPr="00A61195" w:rsidRDefault="00647D0C" w:rsidP="00A61195">
      <w:pPr>
        <w:pStyle w:val="NormalCentered"/>
        <w:rPr>
          <w:rFonts w:eastAsia="Calibri" w:cs="Arial"/>
          <w:b/>
          <w:u w:val="single"/>
        </w:rPr>
      </w:pPr>
      <w:r w:rsidRPr="00A61195">
        <w:t xml:space="preserve">SUBSTANȚE SUPUSE REVIZUIRII </w:t>
      </w:r>
      <w:r w:rsidR="005C480A">
        <w:br/>
      </w:r>
      <w:r w:rsidRPr="00A61195">
        <w:t>ÎN VEDEREA UNEI POSIBILE IDENTIFICĂRI CA SUBSTANȚE PRIORITARE</w:t>
      </w:r>
    </w:p>
    <w:tbl>
      <w:tblPr>
        <w:tblStyle w:val="TableGrid"/>
        <w:tblW w:w="5000" w:type="pct"/>
        <w:tblLayout w:type="fixed"/>
        <w:tblLook w:val="04A0" w:firstRow="1" w:lastRow="0" w:firstColumn="1" w:lastColumn="0" w:noHBand="0" w:noVBand="1"/>
      </w:tblPr>
      <w:tblGrid>
        <w:gridCol w:w="3209"/>
        <w:gridCol w:w="3210"/>
        <w:gridCol w:w="3210"/>
      </w:tblGrid>
      <w:tr w:rsidR="00647D0C" w:rsidRPr="00A61195" w14:paraId="11A76E3B" w14:textId="77777777" w:rsidTr="009D20AB">
        <w:tc>
          <w:tcPr>
            <w:tcW w:w="1666" w:type="pct"/>
          </w:tcPr>
          <w:p w14:paraId="413D1ED8" w14:textId="77777777" w:rsidR="00647D0C" w:rsidRPr="00A61195" w:rsidRDefault="00647D0C" w:rsidP="009D20AB">
            <w:pPr>
              <w:spacing w:before="60" w:after="60" w:line="240" w:lineRule="auto"/>
              <w:jc w:val="center"/>
              <w:rPr>
                <w:rFonts w:eastAsia="Calibri"/>
              </w:rPr>
            </w:pPr>
            <w:r w:rsidRPr="00A61195">
              <w:t>Denumirea substanței</w:t>
            </w:r>
          </w:p>
        </w:tc>
        <w:tc>
          <w:tcPr>
            <w:tcW w:w="1667" w:type="pct"/>
          </w:tcPr>
          <w:p w14:paraId="60D51E15" w14:textId="77777777" w:rsidR="00647D0C" w:rsidRPr="00A61195" w:rsidRDefault="00647D0C" w:rsidP="009D20AB">
            <w:pPr>
              <w:spacing w:before="60" w:after="60" w:line="240" w:lineRule="auto"/>
              <w:jc w:val="center"/>
              <w:rPr>
                <w:rFonts w:eastAsia="Calibri"/>
              </w:rPr>
            </w:pPr>
            <w:r w:rsidRPr="00A61195">
              <w:t>Numărul CAS (</w:t>
            </w:r>
            <w:r w:rsidRPr="005C480A">
              <w:rPr>
                <w:b/>
                <w:bCs/>
                <w:vertAlign w:val="superscript"/>
              </w:rPr>
              <w:t>1</w:t>
            </w:r>
            <w:r w:rsidRPr="00A61195">
              <w:t>)</w:t>
            </w:r>
          </w:p>
        </w:tc>
        <w:tc>
          <w:tcPr>
            <w:tcW w:w="1667" w:type="pct"/>
          </w:tcPr>
          <w:p w14:paraId="6AEFEEC2" w14:textId="77777777" w:rsidR="00647D0C" w:rsidRPr="00A61195" w:rsidRDefault="00647D0C" w:rsidP="009D20AB">
            <w:pPr>
              <w:spacing w:before="60" w:after="60" w:line="240" w:lineRule="auto"/>
              <w:jc w:val="center"/>
              <w:rPr>
                <w:rFonts w:eastAsia="Calibri"/>
              </w:rPr>
            </w:pPr>
            <w:r w:rsidRPr="00A61195">
              <w:t>Numărul UE (</w:t>
            </w:r>
            <w:r w:rsidRPr="005C480A">
              <w:rPr>
                <w:b/>
                <w:bCs/>
                <w:vertAlign w:val="superscript"/>
              </w:rPr>
              <w:t>2</w:t>
            </w:r>
            <w:r w:rsidRPr="00A61195">
              <w:t>)</w:t>
            </w:r>
          </w:p>
        </w:tc>
      </w:tr>
      <w:tr w:rsidR="00647D0C" w:rsidRPr="00A61195" w14:paraId="11A88DE8" w14:textId="77777777" w:rsidTr="009D20AB">
        <w:tc>
          <w:tcPr>
            <w:tcW w:w="1666" w:type="pct"/>
          </w:tcPr>
          <w:p w14:paraId="5F3C9AAF" w14:textId="77777777" w:rsidR="00647D0C" w:rsidRPr="00A61195" w:rsidRDefault="00647D0C" w:rsidP="009D20AB">
            <w:pPr>
              <w:spacing w:before="60" w:after="60" w:line="240" w:lineRule="auto"/>
              <w:rPr>
                <w:rFonts w:eastAsia="Calibri"/>
              </w:rPr>
            </w:pPr>
            <w:r w:rsidRPr="00A61195">
              <w:t xml:space="preserve">Suma </w:t>
            </w:r>
            <w:proofErr w:type="spellStart"/>
            <w:r w:rsidRPr="00A61195">
              <w:t>bisfenolilor</w:t>
            </w:r>
            <w:proofErr w:type="spellEnd"/>
          </w:p>
        </w:tc>
        <w:tc>
          <w:tcPr>
            <w:tcW w:w="1667" w:type="pct"/>
          </w:tcPr>
          <w:p w14:paraId="33070FD4" w14:textId="77777777" w:rsidR="00647D0C" w:rsidRPr="00A61195" w:rsidRDefault="00647D0C" w:rsidP="009D20AB">
            <w:pPr>
              <w:spacing w:before="60" w:after="60" w:line="240" w:lineRule="auto"/>
              <w:rPr>
                <w:rFonts w:eastAsia="Calibri"/>
              </w:rPr>
            </w:pPr>
            <w:r w:rsidRPr="00A61195">
              <w:t>Nu se aplică</w:t>
            </w:r>
          </w:p>
        </w:tc>
        <w:tc>
          <w:tcPr>
            <w:tcW w:w="1667" w:type="pct"/>
          </w:tcPr>
          <w:p w14:paraId="30F71334" w14:textId="77777777" w:rsidR="00647D0C" w:rsidRPr="00A61195" w:rsidRDefault="00647D0C" w:rsidP="009D20AB">
            <w:pPr>
              <w:spacing w:before="60" w:after="60" w:line="240" w:lineRule="auto"/>
              <w:rPr>
                <w:rFonts w:eastAsia="Calibri"/>
              </w:rPr>
            </w:pPr>
            <w:r w:rsidRPr="00A61195">
              <w:t>Nu se aplică</w:t>
            </w:r>
          </w:p>
        </w:tc>
      </w:tr>
      <w:tr w:rsidR="00647D0C" w:rsidRPr="00A61195" w14:paraId="783F0510" w14:textId="77777777" w:rsidTr="009D20AB">
        <w:tc>
          <w:tcPr>
            <w:tcW w:w="1666" w:type="pct"/>
          </w:tcPr>
          <w:p w14:paraId="0A58B2DC" w14:textId="77777777" w:rsidR="00647D0C" w:rsidRPr="00A61195" w:rsidRDefault="00647D0C" w:rsidP="009D20AB">
            <w:pPr>
              <w:spacing w:before="60" w:after="60" w:line="240" w:lineRule="auto"/>
              <w:rPr>
                <w:rFonts w:eastAsia="Calibri"/>
              </w:rPr>
            </w:pPr>
            <w:r w:rsidRPr="00A61195">
              <w:t>Suma (sumele) anumitor pesticide selectate în funcție de modul de acțiune</w:t>
            </w:r>
          </w:p>
        </w:tc>
        <w:tc>
          <w:tcPr>
            <w:tcW w:w="1667" w:type="pct"/>
          </w:tcPr>
          <w:p w14:paraId="07D25088" w14:textId="77777777" w:rsidR="00647D0C" w:rsidRPr="00A61195" w:rsidRDefault="00647D0C" w:rsidP="009D20AB">
            <w:pPr>
              <w:spacing w:before="60" w:after="60" w:line="240" w:lineRule="auto"/>
              <w:rPr>
                <w:rFonts w:eastAsia="Calibri"/>
              </w:rPr>
            </w:pPr>
            <w:r w:rsidRPr="00A61195">
              <w:t>Nu se aplică</w:t>
            </w:r>
          </w:p>
        </w:tc>
        <w:tc>
          <w:tcPr>
            <w:tcW w:w="1667" w:type="pct"/>
          </w:tcPr>
          <w:p w14:paraId="2A682422" w14:textId="77777777" w:rsidR="00647D0C" w:rsidRPr="00A61195" w:rsidRDefault="00647D0C" w:rsidP="009D20AB">
            <w:pPr>
              <w:spacing w:before="60" w:after="60" w:line="240" w:lineRule="auto"/>
              <w:rPr>
                <w:rFonts w:eastAsia="Calibri"/>
              </w:rPr>
            </w:pPr>
            <w:r w:rsidRPr="00A61195">
              <w:t>Nu se aplică</w:t>
            </w:r>
          </w:p>
        </w:tc>
      </w:tr>
      <w:tr w:rsidR="00647D0C" w:rsidRPr="00A61195" w14:paraId="28BFDF0F" w14:textId="77777777" w:rsidTr="009D20AB">
        <w:tc>
          <w:tcPr>
            <w:tcW w:w="1666" w:type="pct"/>
          </w:tcPr>
          <w:p w14:paraId="24B2396A" w14:textId="77777777" w:rsidR="00647D0C" w:rsidRPr="00A61195" w:rsidRDefault="00647D0C" w:rsidP="009D20AB">
            <w:pPr>
              <w:spacing w:before="60" w:after="60" w:line="240" w:lineRule="auto"/>
              <w:rPr>
                <w:rFonts w:eastAsia="Calibri"/>
              </w:rPr>
            </w:pPr>
            <w:r w:rsidRPr="00A61195">
              <w:t>Suma (sumele) anumitor produse farmaceutice selectate în funcție de modul de acțiune</w:t>
            </w:r>
          </w:p>
        </w:tc>
        <w:tc>
          <w:tcPr>
            <w:tcW w:w="1667" w:type="pct"/>
          </w:tcPr>
          <w:p w14:paraId="6451620F" w14:textId="77777777" w:rsidR="00647D0C" w:rsidRPr="00A61195" w:rsidRDefault="00647D0C" w:rsidP="009D20AB">
            <w:pPr>
              <w:spacing w:before="60" w:after="60" w:line="240" w:lineRule="auto"/>
              <w:rPr>
                <w:rFonts w:eastAsia="Calibri"/>
              </w:rPr>
            </w:pPr>
            <w:r w:rsidRPr="00A61195">
              <w:t>Nu se aplică</w:t>
            </w:r>
          </w:p>
        </w:tc>
        <w:tc>
          <w:tcPr>
            <w:tcW w:w="1667" w:type="pct"/>
          </w:tcPr>
          <w:p w14:paraId="212BCF63" w14:textId="77777777" w:rsidR="00647D0C" w:rsidRPr="00A61195" w:rsidRDefault="00647D0C" w:rsidP="009D20AB">
            <w:pPr>
              <w:spacing w:before="60" w:after="60" w:line="240" w:lineRule="auto"/>
              <w:rPr>
                <w:rFonts w:eastAsia="Calibri"/>
              </w:rPr>
            </w:pPr>
            <w:r w:rsidRPr="00A61195">
              <w:t>Nu se aplică</w:t>
            </w:r>
          </w:p>
        </w:tc>
      </w:tr>
    </w:tbl>
    <w:p w14:paraId="1428CBAF" w14:textId="1BE1725B" w:rsidR="00647D0C" w:rsidRPr="00A61195" w:rsidRDefault="00647D0C" w:rsidP="00A61195">
      <w:pPr>
        <w:rPr>
          <w:rFonts w:eastAsia="Calibri" w:cs="Arial"/>
        </w:rPr>
      </w:pPr>
      <w:r w:rsidRPr="00A61195">
        <w:rPr>
          <w:rFonts w:eastAsia="Calibri" w:cs="Arial"/>
        </w:rPr>
        <w:t>________________</w:t>
      </w:r>
    </w:p>
    <w:p w14:paraId="63DD10F9" w14:textId="177F92A0" w:rsidR="00647D0C" w:rsidRPr="00A61195" w:rsidRDefault="00647D0C" w:rsidP="00A61195">
      <w:pPr>
        <w:pStyle w:val="Point0"/>
        <w:spacing w:before="0" w:after="0" w:line="240" w:lineRule="auto"/>
        <w:ind w:left="851" w:hanging="851"/>
        <w:rPr>
          <w:rFonts w:cs="Arial"/>
        </w:rPr>
      </w:pPr>
      <w:r w:rsidRPr="00A61195">
        <w:t>(</w:t>
      </w:r>
      <w:r w:rsidRPr="005C480A">
        <w:rPr>
          <w:b/>
          <w:bCs/>
          <w:vertAlign w:val="superscript"/>
        </w:rPr>
        <w:t>1</w:t>
      </w:r>
      <w:r w:rsidRPr="00A61195">
        <w:t>)</w:t>
      </w:r>
      <w:r w:rsidRPr="00A61195">
        <w:tab/>
        <w:t>CAS: serviciul de catalogare a substanțelor chimice (</w:t>
      </w:r>
      <w:proofErr w:type="spellStart"/>
      <w:r w:rsidRPr="005C480A">
        <w:rPr>
          <w:i/>
          <w:iCs/>
        </w:rPr>
        <w:t>Chemical</w:t>
      </w:r>
      <w:proofErr w:type="spellEnd"/>
      <w:r w:rsidRPr="005C480A">
        <w:rPr>
          <w:i/>
          <w:iCs/>
        </w:rPr>
        <w:t xml:space="preserve"> Abstract Service</w:t>
      </w:r>
      <w:r w:rsidRPr="00A61195">
        <w:t>).</w:t>
      </w:r>
    </w:p>
    <w:p w14:paraId="32E10815" w14:textId="1FEE8BD0" w:rsidR="00647D0C" w:rsidRPr="00A61195" w:rsidRDefault="00647D0C" w:rsidP="00A61195">
      <w:pPr>
        <w:pStyle w:val="Point0"/>
        <w:spacing w:before="0" w:line="240" w:lineRule="auto"/>
        <w:ind w:left="851" w:hanging="851"/>
      </w:pPr>
      <w:r w:rsidRPr="00A61195">
        <w:t>(</w:t>
      </w:r>
      <w:r w:rsidRPr="005C480A">
        <w:rPr>
          <w:b/>
          <w:bCs/>
          <w:vertAlign w:val="superscript"/>
        </w:rPr>
        <w:t>2</w:t>
      </w:r>
      <w:r w:rsidRPr="00A61195">
        <w:t>)</w:t>
      </w:r>
      <w:r w:rsidRPr="00A61195">
        <w:tab/>
        <w:t>Numărul UE: Inventarul european al substanțelor chimice existente introduse pe piață (EINECS) sau Lista europeană a substanțelor chimice notificate (ELINCS).”</w:t>
      </w:r>
    </w:p>
    <w:p w14:paraId="6245A509" w14:textId="5D814FCF" w:rsidR="001D2FF1" w:rsidRPr="00A61195" w:rsidRDefault="001D2FF1" w:rsidP="001D2FF1">
      <w:pPr>
        <w:pStyle w:val="Lignefinal"/>
      </w:pPr>
    </w:p>
    <w:sectPr w:rsidR="001D2FF1" w:rsidRPr="00A61195" w:rsidSect="00B35CF3">
      <w:headerReference w:type="default" r:id="rId103"/>
      <w:footerReference w:type="default" r:id="rId104"/>
      <w:footnotePr>
        <w:numRestart w:val="eachSect"/>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49196" w14:textId="77777777" w:rsidR="001D2FF1" w:rsidRPr="00245855" w:rsidRDefault="001D2FF1" w:rsidP="00245855">
      <w:pPr>
        <w:spacing w:before="0" w:after="0"/>
      </w:pPr>
      <w:r w:rsidRPr="00245855">
        <w:separator/>
      </w:r>
    </w:p>
  </w:endnote>
  <w:endnote w:type="continuationSeparator" w:id="0">
    <w:p w14:paraId="10F9D099" w14:textId="77777777" w:rsidR="001D2FF1" w:rsidRDefault="001D2FF1"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alibri"/>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EDE3A" w14:textId="77777777" w:rsidR="00B35CF3" w:rsidRPr="00B35CF3" w:rsidRDefault="00B35CF3" w:rsidP="00B35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B35CF3" w:rsidRPr="0035025C" w14:paraId="3F4BF3C3" w14:textId="77777777" w:rsidTr="00B35CF3">
      <w:trPr>
        <w:jc w:val="center"/>
      </w:trPr>
      <w:tc>
        <w:tcPr>
          <w:tcW w:w="5000" w:type="pct"/>
          <w:gridSpan w:val="7"/>
          <w:shd w:val="clear" w:color="auto" w:fill="auto"/>
          <w:tcMar>
            <w:top w:w="57" w:type="dxa"/>
          </w:tcMar>
        </w:tcPr>
        <w:p w14:paraId="21F140B4" w14:textId="77777777" w:rsidR="00B35CF3" w:rsidRPr="0035025C" w:rsidRDefault="00B35CF3" w:rsidP="0035025C">
          <w:pPr>
            <w:pStyle w:val="FooterText"/>
            <w:pBdr>
              <w:top w:val="single" w:sz="4" w:space="1" w:color="auto"/>
            </w:pBdr>
            <w:spacing w:before="200"/>
            <w:rPr>
              <w:sz w:val="2"/>
              <w:szCs w:val="2"/>
            </w:rPr>
          </w:pPr>
          <w:bookmarkStart w:id="1" w:name="FOOTER_LEGACTS"/>
        </w:p>
      </w:tc>
    </w:tr>
    <w:tr w:rsidR="00B35CF3" w:rsidRPr="00B310DC" w14:paraId="1A3D51EC" w14:textId="77777777" w:rsidTr="00B35CF3">
      <w:trPr>
        <w:jc w:val="center"/>
      </w:trPr>
      <w:tc>
        <w:tcPr>
          <w:tcW w:w="2499" w:type="pct"/>
          <w:gridSpan w:val="2"/>
          <w:shd w:val="clear" w:color="auto" w:fill="auto"/>
          <w:tcMar>
            <w:top w:w="0" w:type="dxa"/>
          </w:tcMar>
        </w:tcPr>
        <w:p w14:paraId="5FD3466C" w14:textId="0E700CB1" w:rsidR="00B35CF3" w:rsidRPr="00AD7BF2" w:rsidRDefault="00B35CF3" w:rsidP="0035025C">
          <w:pPr>
            <w:pStyle w:val="FooterText"/>
          </w:pPr>
          <w:r>
            <w:t>14144/1/25 REV 1</w:t>
          </w:r>
          <w:r w:rsidRPr="00C15257">
            <w:rPr>
              <w:sz w:val="16"/>
              <w:szCs w:val="16"/>
            </w:rPr>
            <w:t xml:space="preserve"> </w:t>
          </w:r>
        </w:p>
      </w:tc>
      <w:tc>
        <w:tcPr>
          <w:tcW w:w="625" w:type="pct"/>
          <w:shd w:val="clear" w:color="auto" w:fill="auto"/>
          <w:tcMar>
            <w:top w:w="0" w:type="dxa"/>
          </w:tcMar>
        </w:tcPr>
        <w:p w14:paraId="47417B1F" w14:textId="77777777" w:rsidR="00B35CF3" w:rsidRPr="00AD7BF2" w:rsidRDefault="00B35CF3" w:rsidP="0035025C">
          <w:pPr>
            <w:pStyle w:val="FooterText"/>
            <w:jc w:val="center"/>
          </w:pPr>
        </w:p>
      </w:tc>
      <w:tc>
        <w:tcPr>
          <w:tcW w:w="1287" w:type="pct"/>
          <w:gridSpan w:val="3"/>
          <w:shd w:val="clear" w:color="auto" w:fill="auto"/>
          <w:tcMar>
            <w:top w:w="0" w:type="dxa"/>
          </w:tcMar>
        </w:tcPr>
        <w:p w14:paraId="361D1E97" w14:textId="77777777" w:rsidR="00B35CF3" w:rsidRPr="002511D8" w:rsidRDefault="00B35CF3" w:rsidP="0035025C">
          <w:pPr>
            <w:pStyle w:val="FooterText"/>
            <w:jc w:val="center"/>
          </w:pPr>
        </w:p>
      </w:tc>
      <w:tc>
        <w:tcPr>
          <w:tcW w:w="589" w:type="pct"/>
          <w:shd w:val="clear" w:color="auto" w:fill="auto"/>
          <w:tcMar>
            <w:top w:w="0" w:type="dxa"/>
          </w:tcMar>
        </w:tcPr>
        <w:p w14:paraId="162B67E4" w14:textId="6B4F130D" w:rsidR="00B35CF3" w:rsidRPr="00B310DC" w:rsidRDefault="00B35CF3" w:rsidP="0035025C">
          <w:pPr>
            <w:pStyle w:val="FooterText"/>
            <w:jc w:val="right"/>
          </w:pPr>
          <w:r>
            <w:fldChar w:fldCharType="begin"/>
          </w:r>
          <w:r>
            <w:instrText xml:space="preserve"> PAGE  \* MERGEFORMAT </w:instrText>
          </w:r>
          <w:r>
            <w:fldChar w:fldCharType="separate"/>
          </w:r>
          <w:r>
            <w:rPr>
              <w:noProof/>
            </w:rPr>
            <w:t>0</w:t>
          </w:r>
          <w:r>
            <w:fldChar w:fldCharType="end"/>
          </w:r>
        </w:p>
      </w:tc>
    </w:tr>
    <w:tr w:rsidR="00B35CF3" w:rsidRPr="0035025C" w14:paraId="50E50854" w14:textId="77777777" w:rsidTr="00B35CF3">
      <w:trPr>
        <w:jc w:val="center"/>
      </w:trPr>
      <w:tc>
        <w:tcPr>
          <w:tcW w:w="1774" w:type="pct"/>
          <w:shd w:val="clear" w:color="auto" w:fill="auto"/>
        </w:tcPr>
        <w:p w14:paraId="3D7C9823" w14:textId="4695DE2C" w:rsidR="00B35CF3" w:rsidRPr="00AD7BF2" w:rsidRDefault="00B35CF3" w:rsidP="0035025C">
          <w:pPr>
            <w:pStyle w:val="FooterText"/>
            <w:spacing w:before="40"/>
          </w:pPr>
        </w:p>
      </w:tc>
      <w:tc>
        <w:tcPr>
          <w:tcW w:w="1494" w:type="pct"/>
          <w:gridSpan w:val="3"/>
          <w:shd w:val="clear" w:color="auto" w:fill="auto"/>
        </w:tcPr>
        <w:p w14:paraId="6FE5428A" w14:textId="2912EEAA" w:rsidR="00B35CF3" w:rsidRPr="00AD7BF2" w:rsidRDefault="00B35CF3" w:rsidP="0035025C">
          <w:pPr>
            <w:pStyle w:val="FooterText"/>
            <w:spacing w:before="40"/>
            <w:jc w:val="center"/>
          </w:pPr>
        </w:p>
      </w:tc>
      <w:tc>
        <w:tcPr>
          <w:tcW w:w="703" w:type="pct"/>
          <w:shd w:val="clear" w:color="auto" w:fill="auto"/>
        </w:tcPr>
        <w:p w14:paraId="4936A171" w14:textId="60FE5380" w:rsidR="00B35CF3" w:rsidRPr="0035025C" w:rsidRDefault="00B35CF3" w:rsidP="004B628B">
          <w:pPr>
            <w:pStyle w:val="FooterText"/>
            <w:jc w:val="center"/>
            <w:rPr>
              <w:b/>
              <w:position w:val="-4"/>
              <w:sz w:val="36"/>
            </w:rPr>
          </w:pPr>
        </w:p>
      </w:tc>
      <w:tc>
        <w:tcPr>
          <w:tcW w:w="1029" w:type="pct"/>
          <w:gridSpan w:val="2"/>
          <w:shd w:val="clear" w:color="auto" w:fill="auto"/>
        </w:tcPr>
        <w:p w14:paraId="4FDC48E3" w14:textId="46C65ED5" w:rsidR="00B35CF3" w:rsidRPr="00695BAF" w:rsidRDefault="00B35CF3" w:rsidP="0035025C">
          <w:pPr>
            <w:pStyle w:val="FooterText"/>
            <w:jc w:val="right"/>
            <w:rPr>
              <w:caps/>
              <w:sz w:val="16"/>
            </w:rPr>
          </w:pPr>
          <w:r>
            <w:rPr>
              <w:b/>
              <w:caps/>
              <w:spacing w:val="-20"/>
              <w:position w:val="-4"/>
              <w:sz w:val="36"/>
            </w:rPr>
            <w:t>RO</w:t>
          </w:r>
        </w:p>
      </w:tc>
    </w:tr>
    <w:bookmarkEnd w:id="1"/>
  </w:tbl>
  <w:p w14:paraId="24C1DABD" w14:textId="5F32DC60" w:rsidR="001D2FF1" w:rsidRPr="00B35CF3" w:rsidRDefault="001D2FF1" w:rsidP="00B35CF3">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B35CF3" w:rsidRPr="0035025C" w14:paraId="5C4ED976" w14:textId="77777777" w:rsidTr="00B35CF3">
      <w:trPr>
        <w:jc w:val="center"/>
      </w:trPr>
      <w:tc>
        <w:tcPr>
          <w:tcW w:w="5000" w:type="pct"/>
          <w:gridSpan w:val="7"/>
          <w:shd w:val="clear" w:color="auto" w:fill="auto"/>
          <w:tcMar>
            <w:top w:w="57" w:type="dxa"/>
          </w:tcMar>
        </w:tcPr>
        <w:p w14:paraId="3FF95C18" w14:textId="77777777" w:rsidR="00B35CF3" w:rsidRPr="0035025C" w:rsidRDefault="00B35CF3" w:rsidP="0035025C">
          <w:pPr>
            <w:pStyle w:val="FooterText"/>
            <w:pBdr>
              <w:top w:val="single" w:sz="4" w:space="1" w:color="auto"/>
            </w:pBdr>
            <w:spacing w:before="200"/>
            <w:rPr>
              <w:sz w:val="2"/>
              <w:szCs w:val="2"/>
            </w:rPr>
          </w:pPr>
        </w:p>
      </w:tc>
    </w:tr>
    <w:tr w:rsidR="00B35CF3" w:rsidRPr="00B310DC" w14:paraId="16D93DC2" w14:textId="77777777" w:rsidTr="00B35CF3">
      <w:trPr>
        <w:jc w:val="center"/>
      </w:trPr>
      <w:tc>
        <w:tcPr>
          <w:tcW w:w="2499" w:type="pct"/>
          <w:gridSpan w:val="2"/>
          <w:shd w:val="clear" w:color="auto" w:fill="auto"/>
          <w:tcMar>
            <w:top w:w="0" w:type="dxa"/>
          </w:tcMar>
        </w:tcPr>
        <w:p w14:paraId="57F96E6A" w14:textId="73890243" w:rsidR="00B35CF3" w:rsidRPr="00AD7BF2" w:rsidRDefault="00B35CF3" w:rsidP="0035025C">
          <w:pPr>
            <w:pStyle w:val="FooterText"/>
          </w:pPr>
          <w:r>
            <w:t>14144/1/25 REV 1</w:t>
          </w:r>
          <w:r w:rsidRPr="00C15257">
            <w:rPr>
              <w:sz w:val="16"/>
              <w:szCs w:val="16"/>
            </w:rPr>
            <w:t xml:space="preserve"> </w:t>
          </w:r>
        </w:p>
      </w:tc>
      <w:tc>
        <w:tcPr>
          <w:tcW w:w="625" w:type="pct"/>
          <w:shd w:val="clear" w:color="auto" w:fill="auto"/>
          <w:tcMar>
            <w:top w:w="0" w:type="dxa"/>
          </w:tcMar>
        </w:tcPr>
        <w:p w14:paraId="170DBD97" w14:textId="77777777" w:rsidR="00B35CF3" w:rsidRPr="00AD7BF2" w:rsidRDefault="00B35CF3" w:rsidP="0035025C">
          <w:pPr>
            <w:pStyle w:val="FooterText"/>
            <w:jc w:val="center"/>
          </w:pPr>
        </w:p>
      </w:tc>
      <w:tc>
        <w:tcPr>
          <w:tcW w:w="1287" w:type="pct"/>
          <w:gridSpan w:val="3"/>
          <w:shd w:val="clear" w:color="auto" w:fill="auto"/>
          <w:tcMar>
            <w:top w:w="0" w:type="dxa"/>
          </w:tcMar>
        </w:tcPr>
        <w:p w14:paraId="052EFE9C" w14:textId="77777777" w:rsidR="00B35CF3" w:rsidRPr="002511D8" w:rsidRDefault="00B35CF3" w:rsidP="0035025C">
          <w:pPr>
            <w:pStyle w:val="FooterText"/>
            <w:jc w:val="center"/>
          </w:pPr>
        </w:p>
      </w:tc>
      <w:tc>
        <w:tcPr>
          <w:tcW w:w="589" w:type="pct"/>
          <w:shd w:val="clear" w:color="auto" w:fill="auto"/>
          <w:tcMar>
            <w:top w:w="0" w:type="dxa"/>
          </w:tcMar>
        </w:tcPr>
        <w:p w14:paraId="76EA5559" w14:textId="560552C5" w:rsidR="00B35CF3" w:rsidRPr="00B310DC" w:rsidRDefault="00B35CF3" w:rsidP="0035025C">
          <w:pPr>
            <w:pStyle w:val="FooterText"/>
            <w:jc w:val="right"/>
          </w:pPr>
        </w:p>
      </w:tc>
    </w:tr>
    <w:tr w:rsidR="00B35CF3" w:rsidRPr="0035025C" w14:paraId="17C46650" w14:textId="77777777" w:rsidTr="00B35CF3">
      <w:trPr>
        <w:jc w:val="center"/>
      </w:trPr>
      <w:tc>
        <w:tcPr>
          <w:tcW w:w="1774" w:type="pct"/>
          <w:shd w:val="clear" w:color="auto" w:fill="auto"/>
        </w:tcPr>
        <w:p w14:paraId="2722E9DC" w14:textId="358780E8" w:rsidR="00B35CF3" w:rsidRPr="00AD7BF2" w:rsidRDefault="00B35CF3" w:rsidP="0035025C">
          <w:pPr>
            <w:pStyle w:val="FooterText"/>
            <w:spacing w:before="40"/>
          </w:pPr>
        </w:p>
      </w:tc>
      <w:tc>
        <w:tcPr>
          <w:tcW w:w="1494" w:type="pct"/>
          <w:gridSpan w:val="3"/>
          <w:shd w:val="clear" w:color="auto" w:fill="auto"/>
        </w:tcPr>
        <w:p w14:paraId="0172611C" w14:textId="7A2104C1" w:rsidR="00B35CF3" w:rsidRPr="00AD7BF2" w:rsidRDefault="00B35CF3" w:rsidP="0035025C">
          <w:pPr>
            <w:pStyle w:val="FooterText"/>
            <w:spacing w:before="40"/>
            <w:jc w:val="center"/>
          </w:pPr>
        </w:p>
      </w:tc>
      <w:tc>
        <w:tcPr>
          <w:tcW w:w="703" w:type="pct"/>
          <w:shd w:val="clear" w:color="auto" w:fill="auto"/>
        </w:tcPr>
        <w:p w14:paraId="1C042DE4" w14:textId="222D2590" w:rsidR="00B35CF3" w:rsidRPr="0035025C" w:rsidRDefault="00B35CF3" w:rsidP="004B628B">
          <w:pPr>
            <w:pStyle w:val="FooterText"/>
            <w:jc w:val="center"/>
            <w:rPr>
              <w:b/>
              <w:position w:val="-4"/>
              <w:sz w:val="36"/>
            </w:rPr>
          </w:pPr>
        </w:p>
      </w:tc>
      <w:tc>
        <w:tcPr>
          <w:tcW w:w="1029" w:type="pct"/>
          <w:gridSpan w:val="2"/>
          <w:shd w:val="clear" w:color="auto" w:fill="auto"/>
        </w:tcPr>
        <w:p w14:paraId="67613894" w14:textId="75A2CB24" w:rsidR="00B35CF3" w:rsidRPr="00695BAF" w:rsidRDefault="00B35CF3" w:rsidP="0035025C">
          <w:pPr>
            <w:pStyle w:val="FooterText"/>
            <w:jc w:val="right"/>
            <w:rPr>
              <w:caps/>
              <w:sz w:val="16"/>
            </w:rPr>
          </w:pPr>
          <w:r>
            <w:rPr>
              <w:b/>
              <w:caps/>
              <w:spacing w:val="-20"/>
              <w:position w:val="-4"/>
              <w:sz w:val="36"/>
            </w:rPr>
            <w:t>RO</w:t>
          </w:r>
        </w:p>
      </w:tc>
    </w:tr>
  </w:tbl>
  <w:p w14:paraId="401D69E3" w14:textId="77777777" w:rsidR="001D2FF1" w:rsidRPr="00B35CF3" w:rsidRDefault="001D2FF1" w:rsidP="00B35CF3">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F4C54" w14:textId="77777777" w:rsidR="00647D0C" w:rsidRPr="00B35CF3" w:rsidRDefault="00647D0C" w:rsidP="00B35CF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5D5B" w14:textId="0E18FE75" w:rsidR="00647D0C" w:rsidRPr="00B35CF3" w:rsidRDefault="00647D0C" w:rsidP="00B35CF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B71E" w14:textId="20022A2F" w:rsidR="00647D0C" w:rsidRPr="00B35CF3" w:rsidRDefault="00647D0C" w:rsidP="00B35CF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B35CF3" w:rsidRPr="0035025C" w14:paraId="4C18A364" w14:textId="77777777" w:rsidTr="00B35CF3">
      <w:trPr>
        <w:jc w:val="center"/>
      </w:trPr>
      <w:tc>
        <w:tcPr>
          <w:tcW w:w="5000" w:type="pct"/>
          <w:gridSpan w:val="7"/>
          <w:shd w:val="clear" w:color="auto" w:fill="auto"/>
          <w:tcMar>
            <w:top w:w="57" w:type="dxa"/>
          </w:tcMar>
        </w:tcPr>
        <w:p w14:paraId="61105EFB" w14:textId="77777777" w:rsidR="00B35CF3" w:rsidRPr="0035025C" w:rsidRDefault="00B35CF3" w:rsidP="0035025C">
          <w:pPr>
            <w:pStyle w:val="FooterText"/>
            <w:pBdr>
              <w:top w:val="single" w:sz="4" w:space="1" w:color="auto"/>
            </w:pBdr>
            <w:spacing w:before="200"/>
            <w:rPr>
              <w:sz w:val="2"/>
              <w:szCs w:val="2"/>
            </w:rPr>
          </w:pPr>
        </w:p>
      </w:tc>
    </w:tr>
    <w:tr w:rsidR="00B35CF3" w:rsidRPr="00B310DC" w14:paraId="2D7DF29C" w14:textId="77777777" w:rsidTr="00B35CF3">
      <w:trPr>
        <w:jc w:val="center"/>
      </w:trPr>
      <w:tc>
        <w:tcPr>
          <w:tcW w:w="2499" w:type="pct"/>
          <w:gridSpan w:val="2"/>
          <w:shd w:val="clear" w:color="auto" w:fill="auto"/>
          <w:tcMar>
            <w:top w:w="0" w:type="dxa"/>
          </w:tcMar>
        </w:tcPr>
        <w:p w14:paraId="684115DB" w14:textId="08EB3F23" w:rsidR="00B35CF3" w:rsidRPr="00AD7BF2" w:rsidRDefault="00B35CF3" w:rsidP="0035025C">
          <w:pPr>
            <w:pStyle w:val="FooterText"/>
          </w:pPr>
          <w:r>
            <w:t>14144/1/25 REV 1</w:t>
          </w:r>
          <w:r w:rsidRPr="00C15257">
            <w:rPr>
              <w:sz w:val="16"/>
              <w:szCs w:val="16"/>
            </w:rPr>
            <w:t xml:space="preserve"> </w:t>
          </w:r>
        </w:p>
      </w:tc>
      <w:tc>
        <w:tcPr>
          <w:tcW w:w="625" w:type="pct"/>
          <w:shd w:val="clear" w:color="auto" w:fill="auto"/>
          <w:tcMar>
            <w:top w:w="0" w:type="dxa"/>
          </w:tcMar>
        </w:tcPr>
        <w:p w14:paraId="23F06D4B" w14:textId="77777777" w:rsidR="00B35CF3" w:rsidRPr="00AD7BF2" w:rsidRDefault="00B35CF3" w:rsidP="0035025C">
          <w:pPr>
            <w:pStyle w:val="FooterText"/>
            <w:jc w:val="center"/>
          </w:pPr>
        </w:p>
      </w:tc>
      <w:tc>
        <w:tcPr>
          <w:tcW w:w="1287" w:type="pct"/>
          <w:gridSpan w:val="3"/>
          <w:shd w:val="clear" w:color="auto" w:fill="auto"/>
          <w:tcMar>
            <w:top w:w="0" w:type="dxa"/>
          </w:tcMar>
        </w:tcPr>
        <w:p w14:paraId="599D9DF4" w14:textId="77777777" w:rsidR="00B35CF3" w:rsidRPr="002511D8" w:rsidRDefault="00B35CF3" w:rsidP="0035025C">
          <w:pPr>
            <w:pStyle w:val="FooterText"/>
            <w:jc w:val="center"/>
          </w:pPr>
        </w:p>
      </w:tc>
      <w:tc>
        <w:tcPr>
          <w:tcW w:w="589" w:type="pct"/>
          <w:shd w:val="clear" w:color="auto" w:fill="auto"/>
          <w:tcMar>
            <w:top w:w="0" w:type="dxa"/>
          </w:tcMar>
        </w:tcPr>
        <w:p w14:paraId="0EC16CF7" w14:textId="722ED116" w:rsidR="00B35CF3" w:rsidRPr="00B310DC" w:rsidRDefault="00B35CF3" w:rsidP="0035025C">
          <w:pPr>
            <w:pStyle w:val="FooterText"/>
            <w:jc w:val="right"/>
          </w:pPr>
          <w:r>
            <w:fldChar w:fldCharType="begin"/>
          </w:r>
          <w:r>
            <w:instrText xml:space="preserve"> PAGE  \* MERGEFORMAT </w:instrText>
          </w:r>
          <w:r>
            <w:fldChar w:fldCharType="separate"/>
          </w:r>
          <w:r>
            <w:rPr>
              <w:noProof/>
            </w:rPr>
            <w:t>135</w:t>
          </w:r>
          <w:r>
            <w:fldChar w:fldCharType="end"/>
          </w:r>
        </w:p>
      </w:tc>
    </w:tr>
    <w:tr w:rsidR="00B35CF3" w:rsidRPr="0035025C" w14:paraId="7964F1E4" w14:textId="77777777" w:rsidTr="00B35CF3">
      <w:trPr>
        <w:jc w:val="center"/>
      </w:trPr>
      <w:tc>
        <w:tcPr>
          <w:tcW w:w="1774" w:type="pct"/>
          <w:shd w:val="clear" w:color="auto" w:fill="auto"/>
        </w:tcPr>
        <w:p w14:paraId="53D10AF6" w14:textId="5E6A6E1C" w:rsidR="00B35CF3" w:rsidRPr="00AD7BF2" w:rsidRDefault="00B35CF3" w:rsidP="0035025C">
          <w:pPr>
            <w:pStyle w:val="FooterText"/>
            <w:spacing w:before="40"/>
          </w:pPr>
          <w:r>
            <w:t>ANEXA I</w:t>
          </w:r>
        </w:p>
      </w:tc>
      <w:tc>
        <w:tcPr>
          <w:tcW w:w="1494" w:type="pct"/>
          <w:gridSpan w:val="3"/>
          <w:shd w:val="clear" w:color="auto" w:fill="auto"/>
        </w:tcPr>
        <w:p w14:paraId="159E535D" w14:textId="623BBFB2" w:rsidR="00B35CF3" w:rsidRPr="00AD7BF2" w:rsidRDefault="00B35CF3" w:rsidP="0035025C">
          <w:pPr>
            <w:pStyle w:val="FooterText"/>
            <w:spacing w:before="40"/>
            <w:jc w:val="center"/>
          </w:pPr>
        </w:p>
      </w:tc>
      <w:tc>
        <w:tcPr>
          <w:tcW w:w="703" w:type="pct"/>
          <w:shd w:val="clear" w:color="auto" w:fill="auto"/>
        </w:tcPr>
        <w:p w14:paraId="75F0E203" w14:textId="17DAFD8C" w:rsidR="00B35CF3" w:rsidRPr="0035025C" w:rsidRDefault="00B35CF3" w:rsidP="004B628B">
          <w:pPr>
            <w:pStyle w:val="FooterText"/>
            <w:jc w:val="center"/>
            <w:rPr>
              <w:b/>
              <w:position w:val="-4"/>
              <w:sz w:val="36"/>
            </w:rPr>
          </w:pPr>
        </w:p>
      </w:tc>
      <w:tc>
        <w:tcPr>
          <w:tcW w:w="1029" w:type="pct"/>
          <w:gridSpan w:val="2"/>
          <w:shd w:val="clear" w:color="auto" w:fill="auto"/>
        </w:tcPr>
        <w:p w14:paraId="351B7504" w14:textId="094498C2" w:rsidR="00B35CF3" w:rsidRPr="00695BAF" w:rsidRDefault="00B35CF3" w:rsidP="0035025C">
          <w:pPr>
            <w:pStyle w:val="FooterText"/>
            <w:jc w:val="right"/>
            <w:rPr>
              <w:caps/>
              <w:sz w:val="16"/>
            </w:rPr>
          </w:pPr>
          <w:r>
            <w:rPr>
              <w:b/>
              <w:caps/>
              <w:spacing w:val="-20"/>
              <w:position w:val="-4"/>
              <w:sz w:val="36"/>
            </w:rPr>
            <w:t>RO</w:t>
          </w:r>
        </w:p>
      </w:tc>
    </w:tr>
  </w:tbl>
  <w:p w14:paraId="63EC3C8A" w14:textId="77777777" w:rsidR="00BF0F87" w:rsidRPr="00B35CF3" w:rsidRDefault="00BF0F87" w:rsidP="00B35CF3">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6D40C" w14:textId="76DD39DF" w:rsidR="00647D0C" w:rsidRPr="00B35CF3" w:rsidRDefault="00647D0C" w:rsidP="00B35CF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B35CF3" w:rsidRPr="0035025C" w14:paraId="2B45AAF1" w14:textId="77777777" w:rsidTr="00B35CF3">
      <w:trPr>
        <w:jc w:val="center"/>
      </w:trPr>
      <w:tc>
        <w:tcPr>
          <w:tcW w:w="5000" w:type="pct"/>
          <w:gridSpan w:val="7"/>
          <w:shd w:val="clear" w:color="auto" w:fill="auto"/>
          <w:tcMar>
            <w:top w:w="57" w:type="dxa"/>
          </w:tcMar>
        </w:tcPr>
        <w:p w14:paraId="515454CA" w14:textId="77777777" w:rsidR="00B35CF3" w:rsidRPr="0035025C" w:rsidRDefault="00B35CF3" w:rsidP="0035025C">
          <w:pPr>
            <w:pStyle w:val="FooterText"/>
            <w:pBdr>
              <w:top w:val="single" w:sz="4" w:space="1" w:color="auto"/>
            </w:pBdr>
            <w:spacing w:before="200"/>
            <w:rPr>
              <w:sz w:val="2"/>
              <w:szCs w:val="2"/>
            </w:rPr>
          </w:pPr>
        </w:p>
      </w:tc>
    </w:tr>
    <w:tr w:rsidR="00B35CF3" w:rsidRPr="00B310DC" w14:paraId="1B97B803" w14:textId="77777777" w:rsidTr="00B35CF3">
      <w:trPr>
        <w:jc w:val="center"/>
      </w:trPr>
      <w:tc>
        <w:tcPr>
          <w:tcW w:w="2499" w:type="pct"/>
          <w:gridSpan w:val="2"/>
          <w:shd w:val="clear" w:color="auto" w:fill="auto"/>
          <w:tcMar>
            <w:top w:w="0" w:type="dxa"/>
          </w:tcMar>
        </w:tcPr>
        <w:p w14:paraId="2ABBA60F" w14:textId="77777777" w:rsidR="00B35CF3" w:rsidRPr="00AD7BF2" w:rsidRDefault="00B35CF3" w:rsidP="0035025C">
          <w:pPr>
            <w:pStyle w:val="FooterText"/>
          </w:pPr>
          <w:r>
            <w:t>14144/1/25 REV 1</w:t>
          </w:r>
          <w:r w:rsidRPr="00C15257">
            <w:rPr>
              <w:sz w:val="16"/>
              <w:szCs w:val="16"/>
            </w:rPr>
            <w:t xml:space="preserve"> </w:t>
          </w:r>
        </w:p>
      </w:tc>
      <w:tc>
        <w:tcPr>
          <w:tcW w:w="625" w:type="pct"/>
          <w:shd w:val="clear" w:color="auto" w:fill="auto"/>
          <w:tcMar>
            <w:top w:w="0" w:type="dxa"/>
          </w:tcMar>
        </w:tcPr>
        <w:p w14:paraId="7BDE645D" w14:textId="77777777" w:rsidR="00B35CF3" w:rsidRPr="00AD7BF2" w:rsidRDefault="00B35CF3" w:rsidP="0035025C">
          <w:pPr>
            <w:pStyle w:val="FooterText"/>
            <w:jc w:val="center"/>
          </w:pPr>
        </w:p>
      </w:tc>
      <w:tc>
        <w:tcPr>
          <w:tcW w:w="1287" w:type="pct"/>
          <w:gridSpan w:val="3"/>
          <w:shd w:val="clear" w:color="auto" w:fill="auto"/>
          <w:tcMar>
            <w:top w:w="0" w:type="dxa"/>
          </w:tcMar>
        </w:tcPr>
        <w:p w14:paraId="1DBD389A" w14:textId="77777777" w:rsidR="00B35CF3" w:rsidRPr="002511D8" w:rsidRDefault="00B35CF3" w:rsidP="0035025C">
          <w:pPr>
            <w:pStyle w:val="FooterText"/>
            <w:jc w:val="center"/>
          </w:pPr>
        </w:p>
      </w:tc>
      <w:tc>
        <w:tcPr>
          <w:tcW w:w="589" w:type="pct"/>
          <w:shd w:val="clear" w:color="auto" w:fill="auto"/>
          <w:tcMar>
            <w:top w:w="0" w:type="dxa"/>
          </w:tcMar>
        </w:tcPr>
        <w:p w14:paraId="7F312650" w14:textId="77777777" w:rsidR="00B35CF3" w:rsidRPr="00B310DC" w:rsidRDefault="00B35CF3" w:rsidP="0035025C">
          <w:pPr>
            <w:pStyle w:val="FooterText"/>
            <w:jc w:val="right"/>
          </w:pPr>
          <w:r>
            <w:fldChar w:fldCharType="begin"/>
          </w:r>
          <w:r>
            <w:instrText xml:space="preserve"> PAGE  \* MERGEFORMAT </w:instrText>
          </w:r>
          <w:r>
            <w:fldChar w:fldCharType="separate"/>
          </w:r>
          <w:r>
            <w:rPr>
              <w:noProof/>
            </w:rPr>
            <w:t>135</w:t>
          </w:r>
          <w:r>
            <w:fldChar w:fldCharType="end"/>
          </w:r>
        </w:p>
      </w:tc>
    </w:tr>
    <w:tr w:rsidR="00B35CF3" w:rsidRPr="0035025C" w14:paraId="2CF996BE" w14:textId="77777777" w:rsidTr="00B35CF3">
      <w:trPr>
        <w:jc w:val="center"/>
      </w:trPr>
      <w:tc>
        <w:tcPr>
          <w:tcW w:w="1774" w:type="pct"/>
          <w:shd w:val="clear" w:color="auto" w:fill="auto"/>
        </w:tcPr>
        <w:p w14:paraId="267B02C3" w14:textId="77777777" w:rsidR="00B35CF3" w:rsidRPr="00AD7BF2" w:rsidRDefault="00B35CF3" w:rsidP="0035025C">
          <w:pPr>
            <w:pStyle w:val="FooterText"/>
            <w:spacing w:before="40"/>
          </w:pPr>
          <w:r>
            <w:t>ANEXA I</w:t>
          </w:r>
        </w:p>
      </w:tc>
      <w:tc>
        <w:tcPr>
          <w:tcW w:w="1494" w:type="pct"/>
          <w:gridSpan w:val="3"/>
          <w:shd w:val="clear" w:color="auto" w:fill="auto"/>
        </w:tcPr>
        <w:p w14:paraId="5825CB1B" w14:textId="77777777" w:rsidR="00B35CF3" w:rsidRPr="00AD7BF2" w:rsidRDefault="00B35CF3" w:rsidP="0035025C">
          <w:pPr>
            <w:pStyle w:val="FooterText"/>
            <w:spacing w:before="40"/>
            <w:jc w:val="center"/>
          </w:pPr>
        </w:p>
      </w:tc>
      <w:tc>
        <w:tcPr>
          <w:tcW w:w="703" w:type="pct"/>
          <w:shd w:val="clear" w:color="auto" w:fill="auto"/>
        </w:tcPr>
        <w:p w14:paraId="3CEDA399" w14:textId="77777777" w:rsidR="00B35CF3" w:rsidRPr="0035025C" w:rsidRDefault="00B35CF3" w:rsidP="004B628B">
          <w:pPr>
            <w:pStyle w:val="FooterText"/>
            <w:jc w:val="center"/>
            <w:rPr>
              <w:b/>
              <w:position w:val="-4"/>
              <w:sz w:val="36"/>
            </w:rPr>
          </w:pPr>
        </w:p>
      </w:tc>
      <w:tc>
        <w:tcPr>
          <w:tcW w:w="1029" w:type="pct"/>
          <w:gridSpan w:val="2"/>
          <w:shd w:val="clear" w:color="auto" w:fill="auto"/>
        </w:tcPr>
        <w:p w14:paraId="03AA07CB" w14:textId="77777777" w:rsidR="00B35CF3" w:rsidRPr="00695BAF" w:rsidRDefault="00B35CF3" w:rsidP="0035025C">
          <w:pPr>
            <w:pStyle w:val="FooterText"/>
            <w:jc w:val="right"/>
            <w:rPr>
              <w:caps/>
              <w:sz w:val="16"/>
            </w:rPr>
          </w:pPr>
          <w:r>
            <w:rPr>
              <w:b/>
              <w:caps/>
              <w:spacing w:val="-20"/>
              <w:position w:val="-4"/>
              <w:sz w:val="36"/>
            </w:rPr>
            <w:t>RO</w:t>
          </w:r>
        </w:p>
      </w:tc>
    </w:tr>
  </w:tbl>
  <w:p w14:paraId="7E18C000" w14:textId="77777777" w:rsidR="00B35CF3" w:rsidRPr="00B35CF3" w:rsidRDefault="00B35CF3" w:rsidP="00B35CF3">
    <w:pPr>
      <w:pStyle w:val="FooterCouncil"/>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B35CF3" w:rsidRPr="0035025C" w14:paraId="723ECA17" w14:textId="77777777" w:rsidTr="00B35CF3">
      <w:trPr>
        <w:jc w:val="center"/>
      </w:trPr>
      <w:tc>
        <w:tcPr>
          <w:tcW w:w="5000" w:type="pct"/>
          <w:gridSpan w:val="7"/>
          <w:shd w:val="clear" w:color="auto" w:fill="auto"/>
          <w:tcMar>
            <w:top w:w="57" w:type="dxa"/>
          </w:tcMar>
        </w:tcPr>
        <w:p w14:paraId="799C0A29" w14:textId="77777777" w:rsidR="00B35CF3" w:rsidRPr="0035025C" w:rsidRDefault="00B35CF3" w:rsidP="0035025C">
          <w:pPr>
            <w:pStyle w:val="FooterText"/>
            <w:pBdr>
              <w:top w:val="single" w:sz="4" w:space="1" w:color="auto"/>
            </w:pBdr>
            <w:spacing w:before="200"/>
            <w:rPr>
              <w:sz w:val="2"/>
              <w:szCs w:val="2"/>
            </w:rPr>
          </w:pPr>
        </w:p>
      </w:tc>
    </w:tr>
    <w:tr w:rsidR="00B35CF3" w:rsidRPr="00B310DC" w14:paraId="2FDCA8DF" w14:textId="77777777" w:rsidTr="00B35CF3">
      <w:trPr>
        <w:jc w:val="center"/>
      </w:trPr>
      <w:tc>
        <w:tcPr>
          <w:tcW w:w="2499" w:type="pct"/>
          <w:gridSpan w:val="2"/>
          <w:shd w:val="clear" w:color="auto" w:fill="auto"/>
          <w:tcMar>
            <w:top w:w="0" w:type="dxa"/>
          </w:tcMar>
        </w:tcPr>
        <w:p w14:paraId="6DDBD6A7" w14:textId="77777777" w:rsidR="00B35CF3" w:rsidRPr="00AD7BF2" w:rsidRDefault="00B35CF3" w:rsidP="0035025C">
          <w:pPr>
            <w:pStyle w:val="FooterText"/>
          </w:pPr>
          <w:r>
            <w:t>14144/1/25 REV 1</w:t>
          </w:r>
          <w:r w:rsidRPr="00C15257">
            <w:rPr>
              <w:sz w:val="16"/>
              <w:szCs w:val="16"/>
            </w:rPr>
            <w:t xml:space="preserve"> </w:t>
          </w:r>
        </w:p>
      </w:tc>
      <w:tc>
        <w:tcPr>
          <w:tcW w:w="625" w:type="pct"/>
          <w:shd w:val="clear" w:color="auto" w:fill="auto"/>
          <w:tcMar>
            <w:top w:w="0" w:type="dxa"/>
          </w:tcMar>
        </w:tcPr>
        <w:p w14:paraId="25C6C014" w14:textId="77777777" w:rsidR="00B35CF3" w:rsidRPr="00AD7BF2" w:rsidRDefault="00B35CF3" w:rsidP="0035025C">
          <w:pPr>
            <w:pStyle w:val="FooterText"/>
            <w:jc w:val="center"/>
          </w:pPr>
        </w:p>
      </w:tc>
      <w:tc>
        <w:tcPr>
          <w:tcW w:w="1287" w:type="pct"/>
          <w:gridSpan w:val="3"/>
          <w:shd w:val="clear" w:color="auto" w:fill="auto"/>
          <w:tcMar>
            <w:top w:w="0" w:type="dxa"/>
          </w:tcMar>
        </w:tcPr>
        <w:p w14:paraId="54C37909" w14:textId="77777777" w:rsidR="00B35CF3" w:rsidRPr="002511D8" w:rsidRDefault="00B35CF3" w:rsidP="0035025C">
          <w:pPr>
            <w:pStyle w:val="FooterText"/>
            <w:jc w:val="center"/>
          </w:pPr>
        </w:p>
      </w:tc>
      <w:tc>
        <w:tcPr>
          <w:tcW w:w="589" w:type="pct"/>
          <w:shd w:val="clear" w:color="auto" w:fill="auto"/>
          <w:tcMar>
            <w:top w:w="0" w:type="dxa"/>
          </w:tcMar>
        </w:tcPr>
        <w:p w14:paraId="6A0729D4" w14:textId="77777777" w:rsidR="00B35CF3" w:rsidRPr="00B310DC" w:rsidRDefault="00B35CF3" w:rsidP="0035025C">
          <w:pPr>
            <w:pStyle w:val="FooterText"/>
            <w:jc w:val="right"/>
          </w:pPr>
          <w:r>
            <w:fldChar w:fldCharType="begin"/>
          </w:r>
          <w:r>
            <w:instrText xml:space="preserve"> PAGE  \* MERGEFORMAT </w:instrText>
          </w:r>
          <w:r>
            <w:fldChar w:fldCharType="separate"/>
          </w:r>
          <w:r>
            <w:rPr>
              <w:noProof/>
            </w:rPr>
            <w:t>135</w:t>
          </w:r>
          <w:r>
            <w:fldChar w:fldCharType="end"/>
          </w:r>
        </w:p>
      </w:tc>
    </w:tr>
    <w:tr w:rsidR="00B35CF3" w:rsidRPr="0035025C" w14:paraId="0C85F689" w14:textId="77777777" w:rsidTr="00B35CF3">
      <w:trPr>
        <w:jc w:val="center"/>
      </w:trPr>
      <w:tc>
        <w:tcPr>
          <w:tcW w:w="1774" w:type="pct"/>
          <w:shd w:val="clear" w:color="auto" w:fill="auto"/>
        </w:tcPr>
        <w:p w14:paraId="3F473A58" w14:textId="77777777" w:rsidR="00B35CF3" w:rsidRPr="00AD7BF2" w:rsidRDefault="00B35CF3" w:rsidP="0035025C">
          <w:pPr>
            <w:pStyle w:val="FooterText"/>
            <w:spacing w:before="40"/>
          </w:pPr>
          <w:r>
            <w:t>ANEXA I</w:t>
          </w:r>
        </w:p>
      </w:tc>
      <w:tc>
        <w:tcPr>
          <w:tcW w:w="1494" w:type="pct"/>
          <w:gridSpan w:val="3"/>
          <w:shd w:val="clear" w:color="auto" w:fill="auto"/>
        </w:tcPr>
        <w:p w14:paraId="2A9618D0" w14:textId="77777777" w:rsidR="00B35CF3" w:rsidRPr="00AD7BF2" w:rsidRDefault="00B35CF3" w:rsidP="0035025C">
          <w:pPr>
            <w:pStyle w:val="FooterText"/>
            <w:spacing w:before="40"/>
            <w:jc w:val="center"/>
          </w:pPr>
        </w:p>
      </w:tc>
      <w:tc>
        <w:tcPr>
          <w:tcW w:w="703" w:type="pct"/>
          <w:shd w:val="clear" w:color="auto" w:fill="auto"/>
        </w:tcPr>
        <w:p w14:paraId="5B42AB0B" w14:textId="77777777" w:rsidR="00B35CF3" w:rsidRPr="0035025C" w:rsidRDefault="00B35CF3" w:rsidP="004B628B">
          <w:pPr>
            <w:pStyle w:val="FooterText"/>
            <w:jc w:val="center"/>
            <w:rPr>
              <w:b/>
              <w:position w:val="-4"/>
              <w:sz w:val="36"/>
            </w:rPr>
          </w:pPr>
        </w:p>
      </w:tc>
      <w:tc>
        <w:tcPr>
          <w:tcW w:w="1029" w:type="pct"/>
          <w:gridSpan w:val="2"/>
          <w:shd w:val="clear" w:color="auto" w:fill="auto"/>
        </w:tcPr>
        <w:p w14:paraId="27A8A9C7" w14:textId="77777777" w:rsidR="00B35CF3" w:rsidRPr="00695BAF" w:rsidRDefault="00B35CF3" w:rsidP="0035025C">
          <w:pPr>
            <w:pStyle w:val="FooterText"/>
            <w:jc w:val="right"/>
            <w:rPr>
              <w:caps/>
              <w:sz w:val="16"/>
            </w:rPr>
          </w:pPr>
          <w:r>
            <w:rPr>
              <w:b/>
              <w:caps/>
              <w:spacing w:val="-20"/>
              <w:position w:val="-4"/>
              <w:sz w:val="36"/>
            </w:rPr>
            <w:t>RO</w:t>
          </w:r>
        </w:p>
      </w:tc>
    </w:tr>
  </w:tbl>
  <w:p w14:paraId="0A4FA4F0" w14:textId="77777777" w:rsidR="00B35CF3" w:rsidRPr="00B35CF3" w:rsidRDefault="00B35CF3" w:rsidP="00B35CF3">
    <w:pPr>
      <w:pStyle w:val="FooterCouncil"/>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B35CF3" w:rsidRPr="0035025C" w14:paraId="3B90267A" w14:textId="77777777" w:rsidTr="00B35CF3">
      <w:trPr>
        <w:jc w:val="center"/>
      </w:trPr>
      <w:tc>
        <w:tcPr>
          <w:tcW w:w="5000" w:type="pct"/>
          <w:gridSpan w:val="7"/>
          <w:shd w:val="clear" w:color="auto" w:fill="auto"/>
          <w:tcMar>
            <w:top w:w="57" w:type="dxa"/>
          </w:tcMar>
        </w:tcPr>
        <w:p w14:paraId="5122B540" w14:textId="77777777" w:rsidR="00B35CF3" w:rsidRPr="0035025C" w:rsidRDefault="00B35CF3" w:rsidP="0035025C">
          <w:pPr>
            <w:pStyle w:val="FooterText"/>
            <w:pBdr>
              <w:top w:val="single" w:sz="4" w:space="1" w:color="auto"/>
            </w:pBdr>
            <w:spacing w:before="200"/>
            <w:rPr>
              <w:sz w:val="2"/>
              <w:szCs w:val="2"/>
            </w:rPr>
          </w:pPr>
        </w:p>
      </w:tc>
    </w:tr>
    <w:tr w:rsidR="00B35CF3" w:rsidRPr="00B310DC" w14:paraId="735AB5CC" w14:textId="77777777" w:rsidTr="00B35CF3">
      <w:trPr>
        <w:jc w:val="center"/>
      </w:trPr>
      <w:tc>
        <w:tcPr>
          <w:tcW w:w="2499" w:type="pct"/>
          <w:gridSpan w:val="2"/>
          <w:shd w:val="clear" w:color="auto" w:fill="auto"/>
          <w:tcMar>
            <w:top w:w="0" w:type="dxa"/>
          </w:tcMar>
        </w:tcPr>
        <w:p w14:paraId="2420E213" w14:textId="79B326B4" w:rsidR="00B35CF3" w:rsidRPr="00AD7BF2" w:rsidRDefault="00B35CF3" w:rsidP="0035025C">
          <w:pPr>
            <w:pStyle w:val="FooterText"/>
          </w:pPr>
          <w:r>
            <w:t>14144/1/25 REV 1</w:t>
          </w:r>
          <w:r w:rsidRPr="00C15257">
            <w:rPr>
              <w:sz w:val="16"/>
              <w:szCs w:val="16"/>
            </w:rPr>
            <w:t xml:space="preserve"> </w:t>
          </w:r>
        </w:p>
      </w:tc>
      <w:tc>
        <w:tcPr>
          <w:tcW w:w="625" w:type="pct"/>
          <w:shd w:val="clear" w:color="auto" w:fill="auto"/>
          <w:tcMar>
            <w:top w:w="0" w:type="dxa"/>
          </w:tcMar>
        </w:tcPr>
        <w:p w14:paraId="1C8DBEE2" w14:textId="77777777" w:rsidR="00B35CF3" w:rsidRPr="00AD7BF2" w:rsidRDefault="00B35CF3" w:rsidP="0035025C">
          <w:pPr>
            <w:pStyle w:val="FooterText"/>
            <w:jc w:val="center"/>
          </w:pPr>
        </w:p>
      </w:tc>
      <w:tc>
        <w:tcPr>
          <w:tcW w:w="1287" w:type="pct"/>
          <w:gridSpan w:val="3"/>
          <w:shd w:val="clear" w:color="auto" w:fill="auto"/>
          <w:tcMar>
            <w:top w:w="0" w:type="dxa"/>
          </w:tcMar>
        </w:tcPr>
        <w:p w14:paraId="04E09EA0" w14:textId="77777777" w:rsidR="00B35CF3" w:rsidRPr="002511D8" w:rsidRDefault="00B35CF3" w:rsidP="0035025C">
          <w:pPr>
            <w:pStyle w:val="FooterText"/>
            <w:jc w:val="center"/>
          </w:pPr>
        </w:p>
      </w:tc>
      <w:tc>
        <w:tcPr>
          <w:tcW w:w="589" w:type="pct"/>
          <w:shd w:val="clear" w:color="auto" w:fill="auto"/>
          <w:tcMar>
            <w:top w:w="0" w:type="dxa"/>
          </w:tcMar>
        </w:tcPr>
        <w:p w14:paraId="38320E48" w14:textId="6A708AC2" w:rsidR="00B35CF3" w:rsidRPr="00B310DC" w:rsidRDefault="00B35CF3"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B35CF3" w:rsidRPr="0035025C" w14:paraId="11C3D19E" w14:textId="77777777" w:rsidTr="00B35CF3">
      <w:trPr>
        <w:jc w:val="center"/>
      </w:trPr>
      <w:tc>
        <w:tcPr>
          <w:tcW w:w="1774" w:type="pct"/>
          <w:shd w:val="clear" w:color="auto" w:fill="auto"/>
        </w:tcPr>
        <w:p w14:paraId="79FD448C" w14:textId="04CBB851" w:rsidR="00B35CF3" w:rsidRPr="00AD7BF2" w:rsidRDefault="00B35CF3" w:rsidP="0035025C">
          <w:pPr>
            <w:pStyle w:val="FooterText"/>
            <w:spacing w:before="40"/>
          </w:pPr>
          <w:r>
            <w:t>ANEXA II</w:t>
          </w:r>
        </w:p>
      </w:tc>
      <w:tc>
        <w:tcPr>
          <w:tcW w:w="1494" w:type="pct"/>
          <w:gridSpan w:val="3"/>
          <w:shd w:val="clear" w:color="auto" w:fill="auto"/>
        </w:tcPr>
        <w:p w14:paraId="043BAF5E" w14:textId="23F580CC" w:rsidR="00B35CF3" w:rsidRPr="00AD7BF2" w:rsidRDefault="00B35CF3" w:rsidP="0035025C">
          <w:pPr>
            <w:pStyle w:val="FooterText"/>
            <w:spacing w:before="40"/>
            <w:jc w:val="center"/>
          </w:pPr>
        </w:p>
      </w:tc>
      <w:tc>
        <w:tcPr>
          <w:tcW w:w="703" w:type="pct"/>
          <w:shd w:val="clear" w:color="auto" w:fill="auto"/>
        </w:tcPr>
        <w:p w14:paraId="00C34A0C" w14:textId="74CF48F4" w:rsidR="00B35CF3" w:rsidRPr="0035025C" w:rsidRDefault="00B35CF3" w:rsidP="004B628B">
          <w:pPr>
            <w:pStyle w:val="FooterText"/>
            <w:jc w:val="center"/>
            <w:rPr>
              <w:b/>
              <w:position w:val="-4"/>
              <w:sz w:val="36"/>
            </w:rPr>
          </w:pPr>
        </w:p>
      </w:tc>
      <w:tc>
        <w:tcPr>
          <w:tcW w:w="1029" w:type="pct"/>
          <w:gridSpan w:val="2"/>
          <w:shd w:val="clear" w:color="auto" w:fill="auto"/>
        </w:tcPr>
        <w:p w14:paraId="5EFC57DE" w14:textId="48C63F2F" w:rsidR="00B35CF3" w:rsidRPr="00695BAF" w:rsidRDefault="00B35CF3" w:rsidP="0035025C">
          <w:pPr>
            <w:pStyle w:val="FooterText"/>
            <w:jc w:val="right"/>
            <w:rPr>
              <w:caps/>
              <w:sz w:val="16"/>
            </w:rPr>
          </w:pPr>
          <w:r>
            <w:rPr>
              <w:b/>
              <w:caps/>
              <w:spacing w:val="-20"/>
              <w:position w:val="-4"/>
              <w:sz w:val="36"/>
            </w:rPr>
            <w:t>RO</w:t>
          </w:r>
        </w:p>
      </w:tc>
    </w:tr>
  </w:tbl>
  <w:p w14:paraId="081C833F" w14:textId="77777777" w:rsidR="00BF0F87" w:rsidRPr="00B35CF3" w:rsidRDefault="00BF0F87" w:rsidP="00B35CF3">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B35CF3" w:rsidRPr="0035025C" w14:paraId="2E464E46" w14:textId="77777777" w:rsidTr="00B35CF3">
      <w:trPr>
        <w:jc w:val="center"/>
      </w:trPr>
      <w:tc>
        <w:tcPr>
          <w:tcW w:w="5000" w:type="pct"/>
          <w:gridSpan w:val="7"/>
          <w:shd w:val="clear" w:color="auto" w:fill="auto"/>
          <w:tcMar>
            <w:top w:w="57" w:type="dxa"/>
          </w:tcMar>
        </w:tcPr>
        <w:p w14:paraId="5D2D4F41" w14:textId="77777777" w:rsidR="00B35CF3" w:rsidRPr="0035025C" w:rsidRDefault="00B35CF3" w:rsidP="0035025C">
          <w:pPr>
            <w:pStyle w:val="FooterText"/>
            <w:pBdr>
              <w:top w:val="single" w:sz="4" w:space="1" w:color="auto"/>
            </w:pBdr>
            <w:spacing w:before="200"/>
            <w:rPr>
              <w:sz w:val="2"/>
              <w:szCs w:val="2"/>
            </w:rPr>
          </w:pPr>
        </w:p>
      </w:tc>
    </w:tr>
    <w:tr w:rsidR="00B35CF3" w:rsidRPr="00B310DC" w14:paraId="4E5366A0" w14:textId="77777777" w:rsidTr="00B35CF3">
      <w:trPr>
        <w:jc w:val="center"/>
      </w:trPr>
      <w:tc>
        <w:tcPr>
          <w:tcW w:w="2499" w:type="pct"/>
          <w:gridSpan w:val="2"/>
          <w:shd w:val="clear" w:color="auto" w:fill="auto"/>
          <w:tcMar>
            <w:top w:w="0" w:type="dxa"/>
          </w:tcMar>
        </w:tcPr>
        <w:p w14:paraId="5A35AF37" w14:textId="7FCC097A" w:rsidR="00B35CF3" w:rsidRPr="00AD7BF2" w:rsidRDefault="00B35CF3" w:rsidP="0035025C">
          <w:pPr>
            <w:pStyle w:val="FooterText"/>
          </w:pPr>
          <w:r>
            <w:t>14144/1/25 REV 1</w:t>
          </w:r>
          <w:r w:rsidRPr="00C15257">
            <w:rPr>
              <w:sz w:val="16"/>
              <w:szCs w:val="16"/>
            </w:rPr>
            <w:t xml:space="preserve"> </w:t>
          </w:r>
        </w:p>
      </w:tc>
      <w:tc>
        <w:tcPr>
          <w:tcW w:w="625" w:type="pct"/>
          <w:shd w:val="clear" w:color="auto" w:fill="auto"/>
          <w:tcMar>
            <w:top w:w="0" w:type="dxa"/>
          </w:tcMar>
        </w:tcPr>
        <w:p w14:paraId="588FBE60" w14:textId="77777777" w:rsidR="00B35CF3" w:rsidRPr="00AD7BF2" w:rsidRDefault="00B35CF3" w:rsidP="0035025C">
          <w:pPr>
            <w:pStyle w:val="FooterText"/>
            <w:jc w:val="center"/>
          </w:pPr>
        </w:p>
      </w:tc>
      <w:tc>
        <w:tcPr>
          <w:tcW w:w="1287" w:type="pct"/>
          <w:gridSpan w:val="3"/>
          <w:shd w:val="clear" w:color="auto" w:fill="auto"/>
          <w:tcMar>
            <w:top w:w="0" w:type="dxa"/>
          </w:tcMar>
        </w:tcPr>
        <w:p w14:paraId="1D874A36" w14:textId="77777777" w:rsidR="00B35CF3" w:rsidRPr="002511D8" w:rsidRDefault="00B35CF3" w:rsidP="0035025C">
          <w:pPr>
            <w:pStyle w:val="FooterText"/>
            <w:jc w:val="center"/>
          </w:pPr>
        </w:p>
      </w:tc>
      <w:tc>
        <w:tcPr>
          <w:tcW w:w="589" w:type="pct"/>
          <w:shd w:val="clear" w:color="auto" w:fill="auto"/>
          <w:tcMar>
            <w:top w:w="0" w:type="dxa"/>
          </w:tcMar>
        </w:tcPr>
        <w:p w14:paraId="6A36AB38" w14:textId="406C1858" w:rsidR="00B35CF3" w:rsidRPr="00B310DC" w:rsidRDefault="00B35CF3"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B35CF3" w:rsidRPr="0035025C" w14:paraId="6E85159E" w14:textId="77777777" w:rsidTr="00B35CF3">
      <w:trPr>
        <w:jc w:val="center"/>
      </w:trPr>
      <w:tc>
        <w:tcPr>
          <w:tcW w:w="1774" w:type="pct"/>
          <w:shd w:val="clear" w:color="auto" w:fill="auto"/>
        </w:tcPr>
        <w:p w14:paraId="7094D573" w14:textId="10FA57EF" w:rsidR="00B35CF3" w:rsidRPr="00AD7BF2" w:rsidRDefault="00B35CF3" w:rsidP="0035025C">
          <w:pPr>
            <w:pStyle w:val="FooterText"/>
            <w:spacing w:before="40"/>
          </w:pPr>
          <w:r>
            <w:t>ANEXA III</w:t>
          </w:r>
        </w:p>
      </w:tc>
      <w:tc>
        <w:tcPr>
          <w:tcW w:w="1494" w:type="pct"/>
          <w:gridSpan w:val="3"/>
          <w:shd w:val="clear" w:color="auto" w:fill="auto"/>
        </w:tcPr>
        <w:p w14:paraId="18CD8801" w14:textId="721AC042" w:rsidR="00B35CF3" w:rsidRPr="00AD7BF2" w:rsidRDefault="00B35CF3" w:rsidP="0035025C">
          <w:pPr>
            <w:pStyle w:val="FooterText"/>
            <w:spacing w:before="40"/>
            <w:jc w:val="center"/>
          </w:pPr>
        </w:p>
      </w:tc>
      <w:tc>
        <w:tcPr>
          <w:tcW w:w="703" w:type="pct"/>
          <w:shd w:val="clear" w:color="auto" w:fill="auto"/>
        </w:tcPr>
        <w:p w14:paraId="1FE73F25" w14:textId="3DA72979" w:rsidR="00B35CF3" w:rsidRPr="0035025C" w:rsidRDefault="00B35CF3" w:rsidP="004B628B">
          <w:pPr>
            <w:pStyle w:val="FooterText"/>
            <w:jc w:val="center"/>
            <w:rPr>
              <w:b/>
              <w:position w:val="-4"/>
              <w:sz w:val="36"/>
            </w:rPr>
          </w:pPr>
        </w:p>
      </w:tc>
      <w:tc>
        <w:tcPr>
          <w:tcW w:w="1029" w:type="pct"/>
          <w:gridSpan w:val="2"/>
          <w:shd w:val="clear" w:color="auto" w:fill="auto"/>
        </w:tcPr>
        <w:p w14:paraId="056E2B70" w14:textId="48E20C96" w:rsidR="00B35CF3" w:rsidRPr="00695BAF" w:rsidRDefault="00B35CF3" w:rsidP="0035025C">
          <w:pPr>
            <w:pStyle w:val="FooterText"/>
            <w:jc w:val="right"/>
            <w:rPr>
              <w:caps/>
              <w:sz w:val="16"/>
            </w:rPr>
          </w:pPr>
          <w:r>
            <w:rPr>
              <w:b/>
              <w:caps/>
              <w:spacing w:val="-20"/>
              <w:position w:val="-4"/>
              <w:sz w:val="36"/>
            </w:rPr>
            <w:t>RO</w:t>
          </w:r>
        </w:p>
      </w:tc>
    </w:tr>
  </w:tbl>
  <w:p w14:paraId="14B18324" w14:textId="77777777" w:rsidR="00BF0F87" w:rsidRPr="00B35CF3" w:rsidRDefault="00BF0F87" w:rsidP="00B35CF3">
    <w:pPr>
      <w:pStyle w:val="FooterCouncil"/>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B35CF3" w:rsidRPr="0035025C" w14:paraId="78CBE4D3" w14:textId="77777777" w:rsidTr="00B35CF3">
      <w:trPr>
        <w:jc w:val="center"/>
      </w:trPr>
      <w:tc>
        <w:tcPr>
          <w:tcW w:w="5000" w:type="pct"/>
          <w:gridSpan w:val="7"/>
          <w:shd w:val="clear" w:color="auto" w:fill="auto"/>
          <w:tcMar>
            <w:top w:w="57" w:type="dxa"/>
          </w:tcMar>
        </w:tcPr>
        <w:p w14:paraId="57A890E7" w14:textId="77777777" w:rsidR="00B35CF3" w:rsidRPr="0035025C" w:rsidRDefault="00B35CF3" w:rsidP="0035025C">
          <w:pPr>
            <w:pStyle w:val="FooterText"/>
            <w:pBdr>
              <w:top w:val="single" w:sz="4" w:space="1" w:color="auto"/>
            </w:pBdr>
            <w:spacing w:before="200"/>
            <w:rPr>
              <w:sz w:val="2"/>
              <w:szCs w:val="2"/>
            </w:rPr>
          </w:pPr>
        </w:p>
      </w:tc>
    </w:tr>
    <w:tr w:rsidR="00B35CF3" w:rsidRPr="00B310DC" w14:paraId="222863B6" w14:textId="77777777" w:rsidTr="00B35CF3">
      <w:trPr>
        <w:jc w:val="center"/>
      </w:trPr>
      <w:tc>
        <w:tcPr>
          <w:tcW w:w="2499" w:type="pct"/>
          <w:gridSpan w:val="2"/>
          <w:shd w:val="clear" w:color="auto" w:fill="auto"/>
          <w:tcMar>
            <w:top w:w="0" w:type="dxa"/>
          </w:tcMar>
        </w:tcPr>
        <w:p w14:paraId="41167CF8" w14:textId="77777777" w:rsidR="00B35CF3" w:rsidRPr="00AD7BF2" w:rsidRDefault="00B35CF3" w:rsidP="0035025C">
          <w:pPr>
            <w:pStyle w:val="FooterText"/>
          </w:pPr>
          <w:r>
            <w:t>14144/1/25 REV 1</w:t>
          </w:r>
          <w:r w:rsidRPr="00C15257">
            <w:rPr>
              <w:sz w:val="16"/>
              <w:szCs w:val="16"/>
            </w:rPr>
            <w:t xml:space="preserve"> </w:t>
          </w:r>
        </w:p>
      </w:tc>
      <w:tc>
        <w:tcPr>
          <w:tcW w:w="625" w:type="pct"/>
          <w:shd w:val="clear" w:color="auto" w:fill="auto"/>
          <w:tcMar>
            <w:top w:w="0" w:type="dxa"/>
          </w:tcMar>
        </w:tcPr>
        <w:p w14:paraId="16C51BED" w14:textId="77777777" w:rsidR="00B35CF3" w:rsidRPr="00AD7BF2" w:rsidRDefault="00B35CF3" w:rsidP="0035025C">
          <w:pPr>
            <w:pStyle w:val="FooterText"/>
            <w:jc w:val="center"/>
          </w:pPr>
        </w:p>
      </w:tc>
      <w:tc>
        <w:tcPr>
          <w:tcW w:w="1287" w:type="pct"/>
          <w:gridSpan w:val="3"/>
          <w:shd w:val="clear" w:color="auto" w:fill="auto"/>
          <w:tcMar>
            <w:top w:w="0" w:type="dxa"/>
          </w:tcMar>
        </w:tcPr>
        <w:p w14:paraId="22CD00CE" w14:textId="77777777" w:rsidR="00B35CF3" w:rsidRPr="002511D8" w:rsidRDefault="00B35CF3" w:rsidP="0035025C">
          <w:pPr>
            <w:pStyle w:val="FooterText"/>
            <w:jc w:val="center"/>
          </w:pPr>
        </w:p>
      </w:tc>
      <w:tc>
        <w:tcPr>
          <w:tcW w:w="589" w:type="pct"/>
          <w:shd w:val="clear" w:color="auto" w:fill="auto"/>
          <w:tcMar>
            <w:top w:w="0" w:type="dxa"/>
          </w:tcMar>
        </w:tcPr>
        <w:p w14:paraId="2DA4B109" w14:textId="77777777" w:rsidR="00B35CF3" w:rsidRPr="00B310DC" w:rsidRDefault="00B35CF3"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B35CF3" w:rsidRPr="0035025C" w14:paraId="3E0489AF" w14:textId="77777777" w:rsidTr="00B35CF3">
      <w:trPr>
        <w:jc w:val="center"/>
      </w:trPr>
      <w:tc>
        <w:tcPr>
          <w:tcW w:w="1774" w:type="pct"/>
          <w:shd w:val="clear" w:color="auto" w:fill="auto"/>
        </w:tcPr>
        <w:p w14:paraId="028614DD" w14:textId="77777777" w:rsidR="00B35CF3" w:rsidRPr="00AD7BF2" w:rsidRDefault="00B35CF3" w:rsidP="0035025C">
          <w:pPr>
            <w:pStyle w:val="FooterText"/>
            <w:spacing w:before="40"/>
          </w:pPr>
          <w:r>
            <w:t>ANEXA III</w:t>
          </w:r>
        </w:p>
      </w:tc>
      <w:tc>
        <w:tcPr>
          <w:tcW w:w="1494" w:type="pct"/>
          <w:gridSpan w:val="3"/>
          <w:shd w:val="clear" w:color="auto" w:fill="auto"/>
        </w:tcPr>
        <w:p w14:paraId="6CDB0A4B" w14:textId="77777777" w:rsidR="00B35CF3" w:rsidRPr="00AD7BF2" w:rsidRDefault="00B35CF3" w:rsidP="0035025C">
          <w:pPr>
            <w:pStyle w:val="FooterText"/>
            <w:spacing w:before="40"/>
            <w:jc w:val="center"/>
          </w:pPr>
        </w:p>
      </w:tc>
      <w:tc>
        <w:tcPr>
          <w:tcW w:w="703" w:type="pct"/>
          <w:shd w:val="clear" w:color="auto" w:fill="auto"/>
        </w:tcPr>
        <w:p w14:paraId="2A26DF4D" w14:textId="77777777" w:rsidR="00B35CF3" w:rsidRPr="0035025C" w:rsidRDefault="00B35CF3" w:rsidP="004B628B">
          <w:pPr>
            <w:pStyle w:val="FooterText"/>
            <w:jc w:val="center"/>
            <w:rPr>
              <w:b/>
              <w:position w:val="-4"/>
              <w:sz w:val="36"/>
            </w:rPr>
          </w:pPr>
        </w:p>
      </w:tc>
      <w:tc>
        <w:tcPr>
          <w:tcW w:w="1029" w:type="pct"/>
          <w:gridSpan w:val="2"/>
          <w:shd w:val="clear" w:color="auto" w:fill="auto"/>
        </w:tcPr>
        <w:p w14:paraId="305167B6" w14:textId="77777777" w:rsidR="00B35CF3" w:rsidRPr="00695BAF" w:rsidRDefault="00B35CF3" w:rsidP="0035025C">
          <w:pPr>
            <w:pStyle w:val="FooterText"/>
            <w:jc w:val="right"/>
            <w:rPr>
              <w:caps/>
              <w:sz w:val="16"/>
            </w:rPr>
          </w:pPr>
          <w:r>
            <w:rPr>
              <w:b/>
              <w:caps/>
              <w:spacing w:val="-20"/>
              <w:position w:val="-4"/>
              <w:sz w:val="36"/>
            </w:rPr>
            <w:t>RO</w:t>
          </w:r>
        </w:p>
      </w:tc>
    </w:tr>
  </w:tbl>
  <w:p w14:paraId="4F22CCE0" w14:textId="77777777" w:rsidR="00B35CF3" w:rsidRPr="00B35CF3" w:rsidRDefault="00B35CF3" w:rsidP="00B35CF3">
    <w:pPr>
      <w:pStyle w:val="FooterCouncil"/>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0D2C" w14:textId="0AF971F1" w:rsidR="00647D0C" w:rsidRPr="00B35CF3" w:rsidRDefault="00647D0C" w:rsidP="00B35CF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B35CF3" w:rsidRPr="0035025C" w14:paraId="6AD365C3" w14:textId="77777777" w:rsidTr="00B35CF3">
      <w:trPr>
        <w:jc w:val="center"/>
      </w:trPr>
      <w:tc>
        <w:tcPr>
          <w:tcW w:w="5000" w:type="pct"/>
          <w:gridSpan w:val="7"/>
          <w:shd w:val="clear" w:color="auto" w:fill="auto"/>
          <w:tcMar>
            <w:top w:w="57" w:type="dxa"/>
          </w:tcMar>
        </w:tcPr>
        <w:p w14:paraId="6EDB36D4" w14:textId="77777777" w:rsidR="00B35CF3" w:rsidRPr="0035025C" w:rsidRDefault="00B35CF3" w:rsidP="0035025C">
          <w:pPr>
            <w:pStyle w:val="FooterText"/>
            <w:pBdr>
              <w:top w:val="single" w:sz="4" w:space="1" w:color="auto"/>
            </w:pBdr>
            <w:spacing w:before="200"/>
            <w:rPr>
              <w:sz w:val="2"/>
              <w:szCs w:val="2"/>
            </w:rPr>
          </w:pPr>
        </w:p>
      </w:tc>
    </w:tr>
    <w:tr w:rsidR="00B35CF3" w:rsidRPr="00B310DC" w14:paraId="4F7DFA3D" w14:textId="77777777" w:rsidTr="00B35CF3">
      <w:trPr>
        <w:jc w:val="center"/>
      </w:trPr>
      <w:tc>
        <w:tcPr>
          <w:tcW w:w="2499" w:type="pct"/>
          <w:gridSpan w:val="2"/>
          <w:shd w:val="clear" w:color="auto" w:fill="auto"/>
          <w:tcMar>
            <w:top w:w="0" w:type="dxa"/>
          </w:tcMar>
        </w:tcPr>
        <w:p w14:paraId="4AF3E8B1" w14:textId="45EC15A2" w:rsidR="00B35CF3" w:rsidRPr="00AD7BF2" w:rsidRDefault="00B35CF3" w:rsidP="0035025C">
          <w:pPr>
            <w:pStyle w:val="FooterText"/>
          </w:pPr>
          <w:r>
            <w:t>14144/1/25 REV 1</w:t>
          </w:r>
          <w:r w:rsidRPr="00C15257">
            <w:rPr>
              <w:sz w:val="16"/>
              <w:szCs w:val="16"/>
            </w:rPr>
            <w:t xml:space="preserve"> </w:t>
          </w:r>
        </w:p>
      </w:tc>
      <w:tc>
        <w:tcPr>
          <w:tcW w:w="625" w:type="pct"/>
          <w:shd w:val="clear" w:color="auto" w:fill="auto"/>
          <w:tcMar>
            <w:top w:w="0" w:type="dxa"/>
          </w:tcMar>
        </w:tcPr>
        <w:p w14:paraId="0A32BC13" w14:textId="77777777" w:rsidR="00B35CF3" w:rsidRPr="00AD7BF2" w:rsidRDefault="00B35CF3" w:rsidP="0035025C">
          <w:pPr>
            <w:pStyle w:val="FooterText"/>
            <w:jc w:val="center"/>
          </w:pPr>
        </w:p>
      </w:tc>
      <w:tc>
        <w:tcPr>
          <w:tcW w:w="1287" w:type="pct"/>
          <w:gridSpan w:val="3"/>
          <w:shd w:val="clear" w:color="auto" w:fill="auto"/>
          <w:tcMar>
            <w:top w:w="0" w:type="dxa"/>
          </w:tcMar>
        </w:tcPr>
        <w:p w14:paraId="5765DC59" w14:textId="77777777" w:rsidR="00B35CF3" w:rsidRPr="002511D8" w:rsidRDefault="00B35CF3" w:rsidP="0035025C">
          <w:pPr>
            <w:pStyle w:val="FooterText"/>
            <w:jc w:val="center"/>
          </w:pPr>
        </w:p>
      </w:tc>
      <w:tc>
        <w:tcPr>
          <w:tcW w:w="589" w:type="pct"/>
          <w:shd w:val="clear" w:color="auto" w:fill="auto"/>
          <w:tcMar>
            <w:top w:w="0" w:type="dxa"/>
          </w:tcMar>
        </w:tcPr>
        <w:p w14:paraId="79C32C0D" w14:textId="1CF0DBCC" w:rsidR="00B35CF3" w:rsidRPr="00B310DC" w:rsidRDefault="00B35CF3" w:rsidP="0035025C">
          <w:pPr>
            <w:pStyle w:val="FooterText"/>
            <w:jc w:val="right"/>
          </w:pPr>
          <w:r>
            <w:fldChar w:fldCharType="begin"/>
          </w:r>
          <w:r>
            <w:instrText xml:space="preserve"> PAGE  \* MERGEFORMAT </w:instrText>
          </w:r>
          <w:r>
            <w:fldChar w:fldCharType="separate"/>
          </w:r>
          <w:r>
            <w:rPr>
              <w:noProof/>
            </w:rPr>
            <w:t>5</w:t>
          </w:r>
          <w:r>
            <w:fldChar w:fldCharType="end"/>
          </w:r>
        </w:p>
      </w:tc>
    </w:tr>
    <w:tr w:rsidR="00B35CF3" w:rsidRPr="0035025C" w14:paraId="44115807" w14:textId="77777777" w:rsidTr="00B35CF3">
      <w:trPr>
        <w:jc w:val="center"/>
      </w:trPr>
      <w:tc>
        <w:tcPr>
          <w:tcW w:w="1774" w:type="pct"/>
          <w:shd w:val="clear" w:color="auto" w:fill="auto"/>
        </w:tcPr>
        <w:p w14:paraId="2EF5D864" w14:textId="78D3DF07" w:rsidR="00B35CF3" w:rsidRPr="00AD7BF2" w:rsidRDefault="00B35CF3" w:rsidP="0035025C">
          <w:pPr>
            <w:pStyle w:val="FooterText"/>
            <w:spacing w:before="40"/>
          </w:pPr>
          <w:r>
            <w:t>ANEXA IV</w:t>
          </w:r>
        </w:p>
      </w:tc>
      <w:tc>
        <w:tcPr>
          <w:tcW w:w="1494" w:type="pct"/>
          <w:gridSpan w:val="3"/>
          <w:shd w:val="clear" w:color="auto" w:fill="auto"/>
        </w:tcPr>
        <w:p w14:paraId="287B5330" w14:textId="373E5BC1" w:rsidR="00B35CF3" w:rsidRPr="00AD7BF2" w:rsidRDefault="00B35CF3" w:rsidP="0035025C">
          <w:pPr>
            <w:pStyle w:val="FooterText"/>
            <w:spacing w:before="40"/>
            <w:jc w:val="center"/>
          </w:pPr>
        </w:p>
      </w:tc>
      <w:tc>
        <w:tcPr>
          <w:tcW w:w="703" w:type="pct"/>
          <w:shd w:val="clear" w:color="auto" w:fill="auto"/>
        </w:tcPr>
        <w:p w14:paraId="1E3330A1" w14:textId="53F00F3F" w:rsidR="00B35CF3" w:rsidRPr="0035025C" w:rsidRDefault="00B35CF3" w:rsidP="004B628B">
          <w:pPr>
            <w:pStyle w:val="FooterText"/>
            <w:jc w:val="center"/>
            <w:rPr>
              <w:b/>
              <w:position w:val="-4"/>
              <w:sz w:val="36"/>
            </w:rPr>
          </w:pPr>
        </w:p>
      </w:tc>
      <w:tc>
        <w:tcPr>
          <w:tcW w:w="1029" w:type="pct"/>
          <w:gridSpan w:val="2"/>
          <w:shd w:val="clear" w:color="auto" w:fill="auto"/>
        </w:tcPr>
        <w:p w14:paraId="2CDD6250" w14:textId="6851AED5" w:rsidR="00B35CF3" w:rsidRPr="00695BAF" w:rsidRDefault="00B35CF3" w:rsidP="0035025C">
          <w:pPr>
            <w:pStyle w:val="FooterText"/>
            <w:jc w:val="right"/>
            <w:rPr>
              <w:caps/>
              <w:sz w:val="16"/>
            </w:rPr>
          </w:pPr>
          <w:r>
            <w:rPr>
              <w:b/>
              <w:caps/>
              <w:spacing w:val="-20"/>
              <w:position w:val="-4"/>
              <w:sz w:val="36"/>
            </w:rPr>
            <w:t>RO</w:t>
          </w:r>
        </w:p>
      </w:tc>
    </w:tr>
  </w:tbl>
  <w:p w14:paraId="306AE3BC" w14:textId="77777777" w:rsidR="00BF0F87" w:rsidRPr="00B35CF3" w:rsidRDefault="00BF0F87" w:rsidP="00B35CF3">
    <w:pPr>
      <w:pStyle w:val="FooterCouncil"/>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A27E" w14:textId="759C5F1A" w:rsidR="00647D0C" w:rsidRPr="00B35CF3" w:rsidRDefault="00647D0C" w:rsidP="00B35CF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B35CF3" w:rsidRPr="0035025C" w14:paraId="17035877" w14:textId="77777777" w:rsidTr="00B35CF3">
      <w:trPr>
        <w:jc w:val="center"/>
      </w:trPr>
      <w:tc>
        <w:tcPr>
          <w:tcW w:w="5000" w:type="pct"/>
          <w:gridSpan w:val="7"/>
          <w:shd w:val="clear" w:color="auto" w:fill="auto"/>
          <w:tcMar>
            <w:top w:w="57" w:type="dxa"/>
          </w:tcMar>
        </w:tcPr>
        <w:p w14:paraId="2CA37D1C" w14:textId="77777777" w:rsidR="00B35CF3" w:rsidRPr="0035025C" w:rsidRDefault="00B35CF3" w:rsidP="0035025C">
          <w:pPr>
            <w:pStyle w:val="FooterText"/>
            <w:pBdr>
              <w:top w:val="single" w:sz="4" w:space="1" w:color="auto"/>
            </w:pBdr>
            <w:spacing w:before="200"/>
            <w:rPr>
              <w:sz w:val="2"/>
              <w:szCs w:val="2"/>
            </w:rPr>
          </w:pPr>
        </w:p>
      </w:tc>
    </w:tr>
    <w:tr w:rsidR="00B35CF3" w:rsidRPr="00B310DC" w14:paraId="4055E96E" w14:textId="77777777" w:rsidTr="00B35CF3">
      <w:trPr>
        <w:jc w:val="center"/>
      </w:trPr>
      <w:tc>
        <w:tcPr>
          <w:tcW w:w="2499" w:type="pct"/>
          <w:gridSpan w:val="2"/>
          <w:shd w:val="clear" w:color="auto" w:fill="auto"/>
          <w:tcMar>
            <w:top w:w="0" w:type="dxa"/>
          </w:tcMar>
        </w:tcPr>
        <w:p w14:paraId="76659708" w14:textId="77777777" w:rsidR="00B35CF3" w:rsidRPr="00AD7BF2" w:rsidRDefault="00B35CF3" w:rsidP="0035025C">
          <w:pPr>
            <w:pStyle w:val="FooterText"/>
          </w:pPr>
          <w:r>
            <w:t>14144/1/25 REV 1</w:t>
          </w:r>
          <w:r w:rsidRPr="00C15257">
            <w:rPr>
              <w:sz w:val="16"/>
              <w:szCs w:val="16"/>
            </w:rPr>
            <w:t xml:space="preserve"> </w:t>
          </w:r>
        </w:p>
      </w:tc>
      <w:tc>
        <w:tcPr>
          <w:tcW w:w="625" w:type="pct"/>
          <w:shd w:val="clear" w:color="auto" w:fill="auto"/>
          <w:tcMar>
            <w:top w:w="0" w:type="dxa"/>
          </w:tcMar>
        </w:tcPr>
        <w:p w14:paraId="32600AE3" w14:textId="77777777" w:rsidR="00B35CF3" w:rsidRPr="00AD7BF2" w:rsidRDefault="00B35CF3" w:rsidP="0035025C">
          <w:pPr>
            <w:pStyle w:val="FooterText"/>
            <w:jc w:val="center"/>
          </w:pPr>
        </w:p>
      </w:tc>
      <w:tc>
        <w:tcPr>
          <w:tcW w:w="1287" w:type="pct"/>
          <w:gridSpan w:val="3"/>
          <w:shd w:val="clear" w:color="auto" w:fill="auto"/>
          <w:tcMar>
            <w:top w:w="0" w:type="dxa"/>
          </w:tcMar>
        </w:tcPr>
        <w:p w14:paraId="298E7F68" w14:textId="77777777" w:rsidR="00B35CF3" w:rsidRPr="002511D8" w:rsidRDefault="00B35CF3" w:rsidP="0035025C">
          <w:pPr>
            <w:pStyle w:val="FooterText"/>
            <w:jc w:val="center"/>
          </w:pPr>
        </w:p>
      </w:tc>
      <w:tc>
        <w:tcPr>
          <w:tcW w:w="589" w:type="pct"/>
          <w:shd w:val="clear" w:color="auto" w:fill="auto"/>
          <w:tcMar>
            <w:top w:w="0" w:type="dxa"/>
          </w:tcMar>
        </w:tcPr>
        <w:p w14:paraId="5ABA838F" w14:textId="77777777" w:rsidR="00B35CF3" w:rsidRPr="00B310DC" w:rsidRDefault="00B35CF3" w:rsidP="0035025C">
          <w:pPr>
            <w:pStyle w:val="FooterText"/>
            <w:jc w:val="right"/>
          </w:pPr>
          <w:r>
            <w:fldChar w:fldCharType="begin"/>
          </w:r>
          <w:r>
            <w:instrText xml:space="preserve"> PAGE  \* MERGEFORMAT </w:instrText>
          </w:r>
          <w:r>
            <w:fldChar w:fldCharType="separate"/>
          </w:r>
          <w:r>
            <w:rPr>
              <w:noProof/>
            </w:rPr>
            <w:t>5</w:t>
          </w:r>
          <w:r>
            <w:fldChar w:fldCharType="end"/>
          </w:r>
        </w:p>
      </w:tc>
    </w:tr>
    <w:tr w:rsidR="00B35CF3" w:rsidRPr="0035025C" w14:paraId="5C7CAABA" w14:textId="77777777" w:rsidTr="00B35CF3">
      <w:trPr>
        <w:jc w:val="center"/>
      </w:trPr>
      <w:tc>
        <w:tcPr>
          <w:tcW w:w="1774" w:type="pct"/>
          <w:shd w:val="clear" w:color="auto" w:fill="auto"/>
        </w:tcPr>
        <w:p w14:paraId="3AE8EAB1" w14:textId="77777777" w:rsidR="00B35CF3" w:rsidRPr="00AD7BF2" w:rsidRDefault="00B35CF3" w:rsidP="0035025C">
          <w:pPr>
            <w:pStyle w:val="FooterText"/>
            <w:spacing w:before="40"/>
          </w:pPr>
          <w:r>
            <w:t>ANEXA IV</w:t>
          </w:r>
        </w:p>
      </w:tc>
      <w:tc>
        <w:tcPr>
          <w:tcW w:w="1494" w:type="pct"/>
          <w:gridSpan w:val="3"/>
          <w:shd w:val="clear" w:color="auto" w:fill="auto"/>
        </w:tcPr>
        <w:p w14:paraId="148057F4" w14:textId="77777777" w:rsidR="00B35CF3" w:rsidRPr="00AD7BF2" w:rsidRDefault="00B35CF3" w:rsidP="0035025C">
          <w:pPr>
            <w:pStyle w:val="FooterText"/>
            <w:spacing w:before="40"/>
            <w:jc w:val="center"/>
          </w:pPr>
        </w:p>
      </w:tc>
      <w:tc>
        <w:tcPr>
          <w:tcW w:w="703" w:type="pct"/>
          <w:shd w:val="clear" w:color="auto" w:fill="auto"/>
        </w:tcPr>
        <w:p w14:paraId="1ABAE257" w14:textId="77777777" w:rsidR="00B35CF3" w:rsidRPr="0035025C" w:rsidRDefault="00B35CF3" w:rsidP="004B628B">
          <w:pPr>
            <w:pStyle w:val="FooterText"/>
            <w:jc w:val="center"/>
            <w:rPr>
              <w:b/>
              <w:position w:val="-4"/>
              <w:sz w:val="36"/>
            </w:rPr>
          </w:pPr>
        </w:p>
      </w:tc>
      <w:tc>
        <w:tcPr>
          <w:tcW w:w="1029" w:type="pct"/>
          <w:gridSpan w:val="2"/>
          <w:shd w:val="clear" w:color="auto" w:fill="auto"/>
        </w:tcPr>
        <w:p w14:paraId="0E89EE03" w14:textId="77777777" w:rsidR="00B35CF3" w:rsidRPr="00695BAF" w:rsidRDefault="00B35CF3" w:rsidP="0035025C">
          <w:pPr>
            <w:pStyle w:val="FooterText"/>
            <w:jc w:val="right"/>
            <w:rPr>
              <w:caps/>
              <w:sz w:val="16"/>
            </w:rPr>
          </w:pPr>
          <w:r>
            <w:rPr>
              <w:b/>
              <w:caps/>
              <w:spacing w:val="-20"/>
              <w:position w:val="-4"/>
              <w:sz w:val="36"/>
            </w:rPr>
            <w:t>RO</w:t>
          </w:r>
        </w:p>
      </w:tc>
    </w:tr>
  </w:tbl>
  <w:p w14:paraId="35AE7FE8" w14:textId="77777777" w:rsidR="00B35CF3" w:rsidRPr="00B35CF3" w:rsidRDefault="00B35CF3" w:rsidP="00B35CF3">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B35CF3" w:rsidRPr="0035025C" w14:paraId="6D4CF705" w14:textId="77777777" w:rsidTr="00B35CF3">
      <w:trPr>
        <w:jc w:val="center"/>
      </w:trPr>
      <w:tc>
        <w:tcPr>
          <w:tcW w:w="5000" w:type="pct"/>
          <w:gridSpan w:val="7"/>
          <w:shd w:val="clear" w:color="auto" w:fill="auto"/>
          <w:tcMar>
            <w:top w:w="57" w:type="dxa"/>
          </w:tcMar>
        </w:tcPr>
        <w:p w14:paraId="113D0747" w14:textId="77777777" w:rsidR="00B35CF3" w:rsidRPr="0035025C" w:rsidRDefault="00B35CF3" w:rsidP="0035025C">
          <w:pPr>
            <w:pStyle w:val="FooterText"/>
            <w:pBdr>
              <w:top w:val="single" w:sz="4" w:space="1" w:color="auto"/>
            </w:pBdr>
            <w:spacing w:before="200"/>
            <w:rPr>
              <w:sz w:val="2"/>
              <w:szCs w:val="2"/>
            </w:rPr>
          </w:pPr>
        </w:p>
      </w:tc>
    </w:tr>
    <w:tr w:rsidR="00B35CF3" w:rsidRPr="00B310DC" w14:paraId="2D8CD02C" w14:textId="77777777" w:rsidTr="00B35CF3">
      <w:trPr>
        <w:jc w:val="center"/>
      </w:trPr>
      <w:tc>
        <w:tcPr>
          <w:tcW w:w="2499" w:type="pct"/>
          <w:gridSpan w:val="2"/>
          <w:shd w:val="clear" w:color="auto" w:fill="auto"/>
          <w:tcMar>
            <w:top w:w="0" w:type="dxa"/>
          </w:tcMar>
        </w:tcPr>
        <w:p w14:paraId="3CAD7EEA" w14:textId="1A1A3EC1" w:rsidR="00B35CF3" w:rsidRPr="00AD7BF2" w:rsidRDefault="00B35CF3" w:rsidP="0035025C">
          <w:pPr>
            <w:pStyle w:val="FooterText"/>
          </w:pPr>
          <w:r>
            <w:t>14144/1/25 REV 1</w:t>
          </w:r>
          <w:r w:rsidRPr="00C15257">
            <w:rPr>
              <w:sz w:val="16"/>
              <w:szCs w:val="16"/>
            </w:rPr>
            <w:t xml:space="preserve"> </w:t>
          </w:r>
        </w:p>
      </w:tc>
      <w:tc>
        <w:tcPr>
          <w:tcW w:w="625" w:type="pct"/>
          <w:shd w:val="clear" w:color="auto" w:fill="auto"/>
          <w:tcMar>
            <w:top w:w="0" w:type="dxa"/>
          </w:tcMar>
        </w:tcPr>
        <w:p w14:paraId="66EAB9D6" w14:textId="77777777" w:rsidR="00B35CF3" w:rsidRPr="00AD7BF2" w:rsidRDefault="00B35CF3" w:rsidP="0035025C">
          <w:pPr>
            <w:pStyle w:val="FooterText"/>
            <w:jc w:val="center"/>
          </w:pPr>
        </w:p>
      </w:tc>
      <w:tc>
        <w:tcPr>
          <w:tcW w:w="1287" w:type="pct"/>
          <w:gridSpan w:val="3"/>
          <w:shd w:val="clear" w:color="auto" w:fill="auto"/>
          <w:tcMar>
            <w:top w:w="0" w:type="dxa"/>
          </w:tcMar>
        </w:tcPr>
        <w:p w14:paraId="55E836FC" w14:textId="77777777" w:rsidR="00B35CF3" w:rsidRPr="002511D8" w:rsidRDefault="00B35CF3" w:rsidP="0035025C">
          <w:pPr>
            <w:pStyle w:val="FooterText"/>
            <w:jc w:val="center"/>
          </w:pPr>
        </w:p>
      </w:tc>
      <w:tc>
        <w:tcPr>
          <w:tcW w:w="589" w:type="pct"/>
          <w:shd w:val="clear" w:color="auto" w:fill="auto"/>
          <w:tcMar>
            <w:top w:w="0" w:type="dxa"/>
          </w:tcMar>
        </w:tcPr>
        <w:p w14:paraId="48923F22" w14:textId="17DC8D3B" w:rsidR="00B35CF3" w:rsidRPr="00B310DC" w:rsidRDefault="00B35CF3"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B35CF3" w:rsidRPr="0035025C" w14:paraId="5AD7CCA3" w14:textId="77777777" w:rsidTr="00B35CF3">
      <w:trPr>
        <w:jc w:val="center"/>
      </w:trPr>
      <w:tc>
        <w:tcPr>
          <w:tcW w:w="1774" w:type="pct"/>
          <w:shd w:val="clear" w:color="auto" w:fill="auto"/>
        </w:tcPr>
        <w:p w14:paraId="0E1AF324" w14:textId="4B015AEC" w:rsidR="00B35CF3" w:rsidRPr="00AD7BF2" w:rsidRDefault="00B35CF3" w:rsidP="0035025C">
          <w:pPr>
            <w:pStyle w:val="FooterText"/>
            <w:spacing w:before="40"/>
          </w:pPr>
          <w:r>
            <w:t>ANEXA V</w:t>
          </w:r>
        </w:p>
      </w:tc>
      <w:tc>
        <w:tcPr>
          <w:tcW w:w="1494" w:type="pct"/>
          <w:gridSpan w:val="3"/>
          <w:shd w:val="clear" w:color="auto" w:fill="auto"/>
        </w:tcPr>
        <w:p w14:paraId="3AEE66AC" w14:textId="37DC4497" w:rsidR="00B35CF3" w:rsidRPr="00AD7BF2" w:rsidRDefault="00B35CF3" w:rsidP="0035025C">
          <w:pPr>
            <w:pStyle w:val="FooterText"/>
            <w:spacing w:before="40"/>
            <w:jc w:val="center"/>
          </w:pPr>
        </w:p>
      </w:tc>
      <w:tc>
        <w:tcPr>
          <w:tcW w:w="703" w:type="pct"/>
          <w:shd w:val="clear" w:color="auto" w:fill="auto"/>
        </w:tcPr>
        <w:p w14:paraId="66E5AFF8" w14:textId="1EBC5229" w:rsidR="00B35CF3" w:rsidRPr="0035025C" w:rsidRDefault="00B35CF3" w:rsidP="004B628B">
          <w:pPr>
            <w:pStyle w:val="FooterText"/>
            <w:jc w:val="center"/>
            <w:rPr>
              <w:b/>
              <w:position w:val="-4"/>
              <w:sz w:val="36"/>
            </w:rPr>
          </w:pPr>
        </w:p>
      </w:tc>
      <w:tc>
        <w:tcPr>
          <w:tcW w:w="1029" w:type="pct"/>
          <w:gridSpan w:val="2"/>
          <w:shd w:val="clear" w:color="auto" w:fill="auto"/>
        </w:tcPr>
        <w:p w14:paraId="149CB4FB" w14:textId="1198B86A" w:rsidR="00B35CF3" w:rsidRPr="00695BAF" w:rsidRDefault="00B35CF3" w:rsidP="0035025C">
          <w:pPr>
            <w:pStyle w:val="FooterText"/>
            <w:jc w:val="right"/>
            <w:rPr>
              <w:caps/>
              <w:sz w:val="16"/>
            </w:rPr>
          </w:pPr>
          <w:r>
            <w:rPr>
              <w:b/>
              <w:caps/>
              <w:spacing w:val="-20"/>
              <w:position w:val="-4"/>
              <w:sz w:val="36"/>
            </w:rPr>
            <w:t>RO</w:t>
          </w:r>
        </w:p>
      </w:tc>
    </w:tr>
  </w:tbl>
  <w:p w14:paraId="6AE3468C" w14:textId="77777777" w:rsidR="00BF0F87" w:rsidRPr="00B35CF3" w:rsidRDefault="00BF0F87" w:rsidP="00B35CF3">
    <w:pPr>
      <w:pStyle w:val="FooterCouncil"/>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B35CF3" w:rsidRPr="0035025C" w14:paraId="2EA0C3BB" w14:textId="77777777" w:rsidTr="00B35CF3">
      <w:trPr>
        <w:jc w:val="center"/>
      </w:trPr>
      <w:tc>
        <w:tcPr>
          <w:tcW w:w="5000" w:type="pct"/>
          <w:gridSpan w:val="7"/>
          <w:shd w:val="clear" w:color="auto" w:fill="auto"/>
          <w:tcMar>
            <w:top w:w="57" w:type="dxa"/>
          </w:tcMar>
        </w:tcPr>
        <w:p w14:paraId="5CF142E9" w14:textId="77777777" w:rsidR="00B35CF3" w:rsidRPr="0035025C" w:rsidRDefault="00B35CF3" w:rsidP="0035025C">
          <w:pPr>
            <w:pStyle w:val="FooterText"/>
            <w:pBdr>
              <w:top w:val="single" w:sz="4" w:space="1" w:color="auto"/>
            </w:pBdr>
            <w:spacing w:before="200"/>
            <w:rPr>
              <w:sz w:val="2"/>
              <w:szCs w:val="2"/>
            </w:rPr>
          </w:pPr>
        </w:p>
      </w:tc>
    </w:tr>
    <w:tr w:rsidR="00B35CF3" w:rsidRPr="00B310DC" w14:paraId="544DA940" w14:textId="77777777" w:rsidTr="00B35CF3">
      <w:trPr>
        <w:jc w:val="center"/>
      </w:trPr>
      <w:tc>
        <w:tcPr>
          <w:tcW w:w="2499" w:type="pct"/>
          <w:gridSpan w:val="2"/>
          <w:shd w:val="clear" w:color="auto" w:fill="auto"/>
          <w:tcMar>
            <w:top w:w="0" w:type="dxa"/>
          </w:tcMar>
        </w:tcPr>
        <w:p w14:paraId="6881A3AA" w14:textId="21A08CFE" w:rsidR="00B35CF3" w:rsidRPr="00AD7BF2" w:rsidRDefault="00B35CF3" w:rsidP="0035025C">
          <w:pPr>
            <w:pStyle w:val="FooterText"/>
          </w:pPr>
          <w:r>
            <w:t>14144/1/25 REV 1</w:t>
          </w:r>
          <w:r w:rsidRPr="00C15257">
            <w:rPr>
              <w:sz w:val="16"/>
              <w:szCs w:val="16"/>
            </w:rPr>
            <w:t xml:space="preserve"> </w:t>
          </w:r>
        </w:p>
      </w:tc>
      <w:tc>
        <w:tcPr>
          <w:tcW w:w="625" w:type="pct"/>
          <w:shd w:val="clear" w:color="auto" w:fill="auto"/>
          <w:tcMar>
            <w:top w:w="0" w:type="dxa"/>
          </w:tcMar>
        </w:tcPr>
        <w:p w14:paraId="50709C94" w14:textId="77777777" w:rsidR="00B35CF3" w:rsidRPr="00AD7BF2" w:rsidRDefault="00B35CF3" w:rsidP="0035025C">
          <w:pPr>
            <w:pStyle w:val="FooterText"/>
            <w:jc w:val="center"/>
          </w:pPr>
        </w:p>
      </w:tc>
      <w:tc>
        <w:tcPr>
          <w:tcW w:w="1287" w:type="pct"/>
          <w:gridSpan w:val="3"/>
          <w:shd w:val="clear" w:color="auto" w:fill="auto"/>
          <w:tcMar>
            <w:top w:w="0" w:type="dxa"/>
          </w:tcMar>
        </w:tcPr>
        <w:p w14:paraId="0B33C238" w14:textId="77777777" w:rsidR="00B35CF3" w:rsidRPr="002511D8" w:rsidRDefault="00B35CF3" w:rsidP="0035025C">
          <w:pPr>
            <w:pStyle w:val="FooterText"/>
            <w:jc w:val="center"/>
          </w:pPr>
        </w:p>
      </w:tc>
      <w:tc>
        <w:tcPr>
          <w:tcW w:w="589" w:type="pct"/>
          <w:shd w:val="clear" w:color="auto" w:fill="auto"/>
          <w:tcMar>
            <w:top w:w="0" w:type="dxa"/>
          </w:tcMar>
        </w:tcPr>
        <w:p w14:paraId="5BAE99C3" w14:textId="3A7D05A0" w:rsidR="00B35CF3" w:rsidRPr="00B310DC" w:rsidRDefault="00B35CF3"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B35CF3" w:rsidRPr="0035025C" w14:paraId="070B7621" w14:textId="77777777" w:rsidTr="00B35CF3">
      <w:trPr>
        <w:jc w:val="center"/>
      </w:trPr>
      <w:tc>
        <w:tcPr>
          <w:tcW w:w="1774" w:type="pct"/>
          <w:shd w:val="clear" w:color="auto" w:fill="auto"/>
        </w:tcPr>
        <w:p w14:paraId="4262ED2B" w14:textId="340CC8C2" w:rsidR="00B35CF3" w:rsidRPr="00AD7BF2" w:rsidRDefault="00B35CF3" w:rsidP="0035025C">
          <w:pPr>
            <w:pStyle w:val="FooterText"/>
            <w:spacing w:before="40"/>
          </w:pPr>
          <w:r>
            <w:t>ANEXA VI</w:t>
          </w:r>
        </w:p>
      </w:tc>
      <w:tc>
        <w:tcPr>
          <w:tcW w:w="1494" w:type="pct"/>
          <w:gridSpan w:val="3"/>
          <w:shd w:val="clear" w:color="auto" w:fill="auto"/>
        </w:tcPr>
        <w:p w14:paraId="68315A31" w14:textId="52182876" w:rsidR="00B35CF3" w:rsidRPr="00AD7BF2" w:rsidRDefault="00B35CF3" w:rsidP="0035025C">
          <w:pPr>
            <w:pStyle w:val="FooterText"/>
            <w:spacing w:before="40"/>
            <w:jc w:val="center"/>
          </w:pPr>
        </w:p>
      </w:tc>
      <w:tc>
        <w:tcPr>
          <w:tcW w:w="703" w:type="pct"/>
          <w:shd w:val="clear" w:color="auto" w:fill="auto"/>
        </w:tcPr>
        <w:p w14:paraId="485E0642" w14:textId="78890339" w:rsidR="00B35CF3" w:rsidRPr="0035025C" w:rsidRDefault="00B35CF3" w:rsidP="004B628B">
          <w:pPr>
            <w:pStyle w:val="FooterText"/>
            <w:jc w:val="center"/>
            <w:rPr>
              <w:b/>
              <w:position w:val="-4"/>
              <w:sz w:val="36"/>
            </w:rPr>
          </w:pPr>
        </w:p>
      </w:tc>
      <w:tc>
        <w:tcPr>
          <w:tcW w:w="1029" w:type="pct"/>
          <w:gridSpan w:val="2"/>
          <w:shd w:val="clear" w:color="auto" w:fill="auto"/>
        </w:tcPr>
        <w:p w14:paraId="5A22E080" w14:textId="747C0FDD" w:rsidR="00B35CF3" w:rsidRPr="00695BAF" w:rsidRDefault="00B35CF3" w:rsidP="0035025C">
          <w:pPr>
            <w:pStyle w:val="FooterText"/>
            <w:jc w:val="right"/>
            <w:rPr>
              <w:caps/>
              <w:sz w:val="16"/>
            </w:rPr>
          </w:pPr>
          <w:r>
            <w:rPr>
              <w:b/>
              <w:caps/>
              <w:spacing w:val="-20"/>
              <w:position w:val="-4"/>
              <w:sz w:val="36"/>
            </w:rPr>
            <w:t>RO</w:t>
          </w:r>
        </w:p>
      </w:tc>
    </w:tr>
  </w:tbl>
  <w:p w14:paraId="5446DEB9" w14:textId="77777777" w:rsidR="00BF0F87" w:rsidRPr="00B35CF3" w:rsidRDefault="00BF0F87" w:rsidP="00B35CF3">
    <w:pPr>
      <w:pStyle w:val="FooterCouncil"/>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B35CF3" w:rsidRPr="0035025C" w14:paraId="71184902" w14:textId="77777777" w:rsidTr="00B35CF3">
      <w:trPr>
        <w:jc w:val="center"/>
      </w:trPr>
      <w:tc>
        <w:tcPr>
          <w:tcW w:w="5000" w:type="pct"/>
          <w:gridSpan w:val="7"/>
          <w:shd w:val="clear" w:color="auto" w:fill="auto"/>
          <w:tcMar>
            <w:top w:w="57" w:type="dxa"/>
          </w:tcMar>
        </w:tcPr>
        <w:p w14:paraId="2A71F6DD" w14:textId="77777777" w:rsidR="00B35CF3" w:rsidRPr="0035025C" w:rsidRDefault="00B35CF3" w:rsidP="0035025C">
          <w:pPr>
            <w:pStyle w:val="FooterText"/>
            <w:pBdr>
              <w:top w:val="single" w:sz="4" w:space="1" w:color="auto"/>
            </w:pBdr>
            <w:spacing w:before="200"/>
            <w:rPr>
              <w:sz w:val="2"/>
              <w:szCs w:val="2"/>
            </w:rPr>
          </w:pPr>
        </w:p>
      </w:tc>
    </w:tr>
    <w:tr w:rsidR="00B35CF3" w:rsidRPr="00B310DC" w14:paraId="1F47C435" w14:textId="77777777" w:rsidTr="00B35CF3">
      <w:trPr>
        <w:jc w:val="center"/>
      </w:trPr>
      <w:tc>
        <w:tcPr>
          <w:tcW w:w="2499" w:type="pct"/>
          <w:gridSpan w:val="2"/>
          <w:shd w:val="clear" w:color="auto" w:fill="auto"/>
          <w:tcMar>
            <w:top w:w="0" w:type="dxa"/>
          </w:tcMar>
        </w:tcPr>
        <w:p w14:paraId="4BB5D1EE" w14:textId="77777777" w:rsidR="00B35CF3" w:rsidRPr="00AD7BF2" w:rsidRDefault="00B35CF3" w:rsidP="0035025C">
          <w:pPr>
            <w:pStyle w:val="FooterText"/>
          </w:pPr>
          <w:r>
            <w:t>14144/1/25 REV 1</w:t>
          </w:r>
          <w:r w:rsidRPr="00C15257">
            <w:rPr>
              <w:sz w:val="16"/>
              <w:szCs w:val="16"/>
            </w:rPr>
            <w:t xml:space="preserve"> </w:t>
          </w:r>
        </w:p>
      </w:tc>
      <w:tc>
        <w:tcPr>
          <w:tcW w:w="625" w:type="pct"/>
          <w:shd w:val="clear" w:color="auto" w:fill="auto"/>
          <w:tcMar>
            <w:top w:w="0" w:type="dxa"/>
          </w:tcMar>
        </w:tcPr>
        <w:p w14:paraId="19436936" w14:textId="77777777" w:rsidR="00B35CF3" w:rsidRPr="00AD7BF2" w:rsidRDefault="00B35CF3" w:rsidP="0035025C">
          <w:pPr>
            <w:pStyle w:val="FooterText"/>
            <w:jc w:val="center"/>
          </w:pPr>
        </w:p>
      </w:tc>
      <w:tc>
        <w:tcPr>
          <w:tcW w:w="1287" w:type="pct"/>
          <w:gridSpan w:val="3"/>
          <w:shd w:val="clear" w:color="auto" w:fill="auto"/>
          <w:tcMar>
            <w:top w:w="0" w:type="dxa"/>
          </w:tcMar>
        </w:tcPr>
        <w:p w14:paraId="4A27F69D" w14:textId="77777777" w:rsidR="00B35CF3" w:rsidRPr="002511D8" w:rsidRDefault="00B35CF3" w:rsidP="0035025C">
          <w:pPr>
            <w:pStyle w:val="FooterText"/>
            <w:jc w:val="center"/>
          </w:pPr>
        </w:p>
      </w:tc>
      <w:tc>
        <w:tcPr>
          <w:tcW w:w="589" w:type="pct"/>
          <w:shd w:val="clear" w:color="auto" w:fill="auto"/>
          <w:tcMar>
            <w:top w:w="0" w:type="dxa"/>
          </w:tcMar>
        </w:tcPr>
        <w:p w14:paraId="7A2CAF23" w14:textId="77777777" w:rsidR="00B35CF3" w:rsidRPr="00B310DC" w:rsidRDefault="00B35CF3"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B35CF3" w:rsidRPr="0035025C" w14:paraId="28A20BB0" w14:textId="77777777" w:rsidTr="00B35CF3">
      <w:trPr>
        <w:jc w:val="center"/>
      </w:trPr>
      <w:tc>
        <w:tcPr>
          <w:tcW w:w="1774" w:type="pct"/>
          <w:shd w:val="clear" w:color="auto" w:fill="auto"/>
        </w:tcPr>
        <w:p w14:paraId="1F3EEDB6" w14:textId="77777777" w:rsidR="00B35CF3" w:rsidRPr="00AD7BF2" w:rsidRDefault="00B35CF3" w:rsidP="0035025C">
          <w:pPr>
            <w:pStyle w:val="FooterText"/>
            <w:spacing w:before="40"/>
          </w:pPr>
          <w:r>
            <w:t>ANEXA VI</w:t>
          </w:r>
        </w:p>
      </w:tc>
      <w:tc>
        <w:tcPr>
          <w:tcW w:w="1494" w:type="pct"/>
          <w:gridSpan w:val="3"/>
          <w:shd w:val="clear" w:color="auto" w:fill="auto"/>
        </w:tcPr>
        <w:p w14:paraId="4C322B65" w14:textId="77777777" w:rsidR="00B35CF3" w:rsidRPr="00AD7BF2" w:rsidRDefault="00B35CF3" w:rsidP="0035025C">
          <w:pPr>
            <w:pStyle w:val="FooterText"/>
            <w:spacing w:before="40"/>
            <w:jc w:val="center"/>
          </w:pPr>
        </w:p>
      </w:tc>
      <w:tc>
        <w:tcPr>
          <w:tcW w:w="703" w:type="pct"/>
          <w:shd w:val="clear" w:color="auto" w:fill="auto"/>
        </w:tcPr>
        <w:p w14:paraId="3BB79816" w14:textId="77777777" w:rsidR="00B35CF3" w:rsidRPr="0035025C" w:rsidRDefault="00B35CF3" w:rsidP="004B628B">
          <w:pPr>
            <w:pStyle w:val="FooterText"/>
            <w:jc w:val="center"/>
            <w:rPr>
              <w:b/>
              <w:position w:val="-4"/>
              <w:sz w:val="36"/>
            </w:rPr>
          </w:pPr>
        </w:p>
      </w:tc>
      <w:tc>
        <w:tcPr>
          <w:tcW w:w="1029" w:type="pct"/>
          <w:gridSpan w:val="2"/>
          <w:shd w:val="clear" w:color="auto" w:fill="auto"/>
        </w:tcPr>
        <w:p w14:paraId="0D524808" w14:textId="77777777" w:rsidR="00B35CF3" w:rsidRPr="00695BAF" w:rsidRDefault="00B35CF3" w:rsidP="0035025C">
          <w:pPr>
            <w:pStyle w:val="FooterText"/>
            <w:jc w:val="right"/>
            <w:rPr>
              <w:caps/>
              <w:sz w:val="16"/>
            </w:rPr>
          </w:pPr>
          <w:r>
            <w:rPr>
              <w:b/>
              <w:caps/>
              <w:spacing w:val="-20"/>
              <w:position w:val="-4"/>
              <w:sz w:val="36"/>
            </w:rPr>
            <w:t>RO</w:t>
          </w:r>
        </w:p>
      </w:tc>
    </w:tr>
  </w:tbl>
  <w:p w14:paraId="6BA71BED" w14:textId="77777777" w:rsidR="00B35CF3" w:rsidRPr="00B35CF3" w:rsidRDefault="00B35CF3" w:rsidP="00B35CF3">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B35CF3" w:rsidRPr="0035025C" w14:paraId="5638FEC6" w14:textId="77777777" w:rsidTr="00B35CF3">
      <w:trPr>
        <w:jc w:val="center"/>
      </w:trPr>
      <w:tc>
        <w:tcPr>
          <w:tcW w:w="5000" w:type="pct"/>
          <w:gridSpan w:val="7"/>
          <w:shd w:val="clear" w:color="auto" w:fill="auto"/>
          <w:tcMar>
            <w:top w:w="57" w:type="dxa"/>
          </w:tcMar>
        </w:tcPr>
        <w:p w14:paraId="169B131D" w14:textId="77777777" w:rsidR="00B35CF3" w:rsidRPr="0035025C" w:rsidRDefault="00B35CF3" w:rsidP="0035025C">
          <w:pPr>
            <w:pStyle w:val="FooterText"/>
            <w:pBdr>
              <w:top w:val="single" w:sz="4" w:space="1" w:color="auto"/>
            </w:pBdr>
            <w:spacing w:before="200"/>
            <w:rPr>
              <w:sz w:val="2"/>
              <w:szCs w:val="2"/>
            </w:rPr>
          </w:pPr>
        </w:p>
      </w:tc>
    </w:tr>
    <w:tr w:rsidR="00B35CF3" w:rsidRPr="00B310DC" w14:paraId="584C2B18" w14:textId="77777777" w:rsidTr="00B35CF3">
      <w:trPr>
        <w:jc w:val="center"/>
      </w:trPr>
      <w:tc>
        <w:tcPr>
          <w:tcW w:w="2499" w:type="pct"/>
          <w:gridSpan w:val="2"/>
          <w:shd w:val="clear" w:color="auto" w:fill="auto"/>
          <w:tcMar>
            <w:top w:w="0" w:type="dxa"/>
          </w:tcMar>
        </w:tcPr>
        <w:p w14:paraId="6392D775" w14:textId="77777777" w:rsidR="00B35CF3" w:rsidRPr="00AD7BF2" w:rsidRDefault="00B35CF3" w:rsidP="0035025C">
          <w:pPr>
            <w:pStyle w:val="FooterText"/>
          </w:pPr>
          <w:r>
            <w:t>14144/1/25 REV 1</w:t>
          </w:r>
          <w:r w:rsidRPr="00C15257">
            <w:rPr>
              <w:sz w:val="16"/>
              <w:szCs w:val="16"/>
            </w:rPr>
            <w:t xml:space="preserve"> </w:t>
          </w:r>
        </w:p>
      </w:tc>
      <w:tc>
        <w:tcPr>
          <w:tcW w:w="625" w:type="pct"/>
          <w:shd w:val="clear" w:color="auto" w:fill="auto"/>
          <w:tcMar>
            <w:top w:w="0" w:type="dxa"/>
          </w:tcMar>
        </w:tcPr>
        <w:p w14:paraId="13608211" w14:textId="77777777" w:rsidR="00B35CF3" w:rsidRPr="00AD7BF2" w:rsidRDefault="00B35CF3" w:rsidP="0035025C">
          <w:pPr>
            <w:pStyle w:val="FooterText"/>
            <w:jc w:val="center"/>
          </w:pPr>
        </w:p>
      </w:tc>
      <w:tc>
        <w:tcPr>
          <w:tcW w:w="1287" w:type="pct"/>
          <w:gridSpan w:val="3"/>
          <w:shd w:val="clear" w:color="auto" w:fill="auto"/>
          <w:tcMar>
            <w:top w:w="0" w:type="dxa"/>
          </w:tcMar>
        </w:tcPr>
        <w:p w14:paraId="786A827D" w14:textId="77777777" w:rsidR="00B35CF3" w:rsidRPr="002511D8" w:rsidRDefault="00B35CF3" w:rsidP="0035025C">
          <w:pPr>
            <w:pStyle w:val="FooterText"/>
            <w:jc w:val="center"/>
          </w:pPr>
        </w:p>
      </w:tc>
      <w:tc>
        <w:tcPr>
          <w:tcW w:w="589" w:type="pct"/>
          <w:shd w:val="clear" w:color="auto" w:fill="auto"/>
          <w:tcMar>
            <w:top w:w="0" w:type="dxa"/>
          </w:tcMar>
        </w:tcPr>
        <w:p w14:paraId="291CFE15" w14:textId="77777777" w:rsidR="00B35CF3" w:rsidRPr="00B310DC" w:rsidRDefault="00B35CF3"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B35CF3" w:rsidRPr="0035025C" w14:paraId="3036CFEC" w14:textId="77777777" w:rsidTr="00B35CF3">
      <w:trPr>
        <w:jc w:val="center"/>
      </w:trPr>
      <w:tc>
        <w:tcPr>
          <w:tcW w:w="1774" w:type="pct"/>
          <w:shd w:val="clear" w:color="auto" w:fill="auto"/>
        </w:tcPr>
        <w:p w14:paraId="7D1E0BC9" w14:textId="77777777" w:rsidR="00B35CF3" w:rsidRPr="00AD7BF2" w:rsidRDefault="00B35CF3" w:rsidP="0035025C">
          <w:pPr>
            <w:pStyle w:val="FooterText"/>
            <w:spacing w:before="40"/>
          </w:pPr>
          <w:r>
            <w:t>ANEXA VI</w:t>
          </w:r>
        </w:p>
      </w:tc>
      <w:tc>
        <w:tcPr>
          <w:tcW w:w="1494" w:type="pct"/>
          <w:gridSpan w:val="3"/>
          <w:shd w:val="clear" w:color="auto" w:fill="auto"/>
        </w:tcPr>
        <w:p w14:paraId="04B71695" w14:textId="77777777" w:rsidR="00B35CF3" w:rsidRPr="00AD7BF2" w:rsidRDefault="00B35CF3" w:rsidP="0035025C">
          <w:pPr>
            <w:pStyle w:val="FooterText"/>
            <w:spacing w:before="40"/>
            <w:jc w:val="center"/>
          </w:pPr>
        </w:p>
      </w:tc>
      <w:tc>
        <w:tcPr>
          <w:tcW w:w="703" w:type="pct"/>
          <w:shd w:val="clear" w:color="auto" w:fill="auto"/>
        </w:tcPr>
        <w:p w14:paraId="7EEA0FA4" w14:textId="77777777" w:rsidR="00B35CF3" w:rsidRPr="0035025C" w:rsidRDefault="00B35CF3" w:rsidP="004B628B">
          <w:pPr>
            <w:pStyle w:val="FooterText"/>
            <w:jc w:val="center"/>
            <w:rPr>
              <w:b/>
              <w:position w:val="-4"/>
              <w:sz w:val="36"/>
            </w:rPr>
          </w:pPr>
        </w:p>
      </w:tc>
      <w:tc>
        <w:tcPr>
          <w:tcW w:w="1029" w:type="pct"/>
          <w:gridSpan w:val="2"/>
          <w:shd w:val="clear" w:color="auto" w:fill="auto"/>
        </w:tcPr>
        <w:p w14:paraId="74670BA6" w14:textId="77777777" w:rsidR="00B35CF3" w:rsidRPr="00695BAF" w:rsidRDefault="00B35CF3" w:rsidP="0035025C">
          <w:pPr>
            <w:pStyle w:val="FooterText"/>
            <w:jc w:val="right"/>
            <w:rPr>
              <w:caps/>
              <w:sz w:val="16"/>
            </w:rPr>
          </w:pPr>
          <w:r>
            <w:rPr>
              <w:b/>
              <w:caps/>
              <w:spacing w:val="-20"/>
              <w:position w:val="-4"/>
              <w:sz w:val="36"/>
            </w:rPr>
            <w:t>RO</w:t>
          </w:r>
        </w:p>
      </w:tc>
    </w:tr>
  </w:tbl>
  <w:p w14:paraId="41D36AE0" w14:textId="77777777" w:rsidR="00B35CF3" w:rsidRPr="00B35CF3" w:rsidRDefault="00B35CF3" w:rsidP="00B35CF3">
    <w:pPr>
      <w:pStyle w:val="FooterCouncil"/>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B35CF3" w:rsidRPr="0035025C" w14:paraId="1710AC68" w14:textId="77777777" w:rsidTr="00B35CF3">
      <w:trPr>
        <w:jc w:val="center"/>
      </w:trPr>
      <w:tc>
        <w:tcPr>
          <w:tcW w:w="5000" w:type="pct"/>
          <w:gridSpan w:val="7"/>
          <w:shd w:val="clear" w:color="auto" w:fill="auto"/>
          <w:tcMar>
            <w:top w:w="57" w:type="dxa"/>
          </w:tcMar>
        </w:tcPr>
        <w:p w14:paraId="68336759" w14:textId="77777777" w:rsidR="00B35CF3" w:rsidRPr="0035025C" w:rsidRDefault="00B35CF3" w:rsidP="0035025C">
          <w:pPr>
            <w:pStyle w:val="FooterText"/>
            <w:pBdr>
              <w:top w:val="single" w:sz="4" w:space="1" w:color="auto"/>
            </w:pBdr>
            <w:spacing w:before="200"/>
            <w:rPr>
              <w:sz w:val="2"/>
              <w:szCs w:val="2"/>
            </w:rPr>
          </w:pPr>
        </w:p>
      </w:tc>
    </w:tr>
    <w:tr w:rsidR="00B35CF3" w:rsidRPr="00B310DC" w14:paraId="07BE731D" w14:textId="77777777" w:rsidTr="00B35CF3">
      <w:trPr>
        <w:jc w:val="center"/>
      </w:trPr>
      <w:tc>
        <w:tcPr>
          <w:tcW w:w="2499" w:type="pct"/>
          <w:gridSpan w:val="2"/>
          <w:shd w:val="clear" w:color="auto" w:fill="auto"/>
          <w:tcMar>
            <w:top w:w="0" w:type="dxa"/>
          </w:tcMar>
        </w:tcPr>
        <w:p w14:paraId="75B2DAE9" w14:textId="436FF221" w:rsidR="00B35CF3" w:rsidRPr="00AD7BF2" w:rsidRDefault="00B35CF3" w:rsidP="0035025C">
          <w:pPr>
            <w:pStyle w:val="FooterText"/>
          </w:pPr>
          <w:r>
            <w:t>14144/1/25 REV 1</w:t>
          </w:r>
          <w:r w:rsidRPr="00C15257">
            <w:rPr>
              <w:sz w:val="16"/>
              <w:szCs w:val="16"/>
            </w:rPr>
            <w:t xml:space="preserve"> </w:t>
          </w:r>
        </w:p>
      </w:tc>
      <w:tc>
        <w:tcPr>
          <w:tcW w:w="625" w:type="pct"/>
          <w:shd w:val="clear" w:color="auto" w:fill="auto"/>
          <w:tcMar>
            <w:top w:w="0" w:type="dxa"/>
          </w:tcMar>
        </w:tcPr>
        <w:p w14:paraId="69850145" w14:textId="77777777" w:rsidR="00B35CF3" w:rsidRPr="00AD7BF2" w:rsidRDefault="00B35CF3" w:rsidP="0035025C">
          <w:pPr>
            <w:pStyle w:val="FooterText"/>
            <w:jc w:val="center"/>
          </w:pPr>
        </w:p>
      </w:tc>
      <w:tc>
        <w:tcPr>
          <w:tcW w:w="1287" w:type="pct"/>
          <w:gridSpan w:val="3"/>
          <w:shd w:val="clear" w:color="auto" w:fill="auto"/>
          <w:tcMar>
            <w:top w:w="0" w:type="dxa"/>
          </w:tcMar>
        </w:tcPr>
        <w:p w14:paraId="2E8EB22C" w14:textId="77777777" w:rsidR="00B35CF3" w:rsidRPr="002511D8" w:rsidRDefault="00B35CF3" w:rsidP="0035025C">
          <w:pPr>
            <w:pStyle w:val="FooterText"/>
            <w:jc w:val="center"/>
          </w:pPr>
        </w:p>
      </w:tc>
      <w:tc>
        <w:tcPr>
          <w:tcW w:w="589" w:type="pct"/>
          <w:shd w:val="clear" w:color="auto" w:fill="auto"/>
          <w:tcMar>
            <w:top w:w="0" w:type="dxa"/>
          </w:tcMar>
        </w:tcPr>
        <w:p w14:paraId="3356105C" w14:textId="4EF7EFC0" w:rsidR="00B35CF3" w:rsidRPr="00B310DC" w:rsidRDefault="00B35CF3" w:rsidP="0035025C">
          <w:pPr>
            <w:pStyle w:val="FooterText"/>
            <w:jc w:val="right"/>
          </w:pPr>
          <w:r>
            <w:fldChar w:fldCharType="begin"/>
          </w:r>
          <w:r>
            <w:instrText xml:space="preserve"> PAGE  \* MERGEFORMAT </w:instrText>
          </w:r>
          <w:r>
            <w:fldChar w:fldCharType="separate"/>
          </w:r>
          <w:r>
            <w:rPr>
              <w:noProof/>
            </w:rPr>
            <w:t>2</w:t>
          </w:r>
          <w:r>
            <w:fldChar w:fldCharType="end"/>
          </w:r>
        </w:p>
      </w:tc>
    </w:tr>
    <w:tr w:rsidR="00B35CF3" w:rsidRPr="0035025C" w14:paraId="2F1517F6" w14:textId="77777777" w:rsidTr="00B35CF3">
      <w:trPr>
        <w:jc w:val="center"/>
      </w:trPr>
      <w:tc>
        <w:tcPr>
          <w:tcW w:w="1774" w:type="pct"/>
          <w:shd w:val="clear" w:color="auto" w:fill="auto"/>
        </w:tcPr>
        <w:p w14:paraId="3052E346" w14:textId="38A00CDA" w:rsidR="00B35CF3" w:rsidRPr="00AD7BF2" w:rsidRDefault="00B35CF3" w:rsidP="0035025C">
          <w:pPr>
            <w:pStyle w:val="FooterText"/>
            <w:spacing w:before="40"/>
          </w:pPr>
          <w:r>
            <w:t>ANEXA VII</w:t>
          </w:r>
        </w:p>
      </w:tc>
      <w:tc>
        <w:tcPr>
          <w:tcW w:w="1494" w:type="pct"/>
          <w:gridSpan w:val="3"/>
          <w:shd w:val="clear" w:color="auto" w:fill="auto"/>
        </w:tcPr>
        <w:p w14:paraId="76E5AFB2" w14:textId="6C462F3F" w:rsidR="00B35CF3" w:rsidRPr="00AD7BF2" w:rsidRDefault="00B35CF3" w:rsidP="0035025C">
          <w:pPr>
            <w:pStyle w:val="FooterText"/>
            <w:spacing w:before="40"/>
            <w:jc w:val="center"/>
          </w:pPr>
        </w:p>
      </w:tc>
      <w:tc>
        <w:tcPr>
          <w:tcW w:w="703" w:type="pct"/>
          <w:shd w:val="clear" w:color="auto" w:fill="auto"/>
        </w:tcPr>
        <w:p w14:paraId="64923380" w14:textId="55B61BE7" w:rsidR="00B35CF3" w:rsidRPr="0035025C" w:rsidRDefault="00B35CF3" w:rsidP="004B628B">
          <w:pPr>
            <w:pStyle w:val="FooterText"/>
            <w:jc w:val="center"/>
            <w:rPr>
              <w:b/>
              <w:position w:val="-4"/>
              <w:sz w:val="36"/>
            </w:rPr>
          </w:pPr>
        </w:p>
      </w:tc>
      <w:tc>
        <w:tcPr>
          <w:tcW w:w="1029" w:type="pct"/>
          <w:gridSpan w:val="2"/>
          <w:shd w:val="clear" w:color="auto" w:fill="auto"/>
        </w:tcPr>
        <w:p w14:paraId="57CEAECF" w14:textId="11F56402" w:rsidR="00B35CF3" w:rsidRPr="00695BAF" w:rsidRDefault="00B35CF3" w:rsidP="0035025C">
          <w:pPr>
            <w:pStyle w:val="FooterText"/>
            <w:jc w:val="right"/>
            <w:rPr>
              <w:caps/>
              <w:sz w:val="16"/>
            </w:rPr>
          </w:pPr>
          <w:r>
            <w:rPr>
              <w:b/>
              <w:caps/>
              <w:spacing w:val="-20"/>
              <w:position w:val="-4"/>
              <w:sz w:val="36"/>
            </w:rPr>
            <w:t>RO</w:t>
          </w:r>
        </w:p>
      </w:tc>
    </w:tr>
  </w:tbl>
  <w:p w14:paraId="272E0230" w14:textId="235D8F4F" w:rsidR="00647D0C" w:rsidRPr="00B35CF3" w:rsidRDefault="00647D0C" w:rsidP="00B35CF3">
    <w:pPr>
      <w:pStyle w:val="FooterCouncil"/>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B35CF3" w:rsidRPr="0035025C" w14:paraId="38DE0794" w14:textId="77777777" w:rsidTr="00B35CF3">
      <w:trPr>
        <w:jc w:val="center"/>
      </w:trPr>
      <w:tc>
        <w:tcPr>
          <w:tcW w:w="5000" w:type="pct"/>
          <w:gridSpan w:val="7"/>
          <w:shd w:val="clear" w:color="auto" w:fill="auto"/>
          <w:tcMar>
            <w:top w:w="57" w:type="dxa"/>
          </w:tcMar>
        </w:tcPr>
        <w:p w14:paraId="5DEF1AA5" w14:textId="77777777" w:rsidR="00B35CF3" w:rsidRPr="0035025C" w:rsidRDefault="00B35CF3" w:rsidP="0035025C">
          <w:pPr>
            <w:pStyle w:val="FooterText"/>
            <w:pBdr>
              <w:top w:val="single" w:sz="4" w:space="1" w:color="auto"/>
            </w:pBdr>
            <w:spacing w:before="200"/>
            <w:rPr>
              <w:sz w:val="2"/>
              <w:szCs w:val="2"/>
            </w:rPr>
          </w:pPr>
        </w:p>
      </w:tc>
    </w:tr>
    <w:tr w:rsidR="00B35CF3" w:rsidRPr="00B310DC" w14:paraId="0EAC74EB" w14:textId="77777777" w:rsidTr="00B35CF3">
      <w:trPr>
        <w:jc w:val="center"/>
      </w:trPr>
      <w:tc>
        <w:tcPr>
          <w:tcW w:w="2499" w:type="pct"/>
          <w:gridSpan w:val="2"/>
          <w:shd w:val="clear" w:color="auto" w:fill="auto"/>
          <w:tcMar>
            <w:top w:w="0" w:type="dxa"/>
          </w:tcMar>
        </w:tcPr>
        <w:p w14:paraId="38D5983A" w14:textId="77777777" w:rsidR="00B35CF3" w:rsidRPr="00AD7BF2" w:rsidRDefault="00B35CF3" w:rsidP="0035025C">
          <w:pPr>
            <w:pStyle w:val="FooterText"/>
          </w:pPr>
          <w:r>
            <w:t>14144/1/25 REV 1</w:t>
          </w:r>
          <w:r w:rsidRPr="00C15257">
            <w:rPr>
              <w:sz w:val="16"/>
              <w:szCs w:val="16"/>
            </w:rPr>
            <w:t xml:space="preserve"> </w:t>
          </w:r>
        </w:p>
      </w:tc>
      <w:tc>
        <w:tcPr>
          <w:tcW w:w="625" w:type="pct"/>
          <w:shd w:val="clear" w:color="auto" w:fill="auto"/>
          <w:tcMar>
            <w:top w:w="0" w:type="dxa"/>
          </w:tcMar>
        </w:tcPr>
        <w:p w14:paraId="753DAC47" w14:textId="77777777" w:rsidR="00B35CF3" w:rsidRPr="00AD7BF2" w:rsidRDefault="00B35CF3" w:rsidP="0035025C">
          <w:pPr>
            <w:pStyle w:val="FooterText"/>
            <w:jc w:val="center"/>
          </w:pPr>
        </w:p>
      </w:tc>
      <w:tc>
        <w:tcPr>
          <w:tcW w:w="1287" w:type="pct"/>
          <w:gridSpan w:val="3"/>
          <w:shd w:val="clear" w:color="auto" w:fill="auto"/>
          <w:tcMar>
            <w:top w:w="0" w:type="dxa"/>
          </w:tcMar>
        </w:tcPr>
        <w:p w14:paraId="5A071D5F" w14:textId="77777777" w:rsidR="00B35CF3" w:rsidRPr="002511D8" w:rsidRDefault="00B35CF3" w:rsidP="0035025C">
          <w:pPr>
            <w:pStyle w:val="FooterText"/>
            <w:jc w:val="center"/>
          </w:pPr>
        </w:p>
      </w:tc>
      <w:tc>
        <w:tcPr>
          <w:tcW w:w="589" w:type="pct"/>
          <w:shd w:val="clear" w:color="auto" w:fill="auto"/>
          <w:tcMar>
            <w:top w:w="0" w:type="dxa"/>
          </w:tcMar>
        </w:tcPr>
        <w:p w14:paraId="5DFEAFD5" w14:textId="77777777" w:rsidR="00B35CF3" w:rsidRPr="00B310DC" w:rsidRDefault="00B35CF3" w:rsidP="0035025C">
          <w:pPr>
            <w:pStyle w:val="FooterText"/>
            <w:jc w:val="right"/>
          </w:pPr>
          <w:r>
            <w:fldChar w:fldCharType="begin"/>
          </w:r>
          <w:r>
            <w:instrText xml:space="preserve"> PAGE  \* MERGEFORMAT </w:instrText>
          </w:r>
          <w:r>
            <w:fldChar w:fldCharType="separate"/>
          </w:r>
          <w:r>
            <w:rPr>
              <w:noProof/>
            </w:rPr>
            <w:t>2</w:t>
          </w:r>
          <w:r>
            <w:fldChar w:fldCharType="end"/>
          </w:r>
        </w:p>
      </w:tc>
    </w:tr>
    <w:tr w:rsidR="00B35CF3" w:rsidRPr="0035025C" w14:paraId="02C3B9E4" w14:textId="77777777" w:rsidTr="00B35CF3">
      <w:trPr>
        <w:jc w:val="center"/>
      </w:trPr>
      <w:tc>
        <w:tcPr>
          <w:tcW w:w="1774" w:type="pct"/>
          <w:shd w:val="clear" w:color="auto" w:fill="auto"/>
        </w:tcPr>
        <w:p w14:paraId="090E1C7D" w14:textId="77777777" w:rsidR="00B35CF3" w:rsidRPr="00AD7BF2" w:rsidRDefault="00B35CF3" w:rsidP="0035025C">
          <w:pPr>
            <w:pStyle w:val="FooterText"/>
            <w:spacing w:before="40"/>
          </w:pPr>
          <w:r>
            <w:t>ANEXA VII</w:t>
          </w:r>
        </w:p>
      </w:tc>
      <w:tc>
        <w:tcPr>
          <w:tcW w:w="1494" w:type="pct"/>
          <w:gridSpan w:val="3"/>
          <w:shd w:val="clear" w:color="auto" w:fill="auto"/>
        </w:tcPr>
        <w:p w14:paraId="7D6794F7" w14:textId="77777777" w:rsidR="00B35CF3" w:rsidRPr="00AD7BF2" w:rsidRDefault="00B35CF3" w:rsidP="0035025C">
          <w:pPr>
            <w:pStyle w:val="FooterText"/>
            <w:spacing w:before="40"/>
            <w:jc w:val="center"/>
          </w:pPr>
        </w:p>
      </w:tc>
      <w:tc>
        <w:tcPr>
          <w:tcW w:w="703" w:type="pct"/>
          <w:shd w:val="clear" w:color="auto" w:fill="auto"/>
        </w:tcPr>
        <w:p w14:paraId="09CAB25B" w14:textId="77777777" w:rsidR="00B35CF3" w:rsidRPr="0035025C" w:rsidRDefault="00B35CF3" w:rsidP="004B628B">
          <w:pPr>
            <w:pStyle w:val="FooterText"/>
            <w:jc w:val="center"/>
            <w:rPr>
              <w:b/>
              <w:position w:val="-4"/>
              <w:sz w:val="36"/>
            </w:rPr>
          </w:pPr>
        </w:p>
      </w:tc>
      <w:tc>
        <w:tcPr>
          <w:tcW w:w="1029" w:type="pct"/>
          <w:gridSpan w:val="2"/>
          <w:shd w:val="clear" w:color="auto" w:fill="auto"/>
        </w:tcPr>
        <w:p w14:paraId="402912D1" w14:textId="77777777" w:rsidR="00B35CF3" w:rsidRPr="00695BAF" w:rsidRDefault="00B35CF3" w:rsidP="0035025C">
          <w:pPr>
            <w:pStyle w:val="FooterText"/>
            <w:jc w:val="right"/>
            <w:rPr>
              <w:caps/>
              <w:sz w:val="16"/>
            </w:rPr>
          </w:pPr>
          <w:r>
            <w:rPr>
              <w:b/>
              <w:caps/>
              <w:spacing w:val="-20"/>
              <w:position w:val="-4"/>
              <w:sz w:val="36"/>
            </w:rPr>
            <w:t>RO</w:t>
          </w:r>
        </w:p>
      </w:tc>
    </w:tr>
  </w:tbl>
  <w:p w14:paraId="29BF0AC4" w14:textId="77777777" w:rsidR="00B35CF3" w:rsidRPr="00B35CF3" w:rsidRDefault="00B35CF3" w:rsidP="00B35CF3">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B35CF3" w:rsidRPr="0035025C" w14:paraId="3B1264FE" w14:textId="77777777" w:rsidTr="00B35CF3">
      <w:trPr>
        <w:jc w:val="center"/>
      </w:trPr>
      <w:tc>
        <w:tcPr>
          <w:tcW w:w="5000" w:type="pct"/>
          <w:gridSpan w:val="7"/>
          <w:shd w:val="clear" w:color="auto" w:fill="auto"/>
          <w:tcMar>
            <w:top w:w="57" w:type="dxa"/>
          </w:tcMar>
        </w:tcPr>
        <w:p w14:paraId="2A05C990" w14:textId="77777777" w:rsidR="00B35CF3" w:rsidRPr="0035025C" w:rsidRDefault="00B35CF3" w:rsidP="0035025C">
          <w:pPr>
            <w:pStyle w:val="FooterText"/>
            <w:pBdr>
              <w:top w:val="single" w:sz="4" w:space="1" w:color="auto"/>
            </w:pBdr>
            <w:spacing w:before="200"/>
            <w:rPr>
              <w:sz w:val="2"/>
              <w:szCs w:val="2"/>
            </w:rPr>
          </w:pPr>
        </w:p>
      </w:tc>
    </w:tr>
    <w:tr w:rsidR="00B35CF3" w:rsidRPr="00B310DC" w14:paraId="5203CECB" w14:textId="77777777" w:rsidTr="00B35CF3">
      <w:trPr>
        <w:jc w:val="center"/>
      </w:trPr>
      <w:tc>
        <w:tcPr>
          <w:tcW w:w="2499" w:type="pct"/>
          <w:gridSpan w:val="2"/>
          <w:shd w:val="clear" w:color="auto" w:fill="auto"/>
          <w:tcMar>
            <w:top w:w="0" w:type="dxa"/>
          </w:tcMar>
        </w:tcPr>
        <w:p w14:paraId="4BB92948" w14:textId="36F38F1F" w:rsidR="00B35CF3" w:rsidRPr="00AD7BF2" w:rsidRDefault="00B35CF3" w:rsidP="0035025C">
          <w:pPr>
            <w:pStyle w:val="FooterText"/>
          </w:pPr>
          <w:r>
            <w:t>14144/1/25 REV 1</w:t>
          </w:r>
          <w:r w:rsidRPr="00C15257">
            <w:rPr>
              <w:sz w:val="16"/>
              <w:szCs w:val="16"/>
            </w:rPr>
            <w:t xml:space="preserve"> </w:t>
          </w:r>
        </w:p>
      </w:tc>
      <w:tc>
        <w:tcPr>
          <w:tcW w:w="625" w:type="pct"/>
          <w:shd w:val="clear" w:color="auto" w:fill="auto"/>
          <w:tcMar>
            <w:top w:w="0" w:type="dxa"/>
          </w:tcMar>
        </w:tcPr>
        <w:p w14:paraId="1971942A" w14:textId="77777777" w:rsidR="00B35CF3" w:rsidRPr="00AD7BF2" w:rsidRDefault="00B35CF3" w:rsidP="0035025C">
          <w:pPr>
            <w:pStyle w:val="FooterText"/>
            <w:jc w:val="center"/>
          </w:pPr>
        </w:p>
      </w:tc>
      <w:tc>
        <w:tcPr>
          <w:tcW w:w="1287" w:type="pct"/>
          <w:gridSpan w:val="3"/>
          <w:shd w:val="clear" w:color="auto" w:fill="auto"/>
          <w:tcMar>
            <w:top w:w="0" w:type="dxa"/>
          </w:tcMar>
        </w:tcPr>
        <w:p w14:paraId="354DBD0A" w14:textId="77777777" w:rsidR="00B35CF3" w:rsidRPr="002511D8" w:rsidRDefault="00B35CF3" w:rsidP="0035025C">
          <w:pPr>
            <w:pStyle w:val="FooterText"/>
            <w:jc w:val="center"/>
          </w:pPr>
        </w:p>
      </w:tc>
      <w:tc>
        <w:tcPr>
          <w:tcW w:w="589" w:type="pct"/>
          <w:shd w:val="clear" w:color="auto" w:fill="auto"/>
          <w:tcMar>
            <w:top w:w="0" w:type="dxa"/>
          </w:tcMar>
        </w:tcPr>
        <w:p w14:paraId="025A01CD" w14:textId="01823254" w:rsidR="00B35CF3" w:rsidRPr="00B310DC" w:rsidRDefault="00B35CF3"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B35CF3" w:rsidRPr="0035025C" w14:paraId="3AD2D6DA" w14:textId="77777777" w:rsidTr="00B35CF3">
      <w:trPr>
        <w:jc w:val="center"/>
      </w:trPr>
      <w:tc>
        <w:tcPr>
          <w:tcW w:w="1774" w:type="pct"/>
          <w:shd w:val="clear" w:color="auto" w:fill="auto"/>
        </w:tcPr>
        <w:p w14:paraId="772119DC" w14:textId="4B25FAA4" w:rsidR="00B35CF3" w:rsidRPr="00AD7BF2" w:rsidRDefault="00B35CF3" w:rsidP="0035025C">
          <w:pPr>
            <w:pStyle w:val="FooterText"/>
            <w:spacing w:before="40"/>
          </w:pPr>
          <w:r>
            <w:t>ANEXA VIII</w:t>
          </w:r>
        </w:p>
      </w:tc>
      <w:tc>
        <w:tcPr>
          <w:tcW w:w="1494" w:type="pct"/>
          <w:gridSpan w:val="3"/>
          <w:shd w:val="clear" w:color="auto" w:fill="auto"/>
        </w:tcPr>
        <w:p w14:paraId="4BEA1524" w14:textId="03810075" w:rsidR="00B35CF3" w:rsidRPr="00AD7BF2" w:rsidRDefault="00B35CF3" w:rsidP="0035025C">
          <w:pPr>
            <w:pStyle w:val="FooterText"/>
            <w:spacing w:before="40"/>
            <w:jc w:val="center"/>
          </w:pPr>
        </w:p>
      </w:tc>
      <w:tc>
        <w:tcPr>
          <w:tcW w:w="703" w:type="pct"/>
          <w:shd w:val="clear" w:color="auto" w:fill="auto"/>
        </w:tcPr>
        <w:p w14:paraId="6E39E89B" w14:textId="5E3B2B53" w:rsidR="00B35CF3" w:rsidRPr="0035025C" w:rsidRDefault="00B35CF3" w:rsidP="004B628B">
          <w:pPr>
            <w:pStyle w:val="FooterText"/>
            <w:jc w:val="center"/>
            <w:rPr>
              <w:b/>
              <w:position w:val="-4"/>
              <w:sz w:val="36"/>
            </w:rPr>
          </w:pPr>
        </w:p>
      </w:tc>
      <w:tc>
        <w:tcPr>
          <w:tcW w:w="1029" w:type="pct"/>
          <w:gridSpan w:val="2"/>
          <w:shd w:val="clear" w:color="auto" w:fill="auto"/>
        </w:tcPr>
        <w:p w14:paraId="3E9D7D0B" w14:textId="1BBA8E35" w:rsidR="00B35CF3" w:rsidRPr="00695BAF" w:rsidRDefault="00B35CF3" w:rsidP="0035025C">
          <w:pPr>
            <w:pStyle w:val="FooterText"/>
            <w:jc w:val="right"/>
            <w:rPr>
              <w:caps/>
              <w:sz w:val="16"/>
            </w:rPr>
          </w:pPr>
          <w:r>
            <w:rPr>
              <w:b/>
              <w:caps/>
              <w:spacing w:val="-20"/>
              <w:position w:val="-4"/>
              <w:sz w:val="36"/>
            </w:rPr>
            <w:t>RO</w:t>
          </w:r>
        </w:p>
      </w:tc>
    </w:tr>
  </w:tbl>
  <w:p w14:paraId="1A38676B" w14:textId="77777777" w:rsidR="00BF0F87" w:rsidRPr="00B35CF3" w:rsidRDefault="00BF0F87" w:rsidP="00B35CF3">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9929B" w14:textId="77777777" w:rsidR="001D2FF1" w:rsidRPr="00245855" w:rsidRDefault="001D2FF1" w:rsidP="00245855">
      <w:pPr>
        <w:spacing w:before="0" w:after="0"/>
      </w:pPr>
      <w:r w:rsidRPr="00245855">
        <w:separator/>
      </w:r>
    </w:p>
  </w:footnote>
  <w:footnote w:type="continuationSeparator" w:id="0">
    <w:p w14:paraId="53021B99" w14:textId="77777777" w:rsidR="001D2FF1" w:rsidRDefault="001D2FF1" w:rsidP="00245855">
      <w:pPr>
        <w:spacing w:before="0" w:after="0" w:line="240" w:lineRule="auto"/>
      </w:pPr>
      <w:r>
        <w:continuationSeparator/>
      </w:r>
    </w:p>
  </w:footnote>
  <w:footnote w:id="1">
    <w:p w14:paraId="5163553F" w14:textId="395BA0B0" w:rsidR="00647D0C" w:rsidRPr="00E565E0" w:rsidRDefault="00647D0C" w:rsidP="00275CA3">
      <w:pPr>
        <w:pStyle w:val="FootnoteText"/>
      </w:pPr>
      <w:r w:rsidRPr="00275CA3">
        <w:rPr>
          <w:rStyle w:val="FootnoteReference"/>
        </w:rPr>
        <w:footnoteRef/>
      </w:r>
      <w:r w:rsidR="00275CA3" w:rsidRPr="00275CA3">
        <w:tab/>
        <w:t>Avizul din 22 februarie 2023 (JO C 146, 27.4.2023, p. 41).</w:t>
      </w:r>
    </w:p>
  </w:footnote>
  <w:footnote w:id="2">
    <w:p w14:paraId="6B101851" w14:textId="1A3E7350" w:rsidR="00647D0C" w:rsidRPr="00E565E0" w:rsidRDefault="00647D0C" w:rsidP="00275CA3">
      <w:pPr>
        <w:pStyle w:val="FootnoteText"/>
      </w:pPr>
      <w:r w:rsidRPr="00275CA3">
        <w:rPr>
          <w:rStyle w:val="FootnoteReference"/>
        </w:rPr>
        <w:footnoteRef/>
      </w:r>
      <w:r w:rsidR="00275CA3" w:rsidRPr="00275CA3">
        <w:tab/>
        <w:t>Poziția Parlamentului European din 24 aprilie 2024 [(JO …)/(nepublicată încă în Jurnalul Oficial)] și poziția în primă lectură a Consiliului din</w:t>
      </w:r>
      <w:r w:rsidR="00F470FA">
        <w:t> 17 februarie 2026</w:t>
      </w:r>
      <w:r w:rsidR="00275CA3" w:rsidRPr="00275CA3">
        <w:t xml:space="preserve"> [JO …)/(nepublicată încă în Jurnalul Oficial)]. Poziția Parlamentului European din … [(JO …)/(nepublicată încă în Jurnalul Oficial)] și Decizia Consiliului din ….</w:t>
      </w:r>
    </w:p>
  </w:footnote>
  <w:footnote w:id="3">
    <w:p w14:paraId="6381B9C2" w14:textId="0AA3B523" w:rsidR="00647D0C" w:rsidRPr="00E565E0" w:rsidRDefault="00647D0C" w:rsidP="00275CA3">
      <w:pPr>
        <w:pStyle w:val="FootnoteText"/>
      </w:pPr>
      <w:r w:rsidRPr="00275CA3">
        <w:rPr>
          <w:rStyle w:val="FootnoteReference"/>
        </w:rPr>
        <w:footnoteRef/>
      </w:r>
      <w:r w:rsidR="00275CA3" w:rsidRPr="00275CA3">
        <w:tab/>
        <w:t>Directiva 2000/60/CE a Parlamentului European și a Consiliului din 23 octombrie 2000 de stabilire a unui cadru de politică comunitară în domeniul apei (JO L 327, 22.12.2000, p. 1, ELI: </w:t>
      </w:r>
      <w:hyperlink r:id="rId1" w:history="1">
        <w:r w:rsidR="00275CA3" w:rsidRPr="00275CA3">
          <w:rPr>
            <w:rStyle w:val="Hyperlink"/>
          </w:rPr>
          <w:t>http://data.europa.eu/eli/dir/2000/60/oj</w:t>
        </w:r>
      </w:hyperlink>
      <w:r w:rsidR="00275CA3" w:rsidRPr="00275CA3">
        <w:t>).</w:t>
      </w:r>
    </w:p>
  </w:footnote>
  <w:footnote w:id="4">
    <w:p w14:paraId="02C03BB2" w14:textId="1FEE8F56" w:rsidR="00647D0C" w:rsidRPr="00E565E0" w:rsidRDefault="00647D0C" w:rsidP="00275CA3">
      <w:pPr>
        <w:pStyle w:val="FootnoteText"/>
      </w:pPr>
      <w:r w:rsidRPr="00275CA3">
        <w:rPr>
          <w:rStyle w:val="FootnoteReference"/>
        </w:rPr>
        <w:footnoteRef/>
      </w:r>
      <w:r w:rsidR="00275CA3" w:rsidRPr="00275CA3">
        <w:tab/>
        <w:t>Directiva (UE) 2020/2184 a Parlamentului European și a Consiliului din 16 decembrie 2020 privind calitatea apei destinate consumului uman (JO L 435, 23.12.2020, p. 1, ELI: </w:t>
      </w:r>
      <w:hyperlink r:id="rId2" w:history="1">
        <w:r w:rsidR="00275CA3" w:rsidRPr="00275CA3">
          <w:rPr>
            <w:rStyle w:val="Hyperlink"/>
          </w:rPr>
          <w:t>http://data.europa.eu/eli/dir/2020/2184/oj</w:t>
        </w:r>
      </w:hyperlink>
      <w:r w:rsidR="00275CA3" w:rsidRPr="00275CA3">
        <w:t>).</w:t>
      </w:r>
    </w:p>
  </w:footnote>
  <w:footnote w:id="5">
    <w:p w14:paraId="23BEC494" w14:textId="6368F8AC" w:rsidR="00647D0C" w:rsidRPr="00E565E0" w:rsidRDefault="00647D0C" w:rsidP="00275CA3">
      <w:pPr>
        <w:pStyle w:val="FootnoteText"/>
      </w:pPr>
      <w:r w:rsidRPr="00275CA3">
        <w:rPr>
          <w:rStyle w:val="FootnoteReference"/>
        </w:rPr>
        <w:footnoteRef/>
      </w:r>
      <w:r w:rsidR="00275CA3" w:rsidRPr="00275CA3">
        <w:tab/>
        <w:t>Directiva (UE) 2024/3019 a Parlamentului European și a Consiliului din 27 noiembrie 2024 privind epurarea apelor uzate urbane (JO L, 2024/3019, 12.12.2024, ELI: </w:t>
      </w:r>
      <w:hyperlink r:id="rId3" w:history="1">
        <w:r w:rsidR="00275CA3" w:rsidRPr="00275CA3">
          <w:rPr>
            <w:rStyle w:val="Hyperlink"/>
          </w:rPr>
          <w:t>http://data.europa.eu/eli/dir/2024/3019/oj</w:t>
        </w:r>
      </w:hyperlink>
      <w:r w:rsidR="00275CA3" w:rsidRPr="00275CA3">
        <w:t>).</w:t>
      </w:r>
    </w:p>
  </w:footnote>
  <w:footnote w:id="6">
    <w:p w14:paraId="68881BFC" w14:textId="14DA3B9A" w:rsidR="00647D0C" w:rsidRPr="00E565E0" w:rsidRDefault="00647D0C" w:rsidP="00275CA3">
      <w:pPr>
        <w:pStyle w:val="FootnoteText"/>
      </w:pPr>
      <w:r w:rsidRPr="00275CA3">
        <w:rPr>
          <w:rStyle w:val="FootnoteReference"/>
        </w:rPr>
        <w:footnoteRef/>
      </w:r>
      <w:r w:rsidR="00275CA3" w:rsidRPr="00275CA3">
        <w:tab/>
        <w:t>Directiva 2006/118/CE a Parlamentului European și a Consiliului din 12 decembrie 2006 privind prevenirea și controlul poluării apelor subterane (JO L 372, 27.12.2006, p. 19, ELI: </w:t>
      </w:r>
      <w:hyperlink r:id="rId4" w:history="1">
        <w:r w:rsidR="00275CA3" w:rsidRPr="00275CA3">
          <w:rPr>
            <w:rStyle w:val="Hyperlink"/>
          </w:rPr>
          <w:t>http://data.europa.eu/eli/dir/2006/118/oj</w:t>
        </w:r>
      </w:hyperlink>
      <w:r w:rsidR="00275CA3" w:rsidRPr="00275CA3">
        <w:t xml:space="preserve">). </w:t>
      </w:r>
    </w:p>
  </w:footnote>
  <w:footnote w:id="7">
    <w:p w14:paraId="48A6888F" w14:textId="3A0DDFF6" w:rsidR="00647D0C" w:rsidRPr="00E565E0" w:rsidRDefault="00647D0C" w:rsidP="00275CA3">
      <w:pPr>
        <w:pStyle w:val="FootnoteText"/>
      </w:pPr>
      <w:r w:rsidRPr="00275CA3">
        <w:rPr>
          <w:rStyle w:val="FootnoteReference"/>
        </w:rPr>
        <w:footnoteRef/>
      </w:r>
      <w:r w:rsidR="00275CA3" w:rsidRPr="00275CA3">
        <w:tab/>
        <w:t>Directiva 2007/60/CE a Parlamentului European și a Consiliului din 23 octombrie 2007 privind evaluarea și gestionarea riscurilor de inundații (JO L 288, 6.11.2007, p. 27, ELI: </w:t>
      </w:r>
      <w:hyperlink r:id="rId5" w:history="1">
        <w:r w:rsidR="00275CA3" w:rsidRPr="00275CA3">
          <w:rPr>
            <w:rStyle w:val="Hyperlink"/>
          </w:rPr>
          <w:t>http://data.europa.eu/eli/dir/2007/60/oj</w:t>
        </w:r>
      </w:hyperlink>
      <w:r w:rsidR="00275CA3" w:rsidRPr="00275CA3">
        <w:t>).</w:t>
      </w:r>
    </w:p>
  </w:footnote>
  <w:footnote w:id="8">
    <w:p w14:paraId="37D1B303" w14:textId="7EDE8F4C" w:rsidR="00647D0C" w:rsidRPr="00E565E0" w:rsidRDefault="00647D0C" w:rsidP="00275CA3">
      <w:pPr>
        <w:pStyle w:val="FootnoteText"/>
        <w:rPr>
          <w:szCs w:val="24"/>
        </w:rPr>
      </w:pPr>
      <w:r w:rsidRPr="00275CA3">
        <w:rPr>
          <w:rStyle w:val="FootnoteReference"/>
        </w:rPr>
        <w:footnoteRef/>
      </w:r>
      <w:r w:rsidR="00275CA3" w:rsidRPr="00275CA3">
        <w:tab/>
        <w:t>Directiva 2008/105/CE a Parlamentului European și a Consiliului din 16 decembrie 2008 privind standardele de calitate a mediului și privind prevenirea și controlul poluării apelor de suprafață, de modificare și, ulterior,</w:t>
      </w:r>
      <w:r w:rsidR="00386139">
        <w:t xml:space="preserve"> </w:t>
      </w:r>
      <w:r w:rsidR="00275CA3" w:rsidRPr="00275CA3">
        <w:t>de abrogare a Directivelor 82/176/CEE, 83/513/CEE, 84/156/CEE, 84/491/CEE, 86/280/CEE ale Consiliului și de modificare a Directivei 2000/60/CE (JO L 348, 24.12.2008, p. 84, ELI: </w:t>
      </w:r>
      <w:hyperlink r:id="rId6" w:history="1">
        <w:r w:rsidR="00275CA3" w:rsidRPr="00275CA3">
          <w:rPr>
            <w:rStyle w:val="Hyperlink"/>
          </w:rPr>
          <w:t>http://data.europa.eu/eli/dir/2008/105/oj</w:t>
        </w:r>
      </w:hyperlink>
      <w:r w:rsidR="00275CA3" w:rsidRPr="00275CA3">
        <w:t>).</w:t>
      </w:r>
    </w:p>
  </w:footnote>
  <w:footnote w:id="9">
    <w:p w14:paraId="02CD447F" w14:textId="48E2AD48" w:rsidR="00647D0C" w:rsidRPr="00E565E0" w:rsidRDefault="00647D0C" w:rsidP="00275CA3">
      <w:pPr>
        <w:pStyle w:val="FootnoteText"/>
        <w:rPr>
          <w:szCs w:val="24"/>
        </w:rPr>
      </w:pPr>
      <w:r w:rsidRPr="00275CA3">
        <w:rPr>
          <w:rStyle w:val="FootnoteReference"/>
        </w:rPr>
        <w:footnoteRef/>
      </w:r>
      <w:r w:rsidR="00275CA3" w:rsidRPr="00275CA3">
        <w:tab/>
        <w:t>Decizia nr. 2455/2001/CE a Parlamentului European și a Consiliului din 20 noiembrie 2001 de stabilire a unei liste de substanțe prioritare în domeniul apei și de modificare a Directivei</w:t>
      </w:r>
      <w:r w:rsidR="00484F04">
        <w:t> </w:t>
      </w:r>
      <w:r w:rsidR="00275CA3" w:rsidRPr="00275CA3">
        <w:t>2000/60/CE (JO L 331, 15.12.2001, p. 1, ELI: </w:t>
      </w:r>
      <w:hyperlink r:id="rId7" w:history="1">
        <w:r w:rsidR="00275CA3" w:rsidRPr="00275CA3">
          <w:rPr>
            <w:rStyle w:val="Hyperlink"/>
          </w:rPr>
          <w:t>http://data.europa.eu/eli/dec/2001/2455/oj</w:t>
        </w:r>
      </w:hyperlink>
      <w:r w:rsidR="00275CA3" w:rsidRPr="00275CA3">
        <w:t>).</w:t>
      </w:r>
    </w:p>
  </w:footnote>
  <w:footnote w:id="10">
    <w:p w14:paraId="17C97DC7" w14:textId="7C0CD9EA" w:rsidR="00647D0C" w:rsidRPr="002A6EF6" w:rsidRDefault="00647D0C" w:rsidP="00275CA3">
      <w:pPr>
        <w:pStyle w:val="FootnoteText"/>
      </w:pPr>
      <w:r w:rsidRPr="00275CA3">
        <w:rPr>
          <w:rStyle w:val="FootnoteReference"/>
        </w:rPr>
        <w:footnoteRef/>
      </w:r>
      <w:r w:rsidR="00275CA3" w:rsidRPr="00275CA3">
        <w:tab/>
        <w:t>Directiva 2001/83/CE a Parlamentului European și a Consiliului din 6 noiembrie 2001 de instituire a unui cod comunitar cu privire la medicamentele de uz uman (JO L 311, 28.11.2001, p. 67, ELI: </w:t>
      </w:r>
      <w:hyperlink r:id="rId8" w:history="1">
        <w:r w:rsidR="00275CA3" w:rsidRPr="00275CA3">
          <w:rPr>
            <w:rStyle w:val="Hyperlink"/>
          </w:rPr>
          <w:t>http://data.europa.eu/eli/dir/2001/83/oj</w:t>
        </w:r>
      </w:hyperlink>
      <w:r w:rsidR="00275CA3" w:rsidRPr="00275CA3">
        <w:t>).</w:t>
      </w:r>
    </w:p>
  </w:footnote>
  <w:footnote w:id="11">
    <w:p w14:paraId="27EAF345" w14:textId="64E2D9B2" w:rsidR="00647D0C" w:rsidRPr="002A6EF6" w:rsidRDefault="00647D0C" w:rsidP="00275CA3">
      <w:pPr>
        <w:pStyle w:val="FootnoteText"/>
      </w:pPr>
      <w:r w:rsidRPr="00275CA3">
        <w:rPr>
          <w:rStyle w:val="FootnoteReference"/>
        </w:rPr>
        <w:footnoteRef/>
      </w:r>
      <w:r w:rsidR="00275CA3" w:rsidRPr="00275CA3">
        <w:tab/>
        <w:t>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p. 1, ELI: </w:t>
      </w:r>
      <w:hyperlink r:id="rId9" w:history="1">
        <w:r w:rsidR="00275CA3" w:rsidRPr="00275CA3">
          <w:rPr>
            <w:rStyle w:val="Hyperlink"/>
          </w:rPr>
          <w:t>http://data.europa.eu/eli/reg/2006/1907/oj</w:t>
        </w:r>
      </w:hyperlink>
      <w:r w:rsidR="00275CA3" w:rsidRPr="00275CA3">
        <w:t>).</w:t>
      </w:r>
    </w:p>
  </w:footnote>
  <w:footnote w:id="12">
    <w:p w14:paraId="7B835C7A" w14:textId="6C802D21" w:rsidR="00647D0C" w:rsidRPr="002A6EF6" w:rsidRDefault="00647D0C" w:rsidP="00275CA3">
      <w:pPr>
        <w:pStyle w:val="FootnoteText"/>
      </w:pPr>
      <w:r w:rsidRPr="00275CA3">
        <w:rPr>
          <w:rStyle w:val="FootnoteReference"/>
        </w:rPr>
        <w:footnoteRef/>
      </w:r>
      <w:r w:rsidR="00275CA3" w:rsidRPr="00275CA3">
        <w:tab/>
        <w:t>Regulamentul (CE) nr. 1107/2009 al Parlamentului European și al Consiliului din</w:t>
      </w:r>
      <w:r w:rsidR="00484F04">
        <w:t> </w:t>
      </w:r>
      <w:r w:rsidR="00275CA3" w:rsidRPr="00275CA3">
        <w:t>21</w:t>
      </w:r>
      <w:r w:rsidR="00484F04">
        <w:t> </w:t>
      </w:r>
      <w:r w:rsidR="00275CA3" w:rsidRPr="00275CA3">
        <w:t>octombrie 2009 privind introducerea pe piață a produselor fitosanitare și de abrogare a Directivelor 79/117/CEE și 91/414/CEE ale Consiliului (JO L 309, 24.11.2009, p. 1, ELI: </w:t>
      </w:r>
      <w:hyperlink r:id="rId10" w:history="1">
        <w:r w:rsidR="00275CA3" w:rsidRPr="00275CA3">
          <w:rPr>
            <w:rStyle w:val="Hyperlink"/>
          </w:rPr>
          <w:t>http://data.europa.eu/eli/reg/2009/1107/oj</w:t>
        </w:r>
      </w:hyperlink>
      <w:r w:rsidR="00275CA3" w:rsidRPr="00275CA3">
        <w:t>).</w:t>
      </w:r>
    </w:p>
  </w:footnote>
  <w:footnote w:id="13">
    <w:p w14:paraId="797FC048" w14:textId="020C2071" w:rsidR="00647D0C" w:rsidRPr="002A6EF6" w:rsidRDefault="00647D0C" w:rsidP="00275CA3">
      <w:pPr>
        <w:pStyle w:val="FootnoteText"/>
      </w:pPr>
      <w:r w:rsidRPr="00275CA3">
        <w:rPr>
          <w:rStyle w:val="FootnoteReference"/>
        </w:rPr>
        <w:footnoteRef/>
      </w:r>
      <w:r w:rsidR="00275CA3" w:rsidRPr="00275CA3">
        <w:tab/>
        <w:t>Directiva 2009/128/CE a Parlamentului European și a Consiliului din 21 octombrie 2009 de stabilire a unui cadru de acțiune comunitară în vederea utilizării durabile a pesticidelor (JO L 309, 24.11.2009, p. 71, ELI: </w:t>
      </w:r>
      <w:hyperlink r:id="rId11" w:history="1">
        <w:r w:rsidR="00275CA3" w:rsidRPr="00275CA3">
          <w:rPr>
            <w:rStyle w:val="Hyperlink"/>
          </w:rPr>
          <w:t>http://data.europa.eu/eli/dir/2009/128/oj</w:t>
        </w:r>
      </w:hyperlink>
      <w:r w:rsidR="00275CA3" w:rsidRPr="00275CA3">
        <w:t>).</w:t>
      </w:r>
    </w:p>
  </w:footnote>
  <w:footnote w:id="14">
    <w:p w14:paraId="3500960C" w14:textId="59D57001" w:rsidR="00647D0C" w:rsidRPr="002A6EF6" w:rsidRDefault="00647D0C" w:rsidP="00275CA3">
      <w:pPr>
        <w:pStyle w:val="FootnoteText"/>
      </w:pPr>
      <w:r w:rsidRPr="00275CA3">
        <w:rPr>
          <w:rStyle w:val="FootnoteReference"/>
        </w:rPr>
        <w:footnoteRef/>
      </w:r>
      <w:r w:rsidR="00275CA3" w:rsidRPr="00275CA3">
        <w:tab/>
        <w:t>Directiva 2010/75/UE a Parlamentului European și a Consiliului din 24 noiembrie 2010 privind emisiile industriale și emisiile generate de creșterea animalelor (prevenirea și controlul integrat al poluării) (JO L 334, 17.12.2010, p. 17, ELI: </w:t>
      </w:r>
      <w:hyperlink r:id="rId12" w:history="1">
        <w:r w:rsidR="00275CA3" w:rsidRPr="00275CA3">
          <w:rPr>
            <w:rStyle w:val="Hyperlink"/>
          </w:rPr>
          <w:t>http://data.europa.eu/eli/dir/2010/75/oj</w:t>
        </w:r>
      </w:hyperlink>
      <w:r w:rsidR="00275CA3" w:rsidRPr="00275CA3">
        <w:t>).</w:t>
      </w:r>
    </w:p>
  </w:footnote>
  <w:footnote w:id="15">
    <w:p w14:paraId="728928FE" w14:textId="330A5A04" w:rsidR="00647D0C" w:rsidRPr="002A6EF6" w:rsidRDefault="00647D0C" w:rsidP="00275CA3">
      <w:pPr>
        <w:pStyle w:val="FootnoteText"/>
      </w:pPr>
      <w:r w:rsidRPr="00275CA3">
        <w:rPr>
          <w:rStyle w:val="FootnoteReference"/>
        </w:rPr>
        <w:footnoteRef/>
      </w:r>
      <w:r w:rsidR="00275CA3" w:rsidRPr="00275CA3">
        <w:tab/>
        <w:t xml:space="preserve">Regulamentul (UE) nr. 528/2012 al Parlamentului European și al Consiliului din 22 mai 2012 privind punerea la dispoziție pe piață și utilizarea produselor </w:t>
      </w:r>
      <w:proofErr w:type="spellStart"/>
      <w:r w:rsidR="00275CA3" w:rsidRPr="00275CA3">
        <w:t>biocide</w:t>
      </w:r>
      <w:proofErr w:type="spellEnd"/>
      <w:r w:rsidR="00275CA3" w:rsidRPr="00275CA3">
        <w:t xml:space="preserve"> (JO L 167, 27.6.2012, p. 1, ELI: </w:t>
      </w:r>
      <w:hyperlink r:id="rId13" w:history="1">
        <w:r w:rsidR="00275CA3" w:rsidRPr="00275CA3">
          <w:rPr>
            <w:rStyle w:val="Hyperlink"/>
          </w:rPr>
          <w:t>http://data.europa.eu/eli/reg/2012/528/oj</w:t>
        </w:r>
      </w:hyperlink>
      <w:r w:rsidR="00275CA3" w:rsidRPr="00275CA3">
        <w:t>).</w:t>
      </w:r>
    </w:p>
  </w:footnote>
  <w:footnote w:id="16">
    <w:p w14:paraId="12F681ED" w14:textId="688600ED" w:rsidR="00647D0C" w:rsidRPr="002A6EF6" w:rsidRDefault="00647D0C" w:rsidP="00275CA3">
      <w:pPr>
        <w:pStyle w:val="FootnoteText"/>
      </w:pPr>
      <w:r w:rsidRPr="00275CA3">
        <w:rPr>
          <w:rStyle w:val="FootnoteReference"/>
        </w:rPr>
        <w:footnoteRef/>
      </w:r>
      <w:r w:rsidR="00275CA3" w:rsidRPr="00275CA3">
        <w:tab/>
        <w:t>Regulamentul (UE) 2019/6 al Parlamentului European și al Consiliului din</w:t>
      </w:r>
      <w:r w:rsidR="00484F04">
        <w:t> </w:t>
      </w:r>
      <w:r w:rsidR="00275CA3" w:rsidRPr="00275CA3">
        <w:t>11 decembrie 2018 privind produsele medicinale veterinare și de abrogare a Directivei</w:t>
      </w:r>
      <w:r w:rsidR="00484F04">
        <w:t> </w:t>
      </w:r>
      <w:r w:rsidR="00275CA3" w:rsidRPr="00275CA3">
        <w:t>2001/82/CE (JO L 4, 7.1.2019, p. 43, ELI: </w:t>
      </w:r>
      <w:hyperlink r:id="rId14" w:history="1">
        <w:r w:rsidR="00275CA3" w:rsidRPr="00275CA3">
          <w:rPr>
            <w:rStyle w:val="Hyperlink"/>
          </w:rPr>
          <w:t>http://data.europa.eu/eli/reg/2019/6/oj</w:t>
        </w:r>
      </w:hyperlink>
      <w:r w:rsidR="00275CA3" w:rsidRPr="00275CA3">
        <w:t>).</w:t>
      </w:r>
    </w:p>
  </w:footnote>
  <w:footnote w:id="17">
    <w:p w14:paraId="15E31912" w14:textId="3AD24EB4" w:rsidR="00647D0C" w:rsidRPr="00E565E0" w:rsidRDefault="00647D0C" w:rsidP="00275CA3">
      <w:pPr>
        <w:pStyle w:val="FootnoteText"/>
      </w:pPr>
      <w:r w:rsidRPr="00275CA3">
        <w:rPr>
          <w:rStyle w:val="FootnoteReference"/>
        </w:rPr>
        <w:footnoteRef/>
      </w:r>
      <w:r w:rsidR="00275CA3" w:rsidRPr="00275CA3">
        <w:tab/>
        <w:t>JO L 209, 31.7.2006, p. 3, ELI: </w:t>
      </w:r>
      <w:hyperlink r:id="rId15" w:history="1">
        <w:r w:rsidR="00275CA3" w:rsidRPr="00275CA3">
          <w:rPr>
            <w:rStyle w:val="Hyperlink"/>
          </w:rPr>
          <w:t>http://data.europa.eu/eli/convention/2006/507/oj</w:t>
        </w:r>
      </w:hyperlink>
      <w:r w:rsidR="00275CA3" w:rsidRPr="00275CA3">
        <w:t>.</w:t>
      </w:r>
    </w:p>
  </w:footnote>
  <w:footnote w:id="18">
    <w:p w14:paraId="44459551" w14:textId="3026FA02" w:rsidR="00647D0C" w:rsidRPr="00E565E0" w:rsidRDefault="00647D0C" w:rsidP="00275CA3">
      <w:pPr>
        <w:pStyle w:val="FootnoteText"/>
      </w:pPr>
      <w:r w:rsidRPr="00275CA3">
        <w:rPr>
          <w:rStyle w:val="FootnoteReference"/>
        </w:rPr>
        <w:footnoteRef/>
      </w:r>
      <w:r w:rsidR="00275CA3" w:rsidRPr="00275CA3">
        <w:tab/>
        <w:t>Regulamentul (UE) 2019/1021 al Parlamentului European și al Consiliului din 20 iunie 2019 privind poluanții organici persistenți (JO L 169, 25.6.2019, p. 45, ELI: </w:t>
      </w:r>
      <w:hyperlink r:id="rId16" w:history="1">
        <w:r w:rsidR="00275CA3" w:rsidRPr="00275CA3">
          <w:rPr>
            <w:rStyle w:val="Hyperlink"/>
          </w:rPr>
          <w:t>http://data.europa.eu/eli/reg/2019/1021/oj</w:t>
        </w:r>
      </w:hyperlink>
      <w:r w:rsidR="00275CA3" w:rsidRPr="00275CA3">
        <w:t>).</w:t>
      </w:r>
    </w:p>
  </w:footnote>
  <w:footnote w:id="19">
    <w:p w14:paraId="3C7E0CBB" w14:textId="1523E196" w:rsidR="00647D0C" w:rsidRPr="00E565E0" w:rsidRDefault="00647D0C" w:rsidP="00275CA3">
      <w:pPr>
        <w:pStyle w:val="FootnoteText"/>
        <w:rPr>
          <w:szCs w:val="24"/>
        </w:rPr>
      </w:pPr>
      <w:r w:rsidRPr="00275CA3">
        <w:rPr>
          <w:rStyle w:val="FootnoteReference"/>
        </w:rPr>
        <w:footnoteRef/>
      </w:r>
      <w:r w:rsidR="00275CA3" w:rsidRPr="00275CA3">
        <w:tab/>
        <w:t xml:space="preserve">Directiva 2007/2/CE a Parlamentului European și a Consiliului din 14 martie 2007 de instituire a unei infrastructuri pentru informații spațiale în Comunitatea Europeană (Inspire) (JO L 108, 25.4.2007, p. 1, ELI: </w:t>
      </w:r>
      <w:hyperlink r:id="rId17" w:history="1">
        <w:r w:rsidR="00275CA3" w:rsidRPr="00275CA3">
          <w:rPr>
            <w:rStyle w:val="Hyperlink"/>
          </w:rPr>
          <w:t>http://data.europa.eu/eli/dir/2007/2/oj</w:t>
        </w:r>
      </w:hyperlink>
      <w:r w:rsidR="00275CA3" w:rsidRPr="00275CA3">
        <w:t>).</w:t>
      </w:r>
    </w:p>
  </w:footnote>
  <w:footnote w:id="20">
    <w:p w14:paraId="4ABB46A3" w14:textId="52A85A4A" w:rsidR="00647D0C" w:rsidRPr="00E565E0" w:rsidRDefault="00647D0C" w:rsidP="00275CA3">
      <w:pPr>
        <w:pStyle w:val="FootnoteText"/>
        <w:rPr>
          <w:sz w:val="20"/>
        </w:rPr>
      </w:pPr>
      <w:r w:rsidRPr="00275CA3">
        <w:rPr>
          <w:rStyle w:val="FootnoteReference"/>
        </w:rPr>
        <w:footnoteRef/>
      </w:r>
      <w:r w:rsidR="00275CA3" w:rsidRPr="00275CA3">
        <w:tab/>
        <w:t xml:space="preserve">Directiva (UE) 2019/1024 a Parlamentului European și a Consiliului din 20 iunie 2019 privind datele deschise și reutilizarea informațiilor din sectorul public (JO L 172, 26.6.2019, p. 56, ELI: </w:t>
      </w:r>
      <w:hyperlink r:id="rId18" w:history="1">
        <w:r w:rsidR="00275CA3" w:rsidRPr="00275CA3">
          <w:rPr>
            <w:rStyle w:val="Hyperlink"/>
          </w:rPr>
          <w:t>http://data.europa.eu/eli/dir/2019/1024/oj</w:t>
        </w:r>
      </w:hyperlink>
      <w:r w:rsidR="00275CA3" w:rsidRPr="00275CA3">
        <w:t>).</w:t>
      </w:r>
    </w:p>
  </w:footnote>
  <w:footnote w:id="21">
    <w:p w14:paraId="0D91B9DA" w14:textId="1933C918" w:rsidR="00647D0C" w:rsidRPr="00E565E0" w:rsidRDefault="00647D0C" w:rsidP="00275CA3">
      <w:pPr>
        <w:pStyle w:val="FootnoteText"/>
        <w:rPr>
          <w:szCs w:val="24"/>
        </w:rPr>
      </w:pPr>
      <w:r w:rsidRPr="00275CA3">
        <w:rPr>
          <w:rStyle w:val="FootnoteReference"/>
        </w:rPr>
        <w:footnoteRef/>
      </w:r>
      <w:r w:rsidR="00275CA3" w:rsidRPr="00275CA3">
        <w:tab/>
        <w:t>Regulamentul (UE) 2024/1244 al Parlamentului European și al Consiliului din 24 aprilie 2024 privind raportarea datelor despre mediu provenite de la instalații industriale, de înființare a Portalului emisiilor industriale și de abrogare a Regulamentului (CE) nr. 166/2006 (JO L, 2024/1244, 2.5.2024, ELI: </w:t>
      </w:r>
      <w:hyperlink r:id="rId19" w:history="1">
        <w:r w:rsidR="00275CA3" w:rsidRPr="00275CA3">
          <w:rPr>
            <w:rStyle w:val="Hyperlink"/>
          </w:rPr>
          <w:t>http://data.europa.eu/eli/reg/2024/1244/oj</w:t>
        </w:r>
      </w:hyperlink>
      <w:r w:rsidR="00275CA3" w:rsidRPr="00275CA3">
        <w:t>).</w:t>
      </w:r>
    </w:p>
  </w:footnote>
  <w:footnote w:id="22">
    <w:p w14:paraId="2A93A37C" w14:textId="641DDB0F" w:rsidR="00647D0C" w:rsidRPr="00E565E0" w:rsidRDefault="00647D0C" w:rsidP="00275CA3">
      <w:pPr>
        <w:pStyle w:val="FootnoteText"/>
      </w:pPr>
      <w:r w:rsidRPr="00275CA3">
        <w:rPr>
          <w:rStyle w:val="FootnoteReference"/>
        </w:rPr>
        <w:footnoteRef/>
      </w:r>
      <w:r w:rsidR="00275CA3" w:rsidRPr="00275CA3">
        <w:tab/>
        <w:t>JO C 306, 17.12.2007, p. 1, ELI: </w:t>
      </w:r>
      <w:hyperlink r:id="rId20" w:tooltip="Oferă acces la acest document prin identificatorul său uniform de resurse ELI." w:history="1">
        <w:r w:rsidR="00275CA3" w:rsidRPr="00275CA3">
          <w:rPr>
            <w:rStyle w:val="Hyperlink"/>
          </w:rPr>
          <w:t>http://data.europa.eu/eli/treaty/lis/sign</w:t>
        </w:r>
      </w:hyperlink>
      <w:r w:rsidR="00275CA3" w:rsidRPr="00275CA3">
        <w:t>.</w:t>
      </w:r>
    </w:p>
  </w:footnote>
  <w:footnote w:id="23">
    <w:p w14:paraId="7CF383DD" w14:textId="3E48CFBE" w:rsidR="00647D0C" w:rsidRPr="00E565E0" w:rsidRDefault="00647D0C" w:rsidP="00275CA3">
      <w:pPr>
        <w:pStyle w:val="FootnoteText"/>
      </w:pPr>
      <w:r w:rsidRPr="00275CA3">
        <w:rPr>
          <w:rStyle w:val="FootnoteReference"/>
        </w:rPr>
        <w:footnoteRef/>
      </w:r>
      <w:r w:rsidR="00275CA3" w:rsidRPr="00275CA3">
        <w:tab/>
        <w:t>JO L 123, 12.5.2016, p. 1, ELI: </w:t>
      </w:r>
      <w:hyperlink r:id="rId21" w:history="1">
        <w:r w:rsidR="00275CA3" w:rsidRPr="00275CA3">
          <w:rPr>
            <w:rStyle w:val="Hyperlink"/>
          </w:rPr>
          <w:t>http://data.europa.eu/eli/agree_interinstit/2016/512/oj</w:t>
        </w:r>
      </w:hyperlink>
      <w:r w:rsidR="00275CA3" w:rsidRPr="00275CA3">
        <w:t>.</w:t>
      </w:r>
    </w:p>
  </w:footnote>
  <w:footnote w:id="24">
    <w:p w14:paraId="2516C1DA" w14:textId="7EC68928" w:rsidR="00647D0C" w:rsidRPr="00E565E0" w:rsidRDefault="00647D0C" w:rsidP="00275CA3">
      <w:pPr>
        <w:pStyle w:val="FootnoteText"/>
        <w:rPr>
          <w:szCs w:val="24"/>
        </w:rPr>
      </w:pPr>
      <w:r w:rsidRPr="00275CA3">
        <w:rPr>
          <w:rStyle w:val="FootnoteReference"/>
        </w:rPr>
        <w:footnoteRef/>
      </w:r>
      <w:r w:rsidR="00275CA3" w:rsidRPr="00275CA3">
        <w:tab/>
        <w:t xml:space="preserve">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w:t>
      </w:r>
      <w:hyperlink r:id="rId22" w:history="1">
        <w:r w:rsidR="00275CA3" w:rsidRPr="00275CA3">
          <w:rPr>
            <w:rStyle w:val="Hyperlink"/>
          </w:rPr>
          <w:t>http://data.europa.eu/eli/reg/2011/182/oj</w:t>
        </w:r>
      </w:hyperlink>
      <w:r w:rsidR="00275CA3" w:rsidRPr="00275CA3">
        <w:t>).</w:t>
      </w:r>
    </w:p>
  </w:footnote>
  <w:footnote w:id="25">
    <w:p w14:paraId="751798BE" w14:textId="0B426E3B" w:rsidR="00647D0C" w:rsidRPr="00E565E0" w:rsidRDefault="00647D0C" w:rsidP="00275CA3">
      <w:pPr>
        <w:pStyle w:val="FootnoteText"/>
      </w:pPr>
      <w:r w:rsidRPr="00275CA3">
        <w:rPr>
          <w:rStyle w:val="FootnoteReference"/>
        </w:rPr>
        <w:footnoteRef/>
      </w:r>
      <w:r w:rsidR="00275CA3" w:rsidRPr="00275CA3">
        <w:tab/>
        <w:t>JO L 124, 17.5.2005, p. 4, ELI: </w:t>
      </w:r>
      <w:hyperlink r:id="rId23" w:history="1">
        <w:r w:rsidR="00275CA3" w:rsidRPr="00275CA3">
          <w:rPr>
            <w:rStyle w:val="Hyperlink"/>
          </w:rPr>
          <w:t>http://data.europa.eu/eli/convention/2005/370/oj</w:t>
        </w:r>
      </w:hyperlink>
      <w:r w:rsidR="00275CA3" w:rsidRPr="00275CA3">
        <w:t>.</w:t>
      </w:r>
    </w:p>
  </w:footnote>
  <w:footnote w:id="26">
    <w:p w14:paraId="254B94FB" w14:textId="76688028" w:rsidR="00647D0C" w:rsidRPr="00E565E0" w:rsidRDefault="00647D0C" w:rsidP="00275CA3">
      <w:pPr>
        <w:pStyle w:val="FootnoteText"/>
        <w:rPr>
          <w:szCs w:val="24"/>
        </w:rPr>
      </w:pPr>
      <w:r w:rsidRPr="00275CA3">
        <w:rPr>
          <w:rStyle w:val="FootnoteReference"/>
        </w:rPr>
        <w:footnoteRef/>
      </w:r>
      <w:r w:rsidR="00275CA3" w:rsidRPr="00275CA3">
        <w:tab/>
        <w:t>Decizia nr. 1313/2013/UE a Parlamentului European și a Consiliului din 17 decembrie 2013 privind un mecanism de protecție civilă al Uniunii (JO L 347, 20.12.2013, p. 924, ELI: </w:t>
      </w:r>
      <w:hyperlink r:id="rId24" w:history="1">
        <w:r w:rsidR="00275CA3" w:rsidRPr="00275CA3">
          <w:rPr>
            <w:rStyle w:val="Hyperlink"/>
          </w:rPr>
          <w:t>http://data.europa.eu/eli/dec/2013/1313/oj</w:t>
        </w:r>
      </w:hyperlink>
      <w:r w:rsidR="00275CA3" w:rsidRPr="00275CA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D8437" w14:textId="77777777" w:rsidR="00B35CF3" w:rsidRPr="00B35CF3" w:rsidRDefault="00B35CF3" w:rsidP="00B35C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AA92C" w14:textId="519507F9" w:rsidR="001D2FF1" w:rsidRPr="00B35CF3" w:rsidRDefault="00B35CF3" w:rsidP="00B35CF3">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71582" w14:textId="6A28C13E" w:rsidR="001D2FF1" w:rsidRPr="00B35CF3" w:rsidRDefault="00B35CF3" w:rsidP="00B35CF3">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F20A5" w14:textId="77777777" w:rsidR="00647D0C" w:rsidRPr="00B35CF3" w:rsidRDefault="00647D0C" w:rsidP="00B35CF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9CB6A" w14:textId="77777777" w:rsidR="00647D0C" w:rsidRPr="00B35CF3" w:rsidRDefault="00647D0C" w:rsidP="00B35CF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98032" w14:textId="77777777" w:rsidR="00647D0C" w:rsidRPr="00B35CF3" w:rsidRDefault="00647D0C" w:rsidP="00B35CF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3F6BC" w14:textId="51E26F86" w:rsidR="00647D0C" w:rsidRPr="00B35CF3" w:rsidRDefault="00647D0C" w:rsidP="00B35CF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A0A53" w14:textId="77777777" w:rsidR="00647D0C" w:rsidRPr="00B35CF3" w:rsidRDefault="00647D0C" w:rsidP="00B35CF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416F8" w14:textId="1E94EA04" w:rsidR="00647D0C" w:rsidRPr="00B35CF3" w:rsidRDefault="00647D0C" w:rsidP="00B35CF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3D5D8" w14:textId="77777777" w:rsidR="00BF0F87" w:rsidRPr="00B35CF3" w:rsidRDefault="00BF0F87" w:rsidP="00B35CF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853F8" w14:textId="77777777" w:rsidR="00BF0F87" w:rsidRPr="00B35CF3" w:rsidRDefault="00BF0F87" w:rsidP="00B35CF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FE62" w14:textId="77777777" w:rsidR="00BF0F87" w:rsidRPr="00B35CF3" w:rsidRDefault="00BF0F87" w:rsidP="00B35CF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7FDB1" w14:textId="77777777" w:rsidR="00BF0F87" w:rsidRPr="00B35CF3" w:rsidRDefault="00BF0F87" w:rsidP="00B35CF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8F11D" w14:textId="77777777" w:rsidR="00BF0F87" w:rsidRPr="00B35CF3" w:rsidRDefault="00BF0F87" w:rsidP="00B35CF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04165" w14:textId="7902A5B7" w:rsidR="00647D0C" w:rsidRPr="00B35CF3" w:rsidRDefault="00647D0C" w:rsidP="00B35CF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D13D5" w14:textId="77777777" w:rsidR="00647D0C" w:rsidRPr="00B35CF3" w:rsidRDefault="00647D0C" w:rsidP="00B35CF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08E1D" w14:textId="55F6D2D2" w:rsidR="00647D0C" w:rsidRPr="00B35CF3" w:rsidRDefault="00647D0C" w:rsidP="00B35CF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0E94" w14:textId="77777777" w:rsidR="00BF0F87" w:rsidRPr="00B35CF3" w:rsidRDefault="00BF0F87" w:rsidP="00B35CF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03CDD" w14:textId="77777777" w:rsidR="00BF0F87" w:rsidRPr="00B35CF3" w:rsidRDefault="00BF0F87" w:rsidP="00B35CF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AA28D" w14:textId="77777777" w:rsidR="00BF0F87" w:rsidRPr="00B35CF3" w:rsidRDefault="00BF0F87" w:rsidP="00B35CF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4A5EC" w14:textId="77777777" w:rsidR="00BF0F87" w:rsidRPr="00B35CF3" w:rsidRDefault="00BF0F87" w:rsidP="00B35CF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6CAEA" w14:textId="77777777" w:rsidR="00BF0F87" w:rsidRPr="00B35CF3" w:rsidRDefault="00BF0F87" w:rsidP="00B35CF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14AA6" w14:textId="77777777" w:rsidR="00BF0F87" w:rsidRPr="00B35CF3" w:rsidRDefault="00BF0F87" w:rsidP="00B35CF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9A7AF" w14:textId="77777777" w:rsidR="00BF0F87" w:rsidRPr="00B35CF3" w:rsidRDefault="00BF0F87" w:rsidP="00B35CF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1DDB1" w14:textId="0464A012" w:rsidR="001D2FF1" w:rsidRPr="00B35CF3" w:rsidRDefault="001D2FF1" w:rsidP="00B35C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95EADF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9C7CEA2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3"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4"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5"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6"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7"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8"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9"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10"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1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2"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1"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2"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lang w:val="en-GB"/>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1"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3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3"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8"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39" w15:restartNumberingAfterBreak="0">
    <w:nsid w:val="5B0B0635"/>
    <w:multiLevelType w:val="singleLevel"/>
    <w:tmpl w:val="017E7CEE"/>
    <w:name w:val="List Number 4"/>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1" w15:restartNumberingAfterBreak="0">
    <w:nsid w:val="5DF84969"/>
    <w:multiLevelType w:val="singleLevel"/>
    <w:tmpl w:val="1E12021A"/>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4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46"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5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371224461">
    <w:abstractNumId w:val="10"/>
  </w:num>
  <w:num w:numId="2" w16cid:durableId="1583297739">
    <w:abstractNumId w:val="28"/>
  </w:num>
  <w:num w:numId="3" w16cid:durableId="493028266">
    <w:abstractNumId w:val="34"/>
  </w:num>
  <w:num w:numId="4" w16cid:durableId="19748251">
    <w:abstractNumId w:val="32"/>
  </w:num>
  <w:num w:numId="5" w16cid:durableId="194975596">
    <w:abstractNumId w:val="54"/>
  </w:num>
  <w:num w:numId="6" w16cid:durableId="2051998500">
    <w:abstractNumId w:val="23"/>
  </w:num>
  <w:num w:numId="7" w16cid:durableId="920985168">
    <w:abstractNumId w:val="24"/>
  </w:num>
  <w:num w:numId="8" w16cid:durableId="859395038">
    <w:abstractNumId w:val="25"/>
  </w:num>
  <w:num w:numId="9" w16cid:durableId="1884709445">
    <w:abstractNumId w:val="29"/>
  </w:num>
  <w:num w:numId="10" w16cid:durableId="907809623">
    <w:abstractNumId w:val="14"/>
  </w:num>
  <w:num w:numId="11" w16cid:durableId="147790786">
    <w:abstractNumId w:val="2"/>
  </w:num>
  <w:num w:numId="12" w16cid:durableId="1276255905">
    <w:abstractNumId w:val="55"/>
  </w:num>
  <w:num w:numId="13" w16cid:durableId="641539383">
    <w:abstractNumId w:val="21"/>
  </w:num>
  <w:num w:numId="14" w16cid:durableId="1463424940">
    <w:abstractNumId w:val="8"/>
  </w:num>
  <w:num w:numId="15" w16cid:durableId="1445808034">
    <w:abstractNumId w:val="7"/>
  </w:num>
  <w:num w:numId="16" w16cid:durableId="1852645536">
    <w:abstractNumId w:val="48"/>
  </w:num>
  <w:num w:numId="17" w16cid:durableId="850142578">
    <w:abstractNumId w:val="45"/>
  </w:num>
  <w:num w:numId="18" w16cid:durableId="9839530">
    <w:abstractNumId w:val="37"/>
  </w:num>
  <w:num w:numId="19" w16cid:durableId="1073358758">
    <w:abstractNumId w:val="51"/>
  </w:num>
  <w:num w:numId="20" w16cid:durableId="1326860946">
    <w:abstractNumId w:val="50"/>
  </w:num>
  <w:num w:numId="21" w16cid:durableId="1663196454">
    <w:abstractNumId w:val="52"/>
  </w:num>
  <w:num w:numId="22" w16cid:durableId="808937615">
    <w:abstractNumId w:val="9"/>
  </w:num>
  <w:num w:numId="23" w16cid:durableId="704335002">
    <w:abstractNumId w:val="41"/>
  </w:num>
  <w:num w:numId="24" w16cid:durableId="1071929312">
    <w:abstractNumId w:val="39"/>
  </w:num>
  <w:num w:numId="25" w16cid:durableId="1666280197">
    <w:abstractNumId w:val="1"/>
  </w:num>
  <w:num w:numId="26" w16cid:durableId="51929260">
    <w:abstractNumId w:val="0"/>
  </w:num>
  <w:num w:numId="27" w16cid:durableId="2001344590">
    <w:abstractNumId w:val="3"/>
  </w:num>
  <w:num w:numId="28" w16cid:durableId="1278215627">
    <w:abstractNumId w:val="18"/>
  </w:num>
  <w:num w:numId="29" w16cid:durableId="852493579">
    <w:abstractNumId w:val="30"/>
  </w:num>
  <w:num w:numId="30" w16cid:durableId="563756402">
    <w:abstractNumId w:val="27"/>
  </w:num>
  <w:num w:numId="31" w16cid:durableId="615412571">
    <w:abstractNumId w:val="46"/>
  </w:num>
  <w:num w:numId="32" w16cid:durableId="1752923810">
    <w:abstractNumId w:val="11"/>
  </w:num>
  <w:num w:numId="33" w16cid:durableId="245650579">
    <w:abstractNumId w:val="20"/>
  </w:num>
  <w:num w:numId="34" w16cid:durableId="1748380347">
    <w:abstractNumId w:val="12"/>
  </w:num>
  <w:num w:numId="35" w16cid:durableId="1853955906">
    <w:abstractNumId w:val="22"/>
  </w:num>
  <w:num w:numId="36" w16cid:durableId="1720543547">
    <w:abstractNumId w:val="19"/>
  </w:num>
  <w:num w:numId="37" w16cid:durableId="1815558035">
    <w:abstractNumId w:val="33"/>
  </w:num>
  <w:num w:numId="38" w16cid:durableId="1954170352">
    <w:abstractNumId w:val="17"/>
  </w:num>
  <w:num w:numId="39" w16cid:durableId="956377925">
    <w:abstractNumId w:val="43"/>
  </w:num>
  <w:num w:numId="40" w16cid:durableId="2116829947">
    <w:abstractNumId w:val="5"/>
  </w:num>
  <w:num w:numId="41" w16cid:durableId="384724397">
    <w:abstractNumId w:val="44"/>
  </w:num>
  <w:num w:numId="42" w16cid:durableId="242765100">
    <w:abstractNumId w:val="40"/>
  </w:num>
  <w:num w:numId="43" w16cid:durableId="201329889">
    <w:abstractNumId w:val="6"/>
  </w:num>
  <w:num w:numId="44" w16cid:durableId="798689755">
    <w:abstractNumId w:val="49"/>
  </w:num>
  <w:num w:numId="45" w16cid:durableId="1659184764">
    <w:abstractNumId w:val="53"/>
  </w:num>
  <w:num w:numId="46" w16cid:durableId="1140423873">
    <w:abstractNumId w:val="35"/>
  </w:num>
  <w:num w:numId="47" w16cid:durableId="1977640615">
    <w:abstractNumId w:val="47"/>
  </w:num>
  <w:num w:numId="48" w16cid:durableId="1563099288">
    <w:abstractNumId w:val="42"/>
  </w:num>
  <w:num w:numId="49" w16cid:durableId="688071907">
    <w:abstractNumId w:val="26"/>
  </w:num>
  <w:num w:numId="50" w16cid:durableId="1112015585">
    <w:abstractNumId w:val="4"/>
  </w:num>
  <w:num w:numId="51" w16cid:durableId="368453980">
    <w:abstractNumId w:val="15"/>
  </w:num>
  <w:num w:numId="52" w16cid:durableId="297759994">
    <w:abstractNumId w:val="13"/>
  </w:num>
  <w:num w:numId="53" w16cid:durableId="1734696884">
    <w:abstractNumId w:val="16"/>
  </w:num>
  <w:num w:numId="54" w16cid:durableId="1402362247">
    <w:abstractNumId w:val="36"/>
  </w:num>
  <w:num w:numId="55" w16cid:durableId="1612277013">
    <w:abstractNumId w:val="32"/>
  </w:num>
  <w:num w:numId="56" w16cid:durableId="880938727">
    <w:abstractNumId w:val="32"/>
  </w:num>
  <w:num w:numId="57" w16cid:durableId="1474174826">
    <w:abstractNumId w:val="32"/>
  </w:num>
  <w:num w:numId="58" w16cid:durableId="1391536918">
    <w:abstractNumId w:val="34"/>
  </w:num>
  <w:num w:numId="59" w16cid:durableId="411709142">
    <w:abstractNumId w:val="34"/>
  </w:num>
  <w:num w:numId="60" w16cid:durableId="2121483411">
    <w:abstractNumId w:val="3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720"/>
  <w:hyphenationZone w:val="425"/>
  <w:characterSpacingControl w:val="doNotCompress"/>
  <w:hdrShapeDefaults>
    <o:shapedefaults v:ext="edit" spidmax="10241"/>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762901040547361971&quot;&gt;_x000d__x000a_  &lt;metadata key=&quot;md_DocumentLanguages&quot;&gt;_x000d__x000a_    &lt;basicdatatypelist&gt;_x000d__x000a_      &lt;language key=&quot;RO&quot; text=&quot;RO&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ACTE LEGISLATIVE &amp;#536;I ALTE INSTRUMENTE&quot; /&gt;_x000d__x000a_    &lt;/basicdatatype&gt;_x000d__x000a_  &lt;/metadata&gt;_x000d__x000a_  &lt;metadata key=&quot;md_HeadingText&quot;&gt;_x000d__x000a_    &lt;headingtext text=&quot;ACTE LEGISLATIVE &amp;#536;I ALTE INSTRUMENTE&quot;&gt;_x000d__x000a_      &lt;formattedtext&gt;_x000d__x000a_        &lt;xaml text=&quot;ACTE LEGISLATIVE &amp;#536;I ALTE INSTRUMENTE&quot;&gt;&amp;lt;FlowDocument xmlns=&quot;http://schemas.microsoft.com/winfx/2006/xaml/presentation&quot;&amp;gt;&amp;lt;Paragraph&amp;gt;ACTE LEGISLATIVE &amp;#536;I ALTE INSTRUMEN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xelles&quot; /&gt;_x000d__x000a_    &lt;/basicdatatype&gt;_x000d__x000a_  &lt;/metadata&gt;_x000d__x000a_  &lt;metadata key=&quot;md_DocumentDate&quot;&gt;_x000d__x000a_    &lt;text&gt;2026-02-17&lt;/text&gt;_x000d__x000a_  &lt;/metadata&gt;_x000d__x000a_  &lt;metadata key=&quot;md_Prefix&quot;&gt;_x000d__x000a_    &lt;text&gt;&lt;/text&gt;_x000d__x000a_  &lt;/metadata&gt;_x000d__x000a_  &lt;metadata key=&quot;md_DocumentNumber&quot;&gt;_x000d__x000a_    &lt;text&gt;14144&lt;/text&gt;_x000d__x000a_  &lt;/metadata&gt;_x000d__x000a_  &lt;metadata key=&quot;md_YearDocumentNumber&quot;&gt;_x000d__x000a_    &lt;text&gt;2025&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NV 1039&lt;/text&gt;_x000d__x000a_      &lt;text&gt;CLIMA 445&lt;/text&gt;_x000d__x000a_      &lt;text&gt;AGRI 499&lt;/text&gt;_x000d__x000a_      &lt;text&gt;FORETS 89&lt;/text&gt;_x000d__x000a_      &lt;text&gt;ENER 534&lt;/text&gt;_x000d__x000a_      &lt;text&gt;TRANS 474&lt;/text&gt;_x000d__x000a_      &lt;text&gt;CODEC 1560&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2/0344(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zi&amp;#539;ie în prim&amp;#259; lectur&amp;#259; a Consiliului în vederea adopt&amp;#259;rii DIRECTIVEI PARLAMENTULUI EUROPEAN &amp;#536;I A CONSILIULUI de modificare a Directivei 2000/60/CE de stabilire a unui cadru de politic&amp;#259; comunitar&amp;#259; în domeniul apei, a Directivei 2006/118/CE privind protec&amp;#539;ia apelor subterane împotriva polu&amp;#259;rii &amp;#537;i a deterior&amp;#259;rii &amp;#537;i a Directivei 2008/105/CE privind standardele de calitate a mediului în domeniul apei - Adoptat&amp;#259; de Consiliu la 17 februarie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ro-ro&quot; xml:space=&quot;preserve&quot;&amp;gt;Pozi&amp;#539;ie în prim&amp;#259; lectur&amp;#259; a Consiliului în vederea adopt&amp;#259;rii &amp;lt;/Run&amp;gt;DIRECTIV&amp;lt;Run xml:lang=&quot;ro-ro&quot; xml:space=&quot;preserve&quot;&amp;gt;EI &amp;lt;/Run&amp;gt;PARLAMENTULUI EUROPEAN &amp;#536;I A CONSILIULUI&amp;lt;Run xml:lang=&quot;ro-ro&quot; xml:space=&quot;preserve&quot;&amp;gt; de modificare a Directivei 2000/60/CE de stabilire a unui cadru de politic&amp;#259; comunitar&amp;#259; în domeniul apei, a Directivei 2006/118/CE privind protec&amp;#539;ia apelor subterane împotriva polu&amp;#259;rii &amp;#537;i a deterior&amp;#259;rii &amp;#537;i a Directivei 2008/105/CE privind standardele de calitate a mediului în domeniul apei&amp;lt;/Run&amp;gt;&amp;lt;LineBreak /&amp;gt;&amp;lt;Run xml:lang=&quot;ro-ro&quot;&amp;gt;- Adoptat&amp;#259; de Consiliu la 17 februarie 2026&amp;lt;/Run&amp;gt;&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Arial Unicode MS&quot; FontSize=&quot;1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LEGACTS"/>
    <w:docVar w:name="DW_TechnicalBlockHash" w:val="399b8979de61ec99a9e34cb7fe0995b431064d5e94ede62001777e82cda03d2d"/>
    <w:docVar w:name="EPKit_DocumentHasBeenSaved" w:val="true"/>
  </w:docVars>
  <w:rsids>
    <w:rsidRoot w:val="001D2FF1"/>
    <w:rsid w:val="0000629F"/>
    <w:rsid w:val="00072467"/>
    <w:rsid w:val="000C5C3D"/>
    <w:rsid w:val="0010098C"/>
    <w:rsid w:val="001D2FF1"/>
    <w:rsid w:val="001E08BE"/>
    <w:rsid w:val="00245855"/>
    <w:rsid w:val="00275CA3"/>
    <w:rsid w:val="002D187E"/>
    <w:rsid w:val="002E245B"/>
    <w:rsid w:val="00334087"/>
    <w:rsid w:val="0038041B"/>
    <w:rsid w:val="00386139"/>
    <w:rsid w:val="003935A6"/>
    <w:rsid w:val="0039432B"/>
    <w:rsid w:val="004527F2"/>
    <w:rsid w:val="004610C5"/>
    <w:rsid w:val="0046785F"/>
    <w:rsid w:val="00484F04"/>
    <w:rsid w:val="005C3F8F"/>
    <w:rsid w:val="005C480A"/>
    <w:rsid w:val="005D5321"/>
    <w:rsid w:val="00647D0C"/>
    <w:rsid w:val="007F7383"/>
    <w:rsid w:val="008300FB"/>
    <w:rsid w:val="00851F9F"/>
    <w:rsid w:val="008B4C44"/>
    <w:rsid w:val="008B5883"/>
    <w:rsid w:val="00930E9C"/>
    <w:rsid w:val="009B37F7"/>
    <w:rsid w:val="009D708A"/>
    <w:rsid w:val="00A14C37"/>
    <w:rsid w:val="00A22788"/>
    <w:rsid w:val="00A61195"/>
    <w:rsid w:val="00B35CF3"/>
    <w:rsid w:val="00BB1852"/>
    <w:rsid w:val="00BE2C8A"/>
    <w:rsid w:val="00BF0F87"/>
    <w:rsid w:val="00C72FC1"/>
    <w:rsid w:val="00D10615"/>
    <w:rsid w:val="00D3772B"/>
    <w:rsid w:val="00E152CE"/>
    <w:rsid w:val="00F470FA"/>
    <w:rsid w:val="00F61F4F"/>
    <w:rsid w:val="00F73B73"/>
    <w:rsid w:val="00F93549"/>
    <w:rsid w:val="00FB39B0"/>
    <w:rsid w:val="00FB3B1C"/>
    <w:rsid w:val="00FC0E3F"/>
    <w:rsid w:val="00FD79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6C9F386"/>
  <w15:chartTrackingRefBased/>
  <w15:docId w15:val="{9C8B9BB7-8793-4DBE-B2F4-AED2F0798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ro-RO"/>
    </w:rPr>
  </w:style>
  <w:style w:type="paragraph" w:styleId="Heading1">
    <w:name w:val="heading 1"/>
    <w:basedOn w:val="Normal"/>
    <w:next w:val="Text1"/>
    <w:link w:val="Heading1Char"/>
    <w:qFormat/>
    <w:rsid w:val="00245855"/>
    <w:pPr>
      <w:keepNext/>
      <w:numPr>
        <w:numId w:val="11"/>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unhideWhenUsed/>
    <w:qFormat/>
    <w:rsid w:val="00245855"/>
    <w:pPr>
      <w:keepNext/>
      <w:numPr>
        <w:ilvl w:val="1"/>
        <w:numId w:val="11"/>
      </w:numPr>
      <w:tabs>
        <w:tab w:val="left" w:pos="850"/>
      </w:tabs>
      <w:outlineLvl w:val="1"/>
    </w:pPr>
    <w:rPr>
      <w:rFonts w:eastAsiaTheme="majorEastAsia"/>
      <w:b/>
      <w:szCs w:val="26"/>
    </w:rPr>
  </w:style>
  <w:style w:type="paragraph" w:styleId="Heading3">
    <w:name w:val="heading 3"/>
    <w:basedOn w:val="Normal"/>
    <w:next w:val="Text1"/>
    <w:link w:val="Heading3Char"/>
    <w:uiPriority w:val="1"/>
    <w:unhideWhenUsed/>
    <w:qFormat/>
    <w:rsid w:val="00245855"/>
    <w:pPr>
      <w:keepNext/>
      <w:numPr>
        <w:ilvl w:val="2"/>
        <w:numId w:val="11"/>
      </w:numPr>
      <w:tabs>
        <w:tab w:val="left" w:pos="850"/>
      </w:tabs>
      <w:outlineLvl w:val="2"/>
    </w:pPr>
    <w:rPr>
      <w:rFonts w:eastAsiaTheme="majorEastAsia"/>
      <w:i/>
      <w:szCs w:val="24"/>
    </w:rPr>
  </w:style>
  <w:style w:type="paragraph" w:styleId="Heading4">
    <w:name w:val="heading 4"/>
    <w:basedOn w:val="Normal"/>
    <w:next w:val="Text1"/>
    <w:link w:val="Heading4Char"/>
    <w:uiPriority w:val="9"/>
    <w:unhideWhenUsed/>
    <w:qFormat/>
    <w:rsid w:val="00245855"/>
    <w:pPr>
      <w:keepNext/>
      <w:numPr>
        <w:ilvl w:val="3"/>
        <w:numId w:val="11"/>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11"/>
      </w:numPr>
      <w:tabs>
        <w:tab w:val="left" w:pos="850"/>
      </w:tabs>
      <w:outlineLvl w:val="4"/>
    </w:pPr>
    <w:rPr>
      <w:rFonts w:eastAsiaTheme="majorEastAsia"/>
    </w:rPr>
  </w:style>
  <w:style w:type="paragraph" w:styleId="Heading6">
    <w:name w:val="heading 6"/>
    <w:basedOn w:val="Normal"/>
    <w:next w:val="Text1"/>
    <w:link w:val="Heading6Char"/>
    <w:semiHidden/>
    <w:unhideWhenUsed/>
    <w:qFormat/>
    <w:rsid w:val="00245855"/>
    <w:pPr>
      <w:keepNext/>
      <w:numPr>
        <w:ilvl w:val="5"/>
        <w:numId w:val="11"/>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11"/>
      </w:numPr>
      <w:tabs>
        <w:tab w:val="left" w:pos="850"/>
      </w:tabs>
      <w:outlineLvl w:val="6"/>
    </w:pPr>
    <w:rPr>
      <w:rFonts w:eastAsiaTheme="majorEastAsia"/>
      <w:iCs/>
    </w:rPr>
  </w:style>
  <w:style w:type="paragraph" w:styleId="Heading8">
    <w:name w:val="heading 8"/>
    <w:basedOn w:val="Normal"/>
    <w:next w:val="Normal"/>
    <w:link w:val="Heading8Char"/>
    <w:uiPriority w:val="9"/>
    <w:unhideWhenUsed/>
    <w:qFormat/>
    <w:rsid w:val="00647D0C"/>
    <w:pPr>
      <w:keepNext/>
      <w:keepLines/>
      <w:outlineLvl w:val="7"/>
    </w:pPr>
    <w:rPr>
      <w:rFonts w:asciiTheme="minorHAnsi" w:eastAsiaTheme="majorEastAsia" w:hAnsiTheme="minorHAnsi" w:cstheme="majorBidi"/>
      <w:i/>
      <w:iCs/>
      <w:color w:val="272727" w:themeColor="text1" w:themeTint="D8"/>
      <w:lang w:eastAsia="ro-RO" w:bidi="ro-RO"/>
    </w:rPr>
  </w:style>
  <w:style w:type="paragraph" w:styleId="Heading9">
    <w:name w:val="heading 9"/>
    <w:basedOn w:val="Normal"/>
    <w:next w:val="Normal"/>
    <w:link w:val="Heading9Char"/>
    <w:uiPriority w:val="9"/>
    <w:unhideWhenUsed/>
    <w:qFormat/>
    <w:rsid w:val="00647D0C"/>
    <w:pPr>
      <w:keepNext/>
      <w:keepLines/>
      <w:outlineLvl w:val="8"/>
    </w:pPr>
    <w:rPr>
      <w:rFonts w:asciiTheme="minorHAnsi" w:eastAsiaTheme="majorEastAsia" w:hAnsiTheme="minorHAnsi" w:cstheme="majorBidi"/>
      <w:color w:val="272727" w:themeColor="text1" w:themeTint="D8"/>
      <w:lang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rsid w:val="00245855"/>
    <w:rPr>
      <w:rFonts w:ascii="Times New Roman" w:eastAsiaTheme="majorEastAsia" w:hAnsi="Times New Roman" w:cs="Times New Roman"/>
      <w:b/>
      <w:smallCaps/>
      <w:sz w:val="24"/>
      <w:szCs w:val="32"/>
      <w:bdr w:val="none" w:sz="0" w:space="0" w:color="auto"/>
      <w:shd w:val="clear" w:color="auto" w:fill="auto"/>
      <w:lang w:val="en-GB"/>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bdr w:val="none" w:sz="0" w:space="0" w:color="auto"/>
      <w:shd w:val="clear" w:color="auto" w:fill="auto"/>
      <w:lang w:val="en-GB"/>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bdr w:val="none" w:sz="0" w:space="0" w:color="auto"/>
      <w:shd w:val="clear" w:color="auto" w:fill="auto"/>
      <w:lang w:val="en-GB"/>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6Char">
    <w:name w:val="Heading 6 Char"/>
    <w:basedOn w:val="DefaultParagraphFont"/>
    <w:link w:val="Heading6"/>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245855"/>
    <w:rPr>
      <w:b/>
      <w:bdr w:val="none" w:sz="0" w:space="0" w:color="auto"/>
      <w:shd w:val="clear" w:color="auto" w:fill="auto"/>
      <w:vertAlign w:val="superscript"/>
    </w:rPr>
  </w:style>
  <w:style w:type="paragraph" w:customStyle="1" w:styleId="HeaderCouncil">
    <w:name w:val="Header Council"/>
    <w:basedOn w:val="Normal"/>
    <w:link w:val="HeaderCouncilChar"/>
    <w:rsid w:val="00245855"/>
    <w:pPr>
      <w:spacing w:before="0" w:after="0" w:line="240" w:lineRule="auto"/>
    </w:pPr>
    <w:rPr>
      <w:sz w:val="2"/>
    </w:rPr>
  </w:style>
  <w:style w:type="paragraph" w:customStyle="1" w:styleId="FooterCouncil">
    <w:name w:val="Footer Council"/>
    <w:basedOn w:val="Normal"/>
    <w:link w:val="FooterCouncilChar"/>
    <w:rsid w:val="00245855"/>
    <w:pPr>
      <w:spacing w:before="0" w:after="0" w:line="240" w:lineRule="auto"/>
    </w:pPr>
    <w:rPr>
      <w:sz w:val="2"/>
    </w:rPr>
  </w:style>
  <w:style w:type="paragraph" w:customStyle="1" w:styleId="TechnicalBlock">
    <w:name w:val="Technical Block"/>
    <w:basedOn w:val="Normal"/>
    <w:next w:val="Normal"/>
    <w:link w:val="TechnicalBlockChar"/>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1"/>
      </w:numPr>
    </w:pPr>
  </w:style>
  <w:style w:type="paragraph" w:customStyle="1" w:styleId="Tiret1">
    <w:name w:val="Tiret 1"/>
    <w:basedOn w:val="Normal"/>
    <w:rsid w:val="00245855"/>
    <w:pPr>
      <w:numPr>
        <w:numId w:val="2"/>
      </w:numPr>
    </w:pPr>
  </w:style>
  <w:style w:type="paragraph" w:customStyle="1" w:styleId="Tiret2">
    <w:name w:val="Tiret 2"/>
    <w:basedOn w:val="Normal"/>
    <w:rsid w:val="00245855"/>
    <w:pPr>
      <w:numPr>
        <w:numId w:val="3"/>
      </w:numPr>
    </w:pPr>
  </w:style>
  <w:style w:type="paragraph" w:customStyle="1" w:styleId="Tiret3">
    <w:name w:val="Tiret 3"/>
    <w:basedOn w:val="Normal"/>
    <w:rsid w:val="00245855"/>
    <w:pPr>
      <w:numPr>
        <w:numId w:val="4"/>
      </w:numPr>
    </w:pPr>
  </w:style>
  <w:style w:type="paragraph" w:customStyle="1" w:styleId="Tiret4">
    <w:name w:val="Tiret 4"/>
    <w:basedOn w:val="Normal"/>
    <w:rsid w:val="00245855"/>
    <w:pPr>
      <w:numPr>
        <w:numId w:val="5"/>
      </w:numPr>
    </w:pPr>
  </w:style>
  <w:style w:type="paragraph" w:customStyle="1" w:styleId="Tiret5">
    <w:name w:val="Tiret 5"/>
    <w:basedOn w:val="Normal"/>
    <w:rsid w:val="00245855"/>
    <w:pPr>
      <w:numPr>
        <w:numId w:val="6"/>
      </w:numPr>
    </w:pPr>
  </w:style>
  <w:style w:type="paragraph" w:customStyle="1" w:styleId="Tiret6">
    <w:name w:val="Tiret 6"/>
    <w:basedOn w:val="Normal"/>
    <w:rsid w:val="00245855"/>
    <w:pPr>
      <w:numPr>
        <w:numId w:val="7"/>
      </w:numPr>
    </w:pPr>
  </w:style>
  <w:style w:type="paragraph" w:customStyle="1" w:styleId="Tiret7">
    <w:name w:val="Tiret 7"/>
    <w:basedOn w:val="Normal"/>
    <w:rsid w:val="00245855"/>
    <w:pPr>
      <w:numPr>
        <w:numId w:val="8"/>
      </w:numPr>
    </w:pPr>
  </w:style>
  <w:style w:type="paragraph" w:customStyle="1" w:styleId="Tiret8">
    <w:name w:val="Tiret 8"/>
    <w:basedOn w:val="Normal"/>
    <w:rsid w:val="00245855"/>
    <w:pPr>
      <w:numPr>
        <w:numId w:val="9"/>
      </w:numPr>
    </w:pPr>
  </w:style>
  <w:style w:type="paragraph" w:customStyle="1" w:styleId="NumPar1">
    <w:name w:val="NumPar 1"/>
    <w:basedOn w:val="Normal"/>
    <w:next w:val="Text1"/>
    <w:rsid w:val="00245855"/>
    <w:pPr>
      <w:numPr>
        <w:numId w:val="10"/>
      </w:numPr>
      <w:tabs>
        <w:tab w:val="left" w:pos="850"/>
      </w:tabs>
    </w:pPr>
  </w:style>
  <w:style w:type="paragraph" w:customStyle="1" w:styleId="NumPar2">
    <w:name w:val="NumPar 2"/>
    <w:basedOn w:val="Normal"/>
    <w:next w:val="Text1"/>
    <w:rsid w:val="00245855"/>
    <w:pPr>
      <w:numPr>
        <w:ilvl w:val="1"/>
        <w:numId w:val="10"/>
      </w:numPr>
      <w:tabs>
        <w:tab w:val="left" w:pos="850"/>
      </w:tabs>
    </w:pPr>
  </w:style>
  <w:style w:type="paragraph" w:customStyle="1" w:styleId="NumPar3">
    <w:name w:val="NumPar 3"/>
    <w:basedOn w:val="Normal"/>
    <w:next w:val="Text1"/>
    <w:rsid w:val="00245855"/>
    <w:pPr>
      <w:numPr>
        <w:ilvl w:val="2"/>
        <w:numId w:val="10"/>
      </w:numPr>
      <w:tabs>
        <w:tab w:val="left" w:pos="850"/>
      </w:tabs>
    </w:pPr>
  </w:style>
  <w:style w:type="paragraph" w:customStyle="1" w:styleId="NumPar4">
    <w:name w:val="NumPar 4"/>
    <w:basedOn w:val="Normal"/>
    <w:next w:val="Text1"/>
    <w:rsid w:val="00245855"/>
    <w:pPr>
      <w:numPr>
        <w:ilvl w:val="3"/>
        <w:numId w:val="10"/>
      </w:numPr>
      <w:tabs>
        <w:tab w:val="left" w:pos="850"/>
      </w:tabs>
    </w:pPr>
  </w:style>
  <w:style w:type="paragraph" w:customStyle="1" w:styleId="NumPar5">
    <w:name w:val="NumPar 5"/>
    <w:basedOn w:val="Normal"/>
    <w:next w:val="Text2"/>
    <w:rsid w:val="00245855"/>
    <w:pPr>
      <w:numPr>
        <w:ilvl w:val="4"/>
        <w:numId w:val="10"/>
      </w:numPr>
      <w:tabs>
        <w:tab w:val="left" w:pos="1417"/>
      </w:tabs>
    </w:pPr>
  </w:style>
  <w:style w:type="paragraph" w:customStyle="1" w:styleId="NumPar6">
    <w:name w:val="NumPar 6"/>
    <w:basedOn w:val="Normal"/>
    <w:next w:val="Text2"/>
    <w:rsid w:val="00245855"/>
    <w:pPr>
      <w:numPr>
        <w:ilvl w:val="5"/>
        <w:numId w:val="10"/>
      </w:numPr>
      <w:tabs>
        <w:tab w:val="left" w:pos="1417"/>
      </w:tabs>
    </w:pPr>
  </w:style>
  <w:style w:type="paragraph" w:customStyle="1" w:styleId="NumPar7">
    <w:name w:val="NumPar 7"/>
    <w:basedOn w:val="Normal"/>
    <w:next w:val="Text2"/>
    <w:rsid w:val="00245855"/>
    <w:pPr>
      <w:numPr>
        <w:ilvl w:val="6"/>
        <w:numId w:val="10"/>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12"/>
      </w:numPr>
    </w:pPr>
  </w:style>
  <w:style w:type="paragraph" w:customStyle="1" w:styleId="Point1number">
    <w:name w:val="Point 1 (number)"/>
    <w:basedOn w:val="Normal"/>
    <w:rsid w:val="00245855"/>
    <w:pPr>
      <w:numPr>
        <w:ilvl w:val="2"/>
        <w:numId w:val="12"/>
      </w:numPr>
    </w:pPr>
  </w:style>
  <w:style w:type="paragraph" w:customStyle="1" w:styleId="Point2number">
    <w:name w:val="Point 2 (number)"/>
    <w:basedOn w:val="Normal"/>
    <w:rsid w:val="00245855"/>
    <w:pPr>
      <w:numPr>
        <w:ilvl w:val="4"/>
        <w:numId w:val="12"/>
      </w:numPr>
    </w:pPr>
  </w:style>
  <w:style w:type="paragraph" w:customStyle="1" w:styleId="Point3number">
    <w:name w:val="Point 3 (number)"/>
    <w:basedOn w:val="Normal"/>
    <w:rsid w:val="00245855"/>
    <w:pPr>
      <w:numPr>
        <w:ilvl w:val="6"/>
        <w:numId w:val="12"/>
      </w:numPr>
    </w:pPr>
  </w:style>
  <w:style w:type="paragraph" w:customStyle="1" w:styleId="Point0letter">
    <w:name w:val="Point 0 (letter)"/>
    <w:basedOn w:val="Normal"/>
    <w:rsid w:val="00245855"/>
    <w:pPr>
      <w:numPr>
        <w:ilvl w:val="1"/>
        <w:numId w:val="12"/>
      </w:numPr>
    </w:pPr>
  </w:style>
  <w:style w:type="paragraph" w:customStyle="1" w:styleId="Point1letter">
    <w:name w:val="Point 1 (letter)"/>
    <w:basedOn w:val="Normal"/>
    <w:rsid w:val="00245855"/>
    <w:pPr>
      <w:numPr>
        <w:ilvl w:val="3"/>
        <w:numId w:val="12"/>
      </w:numPr>
    </w:pPr>
  </w:style>
  <w:style w:type="paragraph" w:customStyle="1" w:styleId="Point2letter">
    <w:name w:val="Point 2 (letter)"/>
    <w:basedOn w:val="Normal"/>
    <w:rsid w:val="00245855"/>
    <w:pPr>
      <w:numPr>
        <w:ilvl w:val="5"/>
        <w:numId w:val="12"/>
      </w:numPr>
    </w:pPr>
  </w:style>
  <w:style w:type="paragraph" w:customStyle="1" w:styleId="Point3letter">
    <w:name w:val="Point 3 (letter)"/>
    <w:basedOn w:val="Normal"/>
    <w:rsid w:val="00245855"/>
    <w:pPr>
      <w:numPr>
        <w:ilvl w:val="7"/>
        <w:numId w:val="12"/>
      </w:numPr>
    </w:pPr>
  </w:style>
  <w:style w:type="paragraph" w:customStyle="1" w:styleId="Point4letter">
    <w:name w:val="Point 4 (letter)"/>
    <w:basedOn w:val="Normal"/>
    <w:rsid w:val="00245855"/>
    <w:pPr>
      <w:numPr>
        <w:ilvl w:val="8"/>
        <w:numId w:val="12"/>
      </w:numPr>
    </w:pPr>
  </w:style>
  <w:style w:type="paragraph" w:customStyle="1" w:styleId="Bullet0">
    <w:name w:val="Bullet 0"/>
    <w:basedOn w:val="Normal"/>
    <w:rsid w:val="00245855"/>
    <w:pPr>
      <w:numPr>
        <w:numId w:val="13"/>
      </w:numPr>
    </w:pPr>
  </w:style>
  <w:style w:type="paragraph" w:customStyle="1" w:styleId="Bullet1">
    <w:name w:val="Bullet 1"/>
    <w:basedOn w:val="Normal"/>
    <w:rsid w:val="00245855"/>
    <w:pPr>
      <w:numPr>
        <w:numId w:val="14"/>
      </w:numPr>
    </w:pPr>
  </w:style>
  <w:style w:type="paragraph" w:customStyle="1" w:styleId="Bullet2">
    <w:name w:val="Bullet 2"/>
    <w:basedOn w:val="Normal"/>
    <w:rsid w:val="00245855"/>
    <w:pPr>
      <w:numPr>
        <w:numId w:val="15"/>
      </w:numPr>
    </w:pPr>
  </w:style>
  <w:style w:type="paragraph" w:customStyle="1" w:styleId="Bullet3">
    <w:name w:val="Bullet 3"/>
    <w:basedOn w:val="Normal"/>
    <w:rsid w:val="00245855"/>
    <w:pPr>
      <w:numPr>
        <w:numId w:val="16"/>
      </w:numPr>
    </w:pPr>
  </w:style>
  <w:style w:type="paragraph" w:customStyle="1" w:styleId="Bullet4">
    <w:name w:val="Bullet 4"/>
    <w:basedOn w:val="Normal"/>
    <w:rsid w:val="00245855"/>
    <w:pPr>
      <w:numPr>
        <w:numId w:val="17"/>
      </w:numPr>
    </w:pPr>
  </w:style>
  <w:style w:type="paragraph" w:customStyle="1" w:styleId="Bullet5">
    <w:name w:val="Bullet 5"/>
    <w:basedOn w:val="Normal"/>
    <w:rsid w:val="00245855"/>
    <w:pPr>
      <w:numPr>
        <w:numId w:val="18"/>
      </w:numPr>
    </w:pPr>
  </w:style>
  <w:style w:type="paragraph" w:customStyle="1" w:styleId="Bullet6">
    <w:name w:val="Bullet 6"/>
    <w:basedOn w:val="Normal"/>
    <w:rsid w:val="00245855"/>
    <w:pPr>
      <w:numPr>
        <w:numId w:val="19"/>
      </w:numPr>
    </w:pPr>
  </w:style>
  <w:style w:type="paragraph" w:customStyle="1" w:styleId="Bullet7">
    <w:name w:val="Bullet 7"/>
    <w:basedOn w:val="Normal"/>
    <w:rsid w:val="00245855"/>
    <w:pPr>
      <w:numPr>
        <w:numId w:val="20"/>
      </w:numPr>
    </w:pPr>
  </w:style>
  <w:style w:type="paragraph" w:customStyle="1" w:styleId="Bullet8">
    <w:name w:val="Bullet 8"/>
    <w:basedOn w:val="Normal"/>
    <w:rsid w:val="00245855"/>
    <w:pPr>
      <w:numPr>
        <w:numId w:val="21"/>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22"/>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 w:type="paragraph" w:customStyle="1" w:styleId="TBEntInstit">
    <w:name w:val="TBEntInstit"/>
    <w:basedOn w:val="TechnicalBlockBase"/>
    <w:link w:val="EntInstitChar"/>
    <w:rsid w:val="00B35CF3"/>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B35CF3"/>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B35CF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B35CF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B35CF3"/>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B35CF3"/>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B35CF3"/>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B35CF3"/>
    <w:rPr>
      <w:rFonts w:ascii="Arial" w:eastAsia="Times New Roman" w:hAnsi="Arial" w:cs="Arial"/>
      <w:b/>
      <w:sz w:val="23"/>
      <w:szCs w:val="20"/>
      <w:u w:color="606060"/>
      <w:lang w:val="ro-RO" w:eastAsia="fr-BE"/>
    </w:rPr>
  </w:style>
  <w:style w:type="paragraph" w:customStyle="1" w:styleId="TBSubjectTable">
    <w:name w:val="TBSubjectTable"/>
    <w:basedOn w:val="TechnicalBlockBase"/>
    <w:rsid w:val="00B35CF3"/>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B35CF3"/>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B35CF3"/>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B35CF3"/>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ro-RO" w:eastAsia="fr-BE"/>
    </w:rPr>
  </w:style>
  <w:style w:type="character" w:customStyle="1" w:styleId="TechnicalBlockBaseChar">
    <w:name w:val="TechnicalBlockBase Char"/>
    <w:basedOn w:val="EntInstitChar"/>
    <w:link w:val="TechnicalBlockBase"/>
    <w:rsid w:val="00B35CF3"/>
    <w:rPr>
      <w:rFonts w:ascii="Arial New Roman" w:eastAsia="Times New Roman" w:hAnsi="Arial New Roman" w:cs="Arial"/>
      <w:b/>
      <w:i/>
      <w:dstrike/>
      <w:color w:val="606060"/>
      <w:w w:val="98"/>
      <w:sz w:val="10"/>
      <w:szCs w:val="20"/>
      <w:u w:val="words" w:color="606060"/>
      <w:lang w:val="ro-RO" w:eastAsia="fr-BE"/>
    </w:rPr>
  </w:style>
  <w:style w:type="paragraph" w:styleId="ListBullet">
    <w:name w:val="List Bullet"/>
    <w:basedOn w:val="Normal"/>
    <w:uiPriority w:val="99"/>
    <w:rsid w:val="001D2FF1"/>
    <w:pPr>
      <w:numPr>
        <w:numId w:val="23"/>
      </w:numPr>
      <w:tabs>
        <w:tab w:val="clear" w:pos="283"/>
      </w:tabs>
      <w:spacing w:line="240" w:lineRule="auto"/>
      <w:jc w:val="both"/>
    </w:pPr>
    <w:rPr>
      <w:rFonts w:eastAsia="Times New Roman"/>
      <w:szCs w:val="24"/>
      <w:lang w:eastAsia="de-DE"/>
    </w:rPr>
  </w:style>
  <w:style w:type="paragraph" w:styleId="ListBullet4">
    <w:name w:val="List Bullet 4"/>
    <w:basedOn w:val="Normal"/>
    <w:uiPriority w:val="99"/>
    <w:rsid w:val="001D2FF1"/>
    <w:pPr>
      <w:numPr>
        <w:numId w:val="24"/>
      </w:numPr>
      <w:tabs>
        <w:tab w:val="clear" w:pos="1134"/>
      </w:tabs>
      <w:spacing w:line="240" w:lineRule="auto"/>
      <w:jc w:val="both"/>
    </w:pPr>
    <w:rPr>
      <w:rFonts w:eastAsia="Times New Roman"/>
      <w:szCs w:val="24"/>
      <w:lang w:eastAsia="de-DE"/>
    </w:rPr>
  </w:style>
  <w:style w:type="paragraph" w:customStyle="1" w:styleId="Langue">
    <w:name w:val="Langue"/>
    <w:basedOn w:val="Normal"/>
    <w:next w:val="Rfrenceinterne"/>
    <w:rsid w:val="001D2FF1"/>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1D2FF1"/>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1D2FF1"/>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1D2FF1"/>
    <w:rPr>
      <w:rFonts w:ascii="Arial" w:eastAsia="Times New Roman" w:hAnsi="Arial" w:cs="Arial"/>
      <w:b/>
      <w:i w:val="0"/>
      <w:dstrike/>
      <w:color w:val="606060"/>
      <w:w w:val="98"/>
      <w:sz w:val="23"/>
      <w:szCs w:val="23"/>
      <w:u w:val="words" w:color="606060"/>
      <w:lang w:val="ro-RO" w:eastAsia="fr-BE"/>
    </w:rPr>
  </w:style>
  <w:style w:type="character" w:customStyle="1" w:styleId="HeaderCouncilLargeChar">
    <w:name w:val="Header Council Large Char"/>
    <w:basedOn w:val="TBNormalTechnicalBlockChar"/>
    <w:link w:val="HeaderCouncilLarge"/>
    <w:rsid w:val="001D2FF1"/>
    <w:rPr>
      <w:rFonts w:ascii="Times New Roman" w:eastAsia="Times New Roman" w:hAnsi="Times New Roman" w:cs="Times New Roman"/>
      <w:b/>
      <w:i w:val="0"/>
      <w:dstrike/>
      <w:color w:val="606060"/>
      <w:w w:val="98"/>
      <w:sz w:val="2"/>
      <w:szCs w:val="20"/>
      <w:u w:val="words" w:color="606060"/>
      <w:lang w:val="ro-RO" w:eastAsia="fr-BE"/>
    </w:rPr>
  </w:style>
  <w:style w:type="paragraph" w:customStyle="1" w:styleId="FooterText">
    <w:name w:val="Footer Text"/>
    <w:basedOn w:val="Normal"/>
    <w:rsid w:val="001D2FF1"/>
    <w:pPr>
      <w:spacing w:before="0" w:after="0" w:line="240" w:lineRule="auto"/>
    </w:pPr>
    <w:rPr>
      <w:rFonts w:eastAsia="Times New Roman"/>
      <w:szCs w:val="24"/>
      <w:lang w:val="en-GB"/>
    </w:rPr>
  </w:style>
  <w:style w:type="character" w:styleId="PlaceholderText">
    <w:name w:val="Placeholder Text"/>
    <w:basedOn w:val="DefaultParagraphFont"/>
    <w:uiPriority w:val="99"/>
    <w:semiHidden/>
    <w:rsid w:val="001D2FF1"/>
    <w:rPr>
      <w:color w:val="808080"/>
    </w:rPr>
  </w:style>
  <w:style w:type="character" w:customStyle="1" w:styleId="Heading8Char">
    <w:name w:val="Heading 8 Char"/>
    <w:basedOn w:val="DefaultParagraphFont"/>
    <w:link w:val="Heading8"/>
    <w:uiPriority w:val="9"/>
    <w:rsid w:val="00647D0C"/>
    <w:rPr>
      <w:rFonts w:eastAsiaTheme="majorEastAsia" w:cstheme="majorBidi"/>
      <w:i/>
      <w:iCs/>
      <w:color w:val="272727" w:themeColor="text1" w:themeTint="D8"/>
      <w:sz w:val="24"/>
      <w:lang w:val="ro-RO" w:eastAsia="ro-RO" w:bidi="ro-RO"/>
    </w:rPr>
  </w:style>
  <w:style w:type="character" w:customStyle="1" w:styleId="Heading9Char">
    <w:name w:val="Heading 9 Char"/>
    <w:basedOn w:val="DefaultParagraphFont"/>
    <w:link w:val="Heading9"/>
    <w:uiPriority w:val="9"/>
    <w:rsid w:val="00647D0C"/>
    <w:rPr>
      <w:rFonts w:eastAsiaTheme="majorEastAsia" w:cstheme="majorBidi"/>
      <w:color w:val="272727" w:themeColor="text1" w:themeTint="D8"/>
      <w:sz w:val="24"/>
      <w:lang w:val="ro-RO" w:eastAsia="ro-RO" w:bidi="ro-RO"/>
    </w:rPr>
  </w:style>
  <w:style w:type="paragraph" w:styleId="Title">
    <w:name w:val="Title"/>
    <w:basedOn w:val="Normal"/>
    <w:next w:val="Normal"/>
    <w:link w:val="TitleChar"/>
    <w:uiPriority w:val="10"/>
    <w:qFormat/>
    <w:rsid w:val="00647D0C"/>
    <w:pPr>
      <w:spacing w:after="80" w:line="240" w:lineRule="auto"/>
      <w:contextualSpacing/>
    </w:pPr>
    <w:rPr>
      <w:rFonts w:asciiTheme="majorHAnsi" w:eastAsiaTheme="majorEastAsia" w:hAnsiTheme="majorHAnsi" w:cstheme="majorBidi"/>
      <w:spacing w:val="-10"/>
      <w:kern w:val="28"/>
      <w:sz w:val="56"/>
      <w:szCs w:val="56"/>
      <w:lang w:eastAsia="ro-RO" w:bidi="ro-RO"/>
    </w:rPr>
  </w:style>
  <w:style w:type="character" w:customStyle="1" w:styleId="TitleChar">
    <w:name w:val="Title Char"/>
    <w:basedOn w:val="DefaultParagraphFont"/>
    <w:link w:val="Title"/>
    <w:uiPriority w:val="10"/>
    <w:rsid w:val="00647D0C"/>
    <w:rPr>
      <w:rFonts w:asciiTheme="majorHAnsi" w:eastAsiaTheme="majorEastAsia" w:hAnsiTheme="majorHAnsi" w:cstheme="majorBidi"/>
      <w:spacing w:val="-10"/>
      <w:kern w:val="28"/>
      <w:sz w:val="56"/>
      <w:szCs w:val="56"/>
      <w:lang w:val="ro-RO" w:eastAsia="ro-RO" w:bidi="ro-RO"/>
    </w:rPr>
  </w:style>
  <w:style w:type="paragraph" w:styleId="Subtitle">
    <w:name w:val="Subtitle"/>
    <w:basedOn w:val="Normal"/>
    <w:next w:val="Normal"/>
    <w:link w:val="SubtitleChar"/>
    <w:uiPriority w:val="11"/>
    <w:qFormat/>
    <w:rsid w:val="00647D0C"/>
    <w:pPr>
      <w:numPr>
        <w:ilvl w:val="1"/>
      </w:numPr>
      <w:spacing w:after="160"/>
    </w:pPr>
    <w:rPr>
      <w:rFonts w:asciiTheme="minorHAnsi" w:eastAsiaTheme="majorEastAsia" w:hAnsiTheme="minorHAnsi" w:cstheme="majorBidi"/>
      <w:color w:val="595959" w:themeColor="text1" w:themeTint="A6"/>
      <w:spacing w:val="15"/>
      <w:sz w:val="28"/>
      <w:szCs w:val="28"/>
      <w:lang w:eastAsia="ro-RO" w:bidi="ro-RO"/>
    </w:rPr>
  </w:style>
  <w:style w:type="character" w:customStyle="1" w:styleId="SubtitleChar">
    <w:name w:val="Subtitle Char"/>
    <w:basedOn w:val="DefaultParagraphFont"/>
    <w:link w:val="Subtitle"/>
    <w:uiPriority w:val="11"/>
    <w:rsid w:val="00647D0C"/>
    <w:rPr>
      <w:rFonts w:eastAsiaTheme="majorEastAsia" w:cstheme="majorBidi"/>
      <w:color w:val="595959" w:themeColor="text1" w:themeTint="A6"/>
      <w:spacing w:val="15"/>
      <w:sz w:val="28"/>
      <w:szCs w:val="28"/>
      <w:lang w:val="ro-RO" w:eastAsia="ro-RO" w:bidi="ro-RO"/>
    </w:rPr>
  </w:style>
  <w:style w:type="paragraph" w:styleId="Quote">
    <w:name w:val="Quote"/>
    <w:basedOn w:val="Normal"/>
    <w:next w:val="Normal"/>
    <w:link w:val="QuoteChar"/>
    <w:uiPriority w:val="29"/>
    <w:qFormat/>
    <w:rsid w:val="00647D0C"/>
    <w:pPr>
      <w:spacing w:before="160" w:after="160"/>
      <w:jc w:val="center"/>
    </w:pPr>
    <w:rPr>
      <w:i/>
      <w:iCs/>
      <w:color w:val="404040" w:themeColor="text1" w:themeTint="BF"/>
      <w:lang w:eastAsia="ro-RO" w:bidi="ro-RO"/>
    </w:rPr>
  </w:style>
  <w:style w:type="character" w:customStyle="1" w:styleId="QuoteChar">
    <w:name w:val="Quote Char"/>
    <w:basedOn w:val="DefaultParagraphFont"/>
    <w:link w:val="Quote"/>
    <w:uiPriority w:val="29"/>
    <w:rsid w:val="00647D0C"/>
    <w:rPr>
      <w:rFonts w:ascii="Times New Roman" w:hAnsi="Times New Roman" w:cs="Times New Roman"/>
      <w:i/>
      <w:iCs/>
      <w:color w:val="404040" w:themeColor="text1" w:themeTint="BF"/>
      <w:sz w:val="24"/>
      <w:lang w:val="ro-RO" w:eastAsia="ro-RO" w:bidi="ro-RO"/>
    </w:rPr>
  </w:style>
  <w:style w:type="paragraph" w:styleId="ListParagraph">
    <w:name w:val="List Paragraph"/>
    <w:basedOn w:val="Normal"/>
    <w:uiPriority w:val="34"/>
    <w:qFormat/>
    <w:rsid w:val="00647D0C"/>
    <w:pPr>
      <w:ind w:left="720"/>
      <w:contextualSpacing/>
    </w:pPr>
    <w:rPr>
      <w:lang w:eastAsia="ro-RO" w:bidi="ro-RO"/>
    </w:rPr>
  </w:style>
  <w:style w:type="character" w:styleId="IntenseEmphasis">
    <w:name w:val="Intense Emphasis"/>
    <w:basedOn w:val="DefaultParagraphFont"/>
    <w:uiPriority w:val="21"/>
    <w:qFormat/>
    <w:rsid w:val="00647D0C"/>
    <w:rPr>
      <w:i/>
      <w:iCs/>
      <w:color w:val="2F5496" w:themeColor="accent1" w:themeShade="BF"/>
    </w:rPr>
  </w:style>
  <w:style w:type="paragraph" w:styleId="IntenseQuote">
    <w:name w:val="Intense Quote"/>
    <w:basedOn w:val="Normal"/>
    <w:next w:val="Normal"/>
    <w:link w:val="IntenseQuoteChar"/>
    <w:uiPriority w:val="30"/>
    <w:qFormat/>
    <w:rsid w:val="00647D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eastAsia="ro-RO" w:bidi="ro-RO"/>
    </w:rPr>
  </w:style>
  <w:style w:type="character" w:customStyle="1" w:styleId="IntenseQuoteChar">
    <w:name w:val="Intense Quote Char"/>
    <w:basedOn w:val="DefaultParagraphFont"/>
    <w:link w:val="IntenseQuote"/>
    <w:uiPriority w:val="30"/>
    <w:rsid w:val="00647D0C"/>
    <w:rPr>
      <w:rFonts w:ascii="Times New Roman" w:hAnsi="Times New Roman" w:cs="Times New Roman"/>
      <w:i/>
      <w:iCs/>
      <w:color w:val="2F5496" w:themeColor="accent1" w:themeShade="BF"/>
      <w:sz w:val="24"/>
      <w:lang w:val="ro-RO" w:eastAsia="ro-RO" w:bidi="ro-RO"/>
    </w:rPr>
  </w:style>
  <w:style w:type="character" w:styleId="IntenseReference">
    <w:name w:val="Intense Reference"/>
    <w:basedOn w:val="DefaultParagraphFont"/>
    <w:uiPriority w:val="32"/>
    <w:qFormat/>
    <w:rsid w:val="00647D0C"/>
    <w:rPr>
      <w:b/>
      <w:bCs/>
      <w:smallCaps/>
      <w:color w:val="2F5496" w:themeColor="accent1" w:themeShade="BF"/>
      <w:spacing w:val="5"/>
    </w:rPr>
  </w:style>
  <w:style w:type="paragraph" w:styleId="NoSpacing">
    <w:name w:val="No Spacing"/>
    <w:uiPriority w:val="1"/>
    <w:qFormat/>
    <w:rsid w:val="00647D0C"/>
    <w:pPr>
      <w:spacing w:after="0" w:line="240" w:lineRule="auto"/>
    </w:pPr>
    <w:rPr>
      <w:rFonts w:ascii="Times New Roman" w:hAnsi="Times New Roman"/>
      <w:sz w:val="24"/>
      <w:lang w:val="en-GB"/>
    </w:rPr>
  </w:style>
  <w:style w:type="paragraph" w:customStyle="1" w:styleId="CommentQuotedText">
    <w:name w:val="CommentQuotedText"/>
    <w:rsid w:val="00647D0C"/>
    <w:pPr>
      <w:pBdr>
        <w:left w:val="single" w:sz="18" w:space="5" w:color="0070C0"/>
      </w:pBdr>
    </w:pPr>
    <w:rPr>
      <w:i/>
      <w:lang w:val="ro-RO" w:eastAsia="ro-RO" w:bidi="ro-RO"/>
    </w:rPr>
  </w:style>
  <w:style w:type="paragraph" w:customStyle="1" w:styleId="CommentFwdQuotedText">
    <w:name w:val="CommentFwdQuotedText"/>
    <w:basedOn w:val="Normal"/>
    <w:rsid w:val="00647D0C"/>
    <w:pPr>
      <w:pBdr>
        <w:top w:val="single" w:sz="4" w:space="1" w:color="auto"/>
        <w:left w:val="single" w:sz="4" w:space="0" w:color="auto"/>
        <w:bottom w:val="single" w:sz="4" w:space="1" w:color="auto"/>
        <w:right w:val="single" w:sz="4" w:space="0" w:color="auto"/>
      </w:pBdr>
      <w:ind w:left="113" w:right="284"/>
    </w:pPr>
    <w:rPr>
      <w:lang w:eastAsia="ro-RO" w:bidi="ro-RO"/>
    </w:rPr>
  </w:style>
  <w:style w:type="paragraph" w:customStyle="1" w:styleId="CommentReplyFwdQuotedText">
    <w:name w:val="CommentReplyFwdQuotedText"/>
    <w:basedOn w:val="CommentFwdQuotedText"/>
    <w:rsid w:val="00647D0C"/>
    <w:pPr>
      <w:pBdr>
        <w:top w:val="none" w:sz="0" w:space="0" w:color="auto"/>
        <w:left w:val="single" w:sz="4" w:space="20" w:color="auto"/>
      </w:pBdr>
    </w:pPr>
  </w:style>
  <w:style w:type="paragraph" w:customStyle="1" w:styleId="pj">
    <w:name w:val="p.j."/>
    <w:basedOn w:val="Normal"/>
    <w:link w:val="pjChar"/>
    <w:rsid w:val="00647D0C"/>
    <w:pPr>
      <w:spacing w:before="1200" w:line="240" w:lineRule="auto"/>
      <w:ind w:left="1440" w:hanging="1440"/>
    </w:pPr>
    <w:rPr>
      <w:lang w:eastAsia="ro-RO" w:bidi="ro-RO"/>
    </w:rPr>
  </w:style>
  <w:style w:type="character" w:customStyle="1" w:styleId="pjChar">
    <w:name w:val="p.j. Char"/>
    <w:basedOn w:val="DefaultParagraphFont"/>
    <w:link w:val="pj"/>
    <w:rsid w:val="00647D0C"/>
    <w:rPr>
      <w:rFonts w:ascii="Times New Roman" w:hAnsi="Times New Roman" w:cs="Times New Roman"/>
      <w:sz w:val="24"/>
      <w:lang w:val="ro-RO" w:eastAsia="ro-RO" w:bidi="ro-RO"/>
    </w:rPr>
  </w:style>
  <w:style w:type="paragraph" w:customStyle="1" w:styleId="nbbordered">
    <w:name w:val="nb bordered"/>
    <w:basedOn w:val="Normal"/>
    <w:link w:val="nbborderedChar"/>
    <w:rsid w:val="00647D0C"/>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b/>
      <w:lang w:eastAsia="ro-RO" w:bidi="ro-RO"/>
    </w:rPr>
  </w:style>
  <w:style w:type="character" w:customStyle="1" w:styleId="nbborderedChar">
    <w:name w:val="nb bordered Char"/>
    <w:basedOn w:val="DefaultParagraphFont"/>
    <w:link w:val="nbbordered"/>
    <w:rsid w:val="00647D0C"/>
    <w:rPr>
      <w:rFonts w:ascii="Times New Roman" w:hAnsi="Times New Roman" w:cs="Times New Roman"/>
      <w:b/>
      <w:sz w:val="24"/>
      <w:lang w:val="ro-RO" w:eastAsia="ro-RO" w:bidi="ro-RO"/>
    </w:rPr>
  </w:style>
  <w:style w:type="numbering" w:customStyle="1" w:styleId="NoList1">
    <w:name w:val="No List1"/>
    <w:next w:val="NoList"/>
    <w:uiPriority w:val="99"/>
    <w:semiHidden/>
    <w:unhideWhenUsed/>
    <w:rsid w:val="00647D0C"/>
  </w:style>
  <w:style w:type="table" w:styleId="TableGrid">
    <w:name w:val="Table Grid"/>
    <w:basedOn w:val="TableNormal"/>
    <w:uiPriority w:val="59"/>
    <w:rsid w:val="00647D0C"/>
    <w:pPr>
      <w:spacing w:after="0" w:line="240" w:lineRule="auto"/>
    </w:pPr>
    <w:rPr>
      <w:lang w:val="ro-RO" w:eastAsia="ro-RO"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647D0C"/>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pPr>
    <w:rPr>
      <w:rFonts w:ascii="Times New Roman" w:eastAsia="Times New Roman" w:hAnsi="Times New Roman" w:cs="Times New Roman"/>
      <w:sz w:val="20"/>
      <w:szCs w:val="20"/>
      <w:lang w:val="ro-RO" w:eastAsia="ro-RO" w:bidi="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647D0C"/>
  </w:style>
  <w:style w:type="character" w:styleId="CommentReference">
    <w:name w:val="annotation reference"/>
    <w:uiPriority w:val="99"/>
    <w:rsid w:val="00647D0C"/>
    <w:rPr>
      <w:rFonts w:cs="Times New Roman"/>
      <w:sz w:val="16"/>
      <w:szCs w:val="16"/>
    </w:rPr>
  </w:style>
  <w:style w:type="paragraph" w:styleId="CommentText">
    <w:name w:val="annotation text"/>
    <w:aliases w:val="Char2"/>
    <w:basedOn w:val="Normal"/>
    <w:link w:val="CommentTextChar"/>
    <w:uiPriority w:val="99"/>
    <w:qFormat/>
    <w:rsid w:val="00647D0C"/>
    <w:pPr>
      <w:spacing w:line="240" w:lineRule="auto"/>
      <w:jc w:val="both"/>
    </w:pPr>
    <w:rPr>
      <w:rFonts w:eastAsia="Times New Roman"/>
      <w:sz w:val="20"/>
      <w:szCs w:val="20"/>
      <w:lang w:eastAsia="ro-RO" w:bidi="ro-RO"/>
    </w:rPr>
  </w:style>
  <w:style w:type="character" w:customStyle="1" w:styleId="CommentTextChar">
    <w:name w:val="Comment Text Char"/>
    <w:aliases w:val="Char2 Char"/>
    <w:basedOn w:val="DefaultParagraphFont"/>
    <w:link w:val="CommentText"/>
    <w:uiPriority w:val="99"/>
    <w:rsid w:val="00647D0C"/>
    <w:rPr>
      <w:rFonts w:ascii="Times New Roman" w:eastAsia="Times New Roman" w:hAnsi="Times New Roman" w:cs="Times New Roman"/>
      <w:sz w:val="20"/>
      <w:szCs w:val="20"/>
      <w:lang w:val="ro-RO" w:eastAsia="ro-RO" w:bidi="ro-RO"/>
    </w:rPr>
  </w:style>
  <w:style w:type="paragraph" w:customStyle="1" w:styleId="CommentSubject1">
    <w:name w:val="Comment Subject1"/>
    <w:basedOn w:val="CommentText"/>
    <w:next w:val="CommentText"/>
    <w:uiPriority w:val="99"/>
    <w:unhideWhenUsed/>
    <w:rsid w:val="00647D0C"/>
    <w:rPr>
      <w:rFonts w:eastAsia="Calibri"/>
      <w:b/>
      <w:bCs/>
    </w:rPr>
  </w:style>
  <w:style w:type="character" w:customStyle="1" w:styleId="CommentSubjectChar">
    <w:name w:val="Comment Subject Char"/>
    <w:basedOn w:val="CommentTextChar"/>
    <w:link w:val="CommentSubject"/>
    <w:uiPriority w:val="99"/>
    <w:semiHidden/>
    <w:rsid w:val="00647D0C"/>
    <w:rPr>
      <w:rFonts w:ascii="Times New Roman" w:eastAsia="Times New Roman" w:hAnsi="Times New Roman" w:cs="Times New Roman"/>
      <w:b/>
      <w:bCs/>
      <w:sz w:val="20"/>
      <w:szCs w:val="20"/>
      <w:lang w:val="ro-RO" w:eastAsia="ro-RO" w:bidi="ro-RO"/>
    </w:rPr>
  </w:style>
  <w:style w:type="paragraph" w:styleId="Revision">
    <w:name w:val="Revision"/>
    <w:hidden/>
    <w:uiPriority w:val="99"/>
    <w:semiHidden/>
    <w:rsid w:val="00647D0C"/>
    <w:pPr>
      <w:spacing w:after="0" w:line="240" w:lineRule="auto"/>
    </w:pPr>
    <w:rPr>
      <w:rFonts w:ascii="Times New Roman" w:hAnsi="Times New Roman" w:cs="Times New Roman"/>
      <w:sz w:val="24"/>
      <w:lang w:val="ro-RO" w:eastAsia="ro-RO" w:bidi="ro-RO"/>
    </w:rPr>
  </w:style>
  <w:style w:type="paragraph" w:styleId="BalloonText">
    <w:name w:val="Balloon Text"/>
    <w:basedOn w:val="Normal"/>
    <w:link w:val="BalloonTextChar"/>
    <w:uiPriority w:val="99"/>
    <w:unhideWhenUsed/>
    <w:rsid w:val="00647D0C"/>
    <w:pPr>
      <w:spacing w:before="0" w:after="0" w:line="240" w:lineRule="auto"/>
      <w:jc w:val="both"/>
    </w:pPr>
    <w:rPr>
      <w:rFonts w:ascii="Segoe UI" w:hAnsi="Segoe UI" w:cs="Segoe UI"/>
      <w:sz w:val="18"/>
      <w:szCs w:val="18"/>
      <w:lang w:eastAsia="ro-RO" w:bidi="ro-RO"/>
    </w:rPr>
  </w:style>
  <w:style w:type="character" w:customStyle="1" w:styleId="BalloonTextChar">
    <w:name w:val="Balloon Text Char"/>
    <w:basedOn w:val="DefaultParagraphFont"/>
    <w:link w:val="BalloonText"/>
    <w:uiPriority w:val="99"/>
    <w:rsid w:val="00647D0C"/>
    <w:rPr>
      <w:rFonts w:ascii="Segoe UI" w:hAnsi="Segoe UI" w:cs="Segoe UI"/>
      <w:sz w:val="18"/>
      <w:szCs w:val="18"/>
      <w:lang w:val="ro-RO" w:eastAsia="ro-RO" w:bidi="ro-RO"/>
    </w:rPr>
  </w:style>
  <w:style w:type="paragraph" w:styleId="ListBullet2">
    <w:name w:val="List Bullet 2"/>
    <w:basedOn w:val="Normal"/>
    <w:uiPriority w:val="99"/>
    <w:unhideWhenUsed/>
    <w:rsid w:val="00647D0C"/>
    <w:pPr>
      <w:numPr>
        <w:numId w:val="25"/>
      </w:numPr>
      <w:tabs>
        <w:tab w:val="clear" w:pos="643"/>
        <w:tab w:val="num" w:pos="1984"/>
      </w:tabs>
      <w:spacing w:line="240" w:lineRule="auto"/>
      <w:ind w:left="0" w:firstLine="0"/>
      <w:contextualSpacing/>
      <w:jc w:val="both"/>
    </w:pPr>
    <w:rPr>
      <w:lang w:eastAsia="ro-RO" w:bidi="ro-RO"/>
    </w:rPr>
  </w:style>
  <w:style w:type="paragraph" w:styleId="ListBullet3">
    <w:name w:val="List Bullet 3"/>
    <w:basedOn w:val="Normal"/>
    <w:uiPriority w:val="99"/>
    <w:unhideWhenUsed/>
    <w:rsid w:val="00647D0C"/>
    <w:pPr>
      <w:numPr>
        <w:numId w:val="26"/>
      </w:numPr>
      <w:tabs>
        <w:tab w:val="clear" w:pos="926"/>
        <w:tab w:val="num" w:pos="2551"/>
      </w:tabs>
      <w:spacing w:line="240" w:lineRule="auto"/>
      <w:ind w:left="0" w:firstLine="0"/>
      <w:contextualSpacing/>
      <w:jc w:val="both"/>
    </w:pPr>
    <w:rPr>
      <w:lang w:eastAsia="ro-RO" w:bidi="ro-RO"/>
    </w:rPr>
  </w:style>
  <w:style w:type="table" w:customStyle="1" w:styleId="PlainTable11">
    <w:name w:val="Plain Table 11"/>
    <w:basedOn w:val="TableNormal"/>
    <w:next w:val="PlainTable1"/>
    <w:uiPriority w:val="41"/>
    <w:rsid w:val="00647D0C"/>
    <w:pPr>
      <w:spacing w:after="0" w:line="240" w:lineRule="auto"/>
    </w:pPr>
    <w:rPr>
      <w:lang w:val="ro-RO" w:eastAsia="ro-RO" w:bidi="ro-RO"/>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TableGridLight"/>
    <w:uiPriority w:val="40"/>
    <w:rsid w:val="00647D0C"/>
    <w:pPr>
      <w:spacing w:after="0" w:line="240" w:lineRule="auto"/>
    </w:pPr>
    <w:rPr>
      <w:lang w:val="ro-RO" w:eastAsia="ro-RO" w:bidi="ro-R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next w:val="PlainTable5"/>
    <w:uiPriority w:val="45"/>
    <w:rsid w:val="00647D0C"/>
    <w:pPr>
      <w:spacing w:after="0" w:line="240" w:lineRule="auto"/>
    </w:pPr>
    <w:rPr>
      <w:lang w:val="ro-RO" w:eastAsia="ro-RO" w:bidi="ro-RO"/>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647D0C"/>
    <w:pPr>
      <w:ind w:left="0" w:firstLine="0"/>
    </w:pPr>
    <w:rPr>
      <w:rFonts w:eastAsia="Calibri"/>
      <w:sz w:val="16"/>
      <w:szCs w:val="16"/>
      <w:lang w:eastAsia="ro-RO" w:bidi="ro-RO"/>
    </w:rPr>
  </w:style>
  <w:style w:type="character" w:customStyle="1" w:styleId="foonoteChar">
    <w:name w:val="foonote Char"/>
    <w:basedOn w:val="DefaultParagraphFont"/>
    <w:link w:val="foonote"/>
    <w:rsid w:val="00647D0C"/>
    <w:rPr>
      <w:rFonts w:ascii="Times New Roman" w:eastAsia="Calibri" w:hAnsi="Times New Roman" w:cs="Times New Roman"/>
      <w:sz w:val="16"/>
      <w:szCs w:val="16"/>
      <w:lang w:val="ro-RO" w:eastAsia="ro-RO" w:bidi="ro-RO"/>
    </w:rPr>
  </w:style>
  <w:style w:type="character" w:styleId="Hyperlink">
    <w:name w:val="Hyperlink"/>
    <w:uiPriority w:val="99"/>
    <w:rsid w:val="00647D0C"/>
    <w:rPr>
      <w:color w:val="0000FF"/>
      <w:u w:val="single"/>
      <w:shd w:val="clear" w:color="auto" w:fill="auto"/>
    </w:rPr>
  </w:style>
  <w:style w:type="paragraph" w:styleId="ListNumber">
    <w:name w:val="List Number"/>
    <w:basedOn w:val="Normal"/>
    <w:uiPriority w:val="99"/>
    <w:rsid w:val="00647D0C"/>
    <w:pPr>
      <w:numPr>
        <w:numId w:val="31"/>
      </w:numPr>
      <w:tabs>
        <w:tab w:val="clear" w:pos="1276"/>
      </w:tabs>
      <w:spacing w:line="240" w:lineRule="auto"/>
      <w:ind w:left="0" w:firstLine="0"/>
      <w:jc w:val="both"/>
    </w:pPr>
    <w:rPr>
      <w:rFonts w:eastAsia="Times New Roman"/>
      <w:lang w:eastAsia="ro-RO" w:bidi="ro-RO"/>
    </w:rPr>
  </w:style>
  <w:style w:type="paragraph" w:customStyle="1" w:styleId="ListBullet1">
    <w:name w:val="List Bullet 1"/>
    <w:basedOn w:val="Normal"/>
    <w:rsid w:val="00647D0C"/>
    <w:pPr>
      <w:numPr>
        <w:numId w:val="27"/>
      </w:numPr>
      <w:tabs>
        <w:tab w:val="clear" w:pos="1134"/>
      </w:tabs>
      <w:spacing w:line="240" w:lineRule="auto"/>
      <w:ind w:left="0" w:firstLine="0"/>
      <w:jc w:val="both"/>
    </w:pPr>
    <w:rPr>
      <w:rFonts w:eastAsia="Times New Roman"/>
      <w:lang w:eastAsia="ro-RO" w:bidi="ro-RO"/>
    </w:rPr>
  </w:style>
  <w:style w:type="paragraph" w:customStyle="1" w:styleId="ListDash">
    <w:name w:val="List Dash"/>
    <w:basedOn w:val="Normal"/>
    <w:rsid w:val="00647D0C"/>
    <w:pPr>
      <w:numPr>
        <w:numId w:val="28"/>
      </w:numPr>
      <w:tabs>
        <w:tab w:val="clear" w:pos="283"/>
      </w:tabs>
      <w:spacing w:line="240" w:lineRule="auto"/>
      <w:ind w:left="0" w:firstLine="0"/>
      <w:jc w:val="both"/>
    </w:pPr>
    <w:rPr>
      <w:rFonts w:eastAsia="Times New Roman"/>
      <w:lang w:eastAsia="ro-RO" w:bidi="ro-RO"/>
    </w:rPr>
  </w:style>
  <w:style w:type="paragraph" w:customStyle="1" w:styleId="ListDash1">
    <w:name w:val="List Dash 1"/>
    <w:basedOn w:val="Normal"/>
    <w:rsid w:val="00647D0C"/>
    <w:pPr>
      <w:numPr>
        <w:numId w:val="29"/>
      </w:numPr>
      <w:tabs>
        <w:tab w:val="clear" w:pos="1134"/>
      </w:tabs>
      <w:spacing w:line="240" w:lineRule="auto"/>
      <w:ind w:left="0" w:firstLine="0"/>
      <w:jc w:val="both"/>
    </w:pPr>
    <w:rPr>
      <w:rFonts w:eastAsia="Times New Roman"/>
      <w:lang w:eastAsia="ro-RO" w:bidi="ro-RO"/>
    </w:rPr>
  </w:style>
  <w:style w:type="paragraph" w:customStyle="1" w:styleId="ListDash2">
    <w:name w:val="List Dash 2"/>
    <w:basedOn w:val="Normal"/>
    <w:rsid w:val="00647D0C"/>
    <w:pPr>
      <w:numPr>
        <w:numId w:val="30"/>
      </w:numPr>
      <w:tabs>
        <w:tab w:val="clear" w:pos="1134"/>
      </w:tabs>
      <w:spacing w:line="240" w:lineRule="auto"/>
      <w:ind w:left="0" w:firstLine="0"/>
      <w:jc w:val="both"/>
    </w:pPr>
    <w:rPr>
      <w:rFonts w:eastAsia="Times New Roman"/>
      <w:lang w:eastAsia="ro-RO" w:bidi="ro-RO"/>
    </w:rPr>
  </w:style>
  <w:style w:type="paragraph" w:customStyle="1" w:styleId="ListNumberLevel2">
    <w:name w:val="List Number (Level 2)"/>
    <w:basedOn w:val="Normal"/>
    <w:rsid w:val="00647D0C"/>
    <w:pPr>
      <w:numPr>
        <w:ilvl w:val="1"/>
        <w:numId w:val="31"/>
      </w:numPr>
      <w:tabs>
        <w:tab w:val="clear" w:pos="1417"/>
      </w:tabs>
      <w:spacing w:line="240" w:lineRule="auto"/>
      <w:ind w:left="0" w:firstLine="0"/>
      <w:jc w:val="both"/>
    </w:pPr>
    <w:rPr>
      <w:rFonts w:eastAsia="Times New Roman"/>
      <w:lang w:eastAsia="ro-RO" w:bidi="ro-RO"/>
    </w:rPr>
  </w:style>
  <w:style w:type="paragraph" w:customStyle="1" w:styleId="ListNumberLevel3">
    <w:name w:val="List Number (Level 3)"/>
    <w:basedOn w:val="Normal"/>
    <w:rsid w:val="00647D0C"/>
    <w:pPr>
      <w:numPr>
        <w:ilvl w:val="2"/>
        <w:numId w:val="31"/>
      </w:numPr>
      <w:tabs>
        <w:tab w:val="clear" w:pos="2126"/>
      </w:tabs>
      <w:spacing w:line="240" w:lineRule="auto"/>
      <w:ind w:left="0" w:firstLine="0"/>
      <w:jc w:val="both"/>
    </w:pPr>
    <w:rPr>
      <w:rFonts w:eastAsia="Times New Roman"/>
      <w:lang w:eastAsia="ro-RO" w:bidi="ro-RO"/>
    </w:rPr>
  </w:style>
  <w:style w:type="paragraph" w:customStyle="1" w:styleId="ListNumberLevel4">
    <w:name w:val="List Number (Level 4)"/>
    <w:basedOn w:val="Normal"/>
    <w:rsid w:val="00647D0C"/>
    <w:pPr>
      <w:numPr>
        <w:ilvl w:val="3"/>
        <w:numId w:val="31"/>
      </w:numPr>
      <w:tabs>
        <w:tab w:val="clear" w:pos="2835"/>
      </w:tabs>
      <w:spacing w:line="240" w:lineRule="auto"/>
      <w:ind w:left="0" w:firstLine="0"/>
      <w:jc w:val="both"/>
    </w:pPr>
    <w:rPr>
      <w:rFonts w:eastAsia="Times New Roman"/>
      <w:lang w:eastAsia="ro-RO" w:bidi="ro-RO"/>
    </w:rPr>
  </w:style>
  <w:style w:type="table" w:customStyle="1" w:styleId="TableGrid1">
    <w:name w:val="Table Grid1"/>
    <w:basedOn w:val="TableNormal"/>
    <w:next w:val="TableGrid"/>
    <w:uiPriority w:val="59"/>
    <w:rsid w:val="00647D0C"/>
    <w:pPr>
      <w:spacing w:before="120" w:after="120" w:line="240" w:lineRule="auto"/>
      <w:jc w:val="both"/>
    </w:pPr>
    <w:rPr>
      <w:rFonts w:ascii="Times New Roman" w:eastAsia="Times New Roman" w:hAnsi="Times New Roman" w:cs="Times New Roman"/>
      <w:sz w:val="20"/>
      <w:szCs w:val="20"/>
      <w:lang w:val="ro-RO" w:eastAsia="ro-RO"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647D0C"/>
    <w:pPr>
      <w:numPr>
        <w:numId w:val="35"/>
      </w:numPr>
      <w:tabs>
        <w:tab w:val="clear" w:pos="1560"/>
      </w:tabs>
      <w:spacing w:line="240" w:lineRule="auto"/>
      <w:ind w:left="0" w:firstLine="0"/>
      <w:jc w:val="both"/>
    </w:pPr>
    <w:rPr>
      <w:rFonts w:eastAsia="Times New Roman"/>
      <w:lang w:eastAsia="ro-RO" w:bidi="ro-RO"/>
    </w:rPr>
  </w:style>
  <w:style w:type="paragraph" w:styleId="ListNumber3">
    <w:name w:val="List Number 3"/>
    <w:basedOn w:val="Normal"/>
    <w:uiPriority w:val="99"/>
    <w:rsid w:val="00647D0C"/>
    <w:pPr>
      <w:numPr>
        <w:numId w:val="36"/>
      </w:numPr>
      <w:tabs>
        <w:tab w:val="clear" w:pos="1560"/>
      </w:tabs>
      <w:spacing w:line="240" w:lineRule="auto"/>
      <w:ind w:left="0" w:firstLine="0"/>
      <w:jc w:val="both"/>
    </w:pPr>
    <w:rPr>
      <w:rFonts w:eastAsia="Times New Roman"/>
      <w:lang w:eastAsia="ro-RO" w:bidi="ro-RO"/>
    </w:rPr>
  </w:style>
  <w:style w:type="paragraph" w:styleId="ListNumber4">
    <w:name w:val="List Number 4"/>
    <w:basedOn w:val="Normal"/>
    <w:uiPriority w:val="99"/>
    <w:rsid w:val="00647D0C"/>
    <w:pPr>
      <w:numPr>
        <w:numId w:val="37"/>
      </w:numPr>
      <w:tabs>
        <w:tab w:val="clear" w:pos="1560"/>
      </w:tabs>
      <w:spacing w:line="240" w:lineRule="auto"/>
      <w:ind w:left="0" w:firstLine="0"/>
      <w:jc w:val="both"/>
    </w:pPr>
    <w:rPr>
      <w:rFonts w:eastAsia="Times New Roman"/>
      <w:lang w:eastAsia="ro-RO" w:bidi="ro-RO"/>
    </w:rPr>
  </w:style>
  <w:style w:type="paragraph" w:customStyle="1" w:styleId="ListDash3">
    <w:name w:val="List Dash 3"/>
    <w:basedOn w:val="Normal"/>
    <w:rsid w:val="00647D0C"/>
    <w:pPr>
      <w:numPr>
        <w:numId w:val="32"/>
      </w:numPr>
      <w:tabs>
        <w:tab w:val="clear" w:pos="1134"/>
      </w:tabs>
      <w:spacing w:line="240" w:lineRule="auto"/>
      <w:ind w:left="0" w:firstLine="0"/>
      <w:jc w:val="both"/>
    </w:pPr>
    <w:rPr>
      <w:rFonts w:eastAsia="Times New Roman"/>
      <w:lang w:eastAsia="ro-RO" w:bidi="ro-RO"/>
    </w:rPr>
  </w:style>
  <w:style w:type="paragraph" w:customStyle="1" w:styleId="ListDash4">
    <w:name w:val="List Dash 4"/>
    <w:basedOn w:val="Normal"/>
    <w:rsid w:val="00647D0C"/>
    <w:pPr>
      <w:numPr>
        <w:numId w:val="33"/>
      </w:numPr>
      <w:tabs>
        <w:tab w:val="clear" w:pos="1134"/>
      </w:tabs>
      <w:spacing w:line="240" w:lineRule="auto"/>
      <w:ind w:left="0" w:firstLine="0"/>
      <w:jc w:val="both"/>
    </w:pPr>
    <w:rPr>
      <w:rFonts w:eastAsia="Times New Roman"/>
      <w:lang w:eastAsia="ro-RO" w:bidi="ro-RO"/>
    </w:rPr>
  </w:style>
  <w:style w:type="paragraph" w:customStyle="1" w:styleId="ListNumber1">
    <w:name w:val="List Number 1"/>
    <w:basedOn w:val="Text1"/>
    <w:rsid w:val="00647D0C"/>
    <w:pPr>
      <w:numPr>
        <w:numId w:val="34"/>
      </w:numPr>
      <w:tabs>
        <w:tab w:val="clear" w:pos="1701"/>
      </w:tabs>
      <w:spacing w:line="240" w:lineRule="auto"/>
      <w:ind w:left="0" w:firstLine="0"/>
      <w:jc w:val="both"/>
    </w:pPr>
    <w:rPr>
      <w:rFonts w:eastAsia="Times New Roman"/>
      <w:lang w:eastAsia="ro-RO" w:bidi="ro-RO"/>
    </w:rPr>
  </w:style>
  <w:style w:type="paragraph" w:customStyle="1" w:styleId="ListNumber1Level2">
    <w:name w:val="List Number 1 (Level 2)"/>
    <w:basedOn w:val="Text1"/>
    <w:rsid w:val="00647D0C"/>
    <w:pPr>
      <w:numPr>
        <w:ilvl w:val="1"/>
        <w:numId w:val="34"/>
      </w:numPr>
      <w:tabs>
        <w:tab w:val="clear" w:pos="2268"/>
      </w:tabs>
      <w:spacing w:line="240" w:lineRule="auto"/>
      <w:ind w:left="0" w:firstLine="0"/>
      <w:jc w:val="both"/>
    </w:pPr>
    <w:rPr>
      <w:rFonts w:eastAsia="Times New Roman"/>
      <w:lang w:eastAsia="ro-RO" w:bidi="ro-RO"/>
    </w:rPr>
  </w:style>
  <w:style w:type="paragraph" w:customStyle="1" w:styleId="ListNumber2Level2">
    <w:name w:val="List Number 2 (Level 2)"/>
    <w:basedOn w:val="Text2"/>
    <w:rsid w:val="00647D0C"/>
    <w:pPr>
      <w:numPr>
        <w:ilvl w:val="1"/>
        <w:numId w:val="35"/>
      </w:numPr>
      <w:tabs>
        <w:tab w:val="clear" w:pos="2268"/>
      </w:tabs>
      <w:spacing w:line="240" w:lineRule="auto"/>
      <w:ind w:left="0" w:firstLine="0"/>
      <w:jc w:val="both"/>
    </w:pPr>
    <w:rPr>
      <w:rFonts w:eastAsia="Times New Roman"/>
      <w:lang w:eastAsia="ro-RO" w:bidi="ro-RO"/>
    </w:rPr>
  </w:style>
  <w:style w:type="paragraph" w:customStyle="1" w:styleId="ListNumber3Level2">
    <w:name w:val="List Number 3 (Level 2)"/>
    <w:basedOn w:val="Text3"/>
    <w:rsid w:val="00647D0C"/>
    <w:pPr>
      <w:numPr>
        <w:ilvl w:val="1"/>
        <w:numId w:val="36"/>
      </w:numPr>
      <w:tabs>
        <w:tab w:val="clear" w:pos="2268"/>
      </w:tabs>
      <w:spacing w:line="240" w:lineRule="auto"/>
      <w:ind w:left="0" w:firstLine="0"/>
      <w:jc w:val="both"/>
    </w:pPr>
    <w:rPr>
      <w:rFonts w:eastAsia="Times New Roman"/>
      <w:lang w:eastAsia="ro-RO" w:bidi="ro-RO"/>
    </w:rPr>
  </w:style>
  <w:style w:type="paragraph" w:customStyle="1" w:styleId="ListNumber4Level2">
    <w:name w:val="List Number 4 (Level 2)"/>
    <w:basedOn w:val="Text4"/>
    <w:rsid w:val="00647D0C"/>
    <w:pPr>
      <w:numPr>
        <w:ilvl w:val="1"/>
        <w:numId w:val="37"/>
      </w:numPr>
      <w:tabs>
        <w:tab w:val="clear" w:pos="2268"/>
      </w:tabs>
      <w:spacing w:line="240" w:lineRule="auto"/>
      <w:ind w:left="0" w:firstLine="0"/>
      <w:jc w:val="both"/>
    </w:pPr>
    <w:rPr>
      <w:rFonts w:eastAsia="Times New Roman"/>
      <w:lang w:eastAsia="ro-RO" w:bidi="ro-RO"/>
    </w:rPr>
  </w:style>
  <w:style w:type="paragraph" w:customStyle="1" w:styleId="ListNumber1Level3">
    <w:name w:val="List Number 1 (Level 3)"/>
    <w:basedOn w:val="Text1"/>
    <w:rsid w:val="00647D0C"/>
    <w:pPr>
      <w:numPr>
        <w:ilvl w:val="2"/>
        <w:numId w:val="34"/>
      </w:numPr>
      <w:tabs>
        <w:tab w:val="clear" w:pos="2977"/>
      </w:tabs>
      <w:spacing w:line="240" w:lineRule="auto"/>
      <w:ind w:left="0" w:firstLine="0"/>
      <w:jc w:val="both"/>
    </w:pPr>
    <w:rPr>
      <w:rFonts w:eastAsia="Times New Roman"/>
      <w:lang w:eastAsia="ro-RO" w:bidi="ro-RO"/>
    </w:rPr>
  </w:style>
  <w:style w:type="paragraph" w:customStyle="1" w:styleId="ListNumber2Level3">
    <w:name w:val="List Number 2 (Level 3)"/>
    <w:basedOn w:val="Text2"/>
    <w:rsid w:val="00647D0C"/>
    <w:pPr>
      <w:numPr>
        <w:ilvl w:val="2"/>
        <w:numId w:val="35"/>
      </w:numPr>
      <w:tabs>
        <w:tab w:val="clear" w:pos="2977"/>
      </w:tabs>
      <w:spacing w:line="240" w:lineRule="auto"/>
      <w:ind w:left="0" w:firstLine="0"/>
      <w:jc w:val="both"/>
    </w:pPr>
    <w:rPr>
      <w:rFonts w:eastAsia="Times New Roman"/>
      <w:lang w:eastAsia="ro-RO" w:bidi="ro-RO"/>
    </w:rPr>
  </w:style>
  <w:style w:type="paragraph" w:customStyle="1" w:styleId="ListNumber3Level3">
    <w:name w:val="List Number 3 (Level 3)"/>
    <w:basedOn w:val="Text3"/>
    <w:rsid w:val="00647D0C"/>
    <w:pPr>
      <w:numPr>
        <w:ilvl w:val="2"/>
        <w:numId w:val="36"/>
      </w:numPr>
      <w:tabs>
        <w:tab w:val="clear" w:pos="2977"/>
      </w:tabs>
      <w:spacing w:line="240" w:lineRule="auto"/>
      <w:ind w:left="0" w:firstLine="0"/>
      <w:jc w:val="both"/>
    </w:pPr>
    <w:rPr>
      <w:rFonts w:eastAsia="Times New Roman"/>
      <w:lang w:eastAsia="ro-RO" w:bidi="ro-RO"/>
    </w:rPr>
  </w:style>
  <w:style w:type="paragraph" w:customStyle="1" w:styleId="ListNumber4Level3">
    <w:name w:val="List Number 4 (Level 3)"/>
    <w:basedOn w:val="Text4"/>
    <w:rsid w:val="00647D0C"/>
    <w:pPr>
      <w:numPr>
        <w:ilvl w:val="2"/>
        <w:numId w:val="37"/>
      </w:numPr>
      <w:tabs>
        <w:tab w:val="clear" w:pos="2977"/>
      </w:tabs>
      <w:spacing w:line="240" w:lineRule="auto"/>
      <w:ind w:left="0" w:firstLine="0"/>
      <w:jc w:val="both"/>
    </w:pPr>
    <w:rPr>
      <w:rFonts w:eastAsia="Times New Roman"/>
      <w:lang w:eastAsia="ro-RO" w:bidi="ro-RO"/>
    </w:rPr>
  </w:style>
  <w:style w:type="paragraph" w:customStyle="1" w:styleId="ListNumber1Level4">
    <w:name w:val="List Number 1 (Level 4)"/>
    <w:basedOn w:val="Text1"/>
    <w:rsid w:val="00647D0C"/>
    <w:pPr>
      <w:numPr>
        <w:ilvl w:val="3"/>
        <w:numId w:val="34"/>
      </w:numPr>
      <w:tabs>
        <w:tab w:val="clear" w:pos="3686"/>
      </w:tabs>
      <w:spacing w:line="240" w:lineRule="auto"/>
      <w:ind w:left="0" w:firstLine="0"/>
      <w:jc w:val="both"/>
    </w:pPr>
    <w:rPr>
      <w:rFonts w:eastAsia="Times New Roman"/>
      <w:lang w:eastAsia="ro-RO" w:bidi="ro-RO"/>
    </w:rPr>
  </w:style>
  <w:style w:type="paragraph" w:customStyle="1" w:styleId="ListNumber2Level4">
    <w:name w:val="List Number 2 (Level 4)"/>
    <w:basedOn w:val="Text2"/>
    <w:rsid w:val="00647D0C"/>
    <w:pPr>
      <w:numPr>
        <w:ilvl w:val="3"/>
        <w:numId w:val="35"/>
      </w:numPr>
      <w:tabs>
        <w:tab w:val="clear" w:pos="3686"/>
      </w:tabs>
      <w:spacing w:line="240" w:lineRule="auto"/>
      <w:ind w:left="0" w:firstLine="0"/>
      <w:jc w:val="both"/>
    </w:pPr>
    <w:rPr>
      <w:rFonts w:eastAsia="Times New Roman"/>
      <w:lang w:eastAsia="ro-RO" w:bidi="ro-RO"/>
    </w:rPr>
  </w:style>
  <w:style w:type="paragraph" w:customStyle="1" w:styleId="ListNumber3Level4">
    <w:name w:val="List Number 3 (Level 4)"/>
    <w:basedOn w:val="Text3"/>
    <w:rsid w:val="00647D0C"/>
    <w:pPr>
      <w:numPr>
        <w:ilvl w:val="3"/>
        <w:numId w:val="36"/>
      </w:numPr>
      <w:tabs>
        <w:tab w:val="clear" w:pos="3686"/>
      </w:tabs>
      <w:spacing w:line="240" w:lineRule="auto"/>
      <w:ind w:left="0" w:firstLine="0"/>
      <w:jc w:val="both"/>
    </w:pPr>
    <w:rPr>
      <w:rFonts w:eastAsia="Times New Roman"/>
      <w:lang w:eastAsia="ro-RO" w:bidi="ro-RO"/>
    </w:rPr>
  </w:style>
  <w:style w:type="paragraph" w:customStyle="1" w:styleId="ListNumber4Level4">
    <w:name w:val="List Number 4 (Level 4)"/>
    <w:basedOn w:val="Text4"/>
    <w:rsid w:val="00647D0C"/>
    <w:pPr>
      <w:numPr>
        <w:ilvl w:val="3"/>
        <w:numId w:val="37"/>
      </w:numPr>
      <w:tabs>
        <w:tab w:val="clear" w:pos="3686"/>
      </w:tabs>
      <w:spacing w:line="240" w:lineRule="auto"/>
      <w:ind w:left="0" w:firstLine="0"/>
      <w:jc w:val="both"/>
    </w:pPr>
    <w:rPr>
      <w:rFonts w:eastAsia="Times New Roman"/>
      <w:lang w:eastAsia="ro-RO" w:bidi="ro-RO"/>
    </w:rPr>
  </w:style>
  <w:style w:type="paragraph" w:customStyle="1" w:styleId="Annexetitreexposglobal">
    <w:name w:val="Annexe titre (exposé global)"/>
    <w:basedOn w:val="Normal"/>
    <w:next w:val="Normal"/>
    <w:rsid w:val="00647D0C"/>
    <w:pPr>
      <w:spacing w:line="240" w:lineRule="auto"/>
      <w:jc w:val="center"/>
    </w:pPr>
    <w:rPr>
      <w:rFonts w:eastAsia="Times New Roman"/>
      <w:b/>
      <w:u w:val="single"/>
      <w:lang w:eastAsia="ro-RO" w:bidi="ro-RO"/>
    </w:rPr>
  </w:style>
  <w:style w:type="paragraph" w:customStyle="1" w:styleId="Annexetitrefichefinacte">
    <w:name w:val="Annexe titre (fiche fin. acte)"/>
    <w:basedOn w:val="Normal"/>
    <w:next w:val="Normal"/>
    <w:rsid w:val="00647D0C"/>
    <w:pPr>
      <w:spacing w:line="240" w:lineRule="auto"/>
      <w:jc w:val="center"/>
    </w:pPr>
    <w:rPr>
      <w:rFonts w:eastAsia="Times New Roman"/>
      <w:b/>
      <w:u w:val="single"/>
      <w:lang w:eastAsia="ro-RO" w:bidi="ro-RO"/>
    </w:rPr>
  </w:style>
  <w:style w:type="paragraph" w:customStyle="1" w:styleId="Annexetitrefichefinglobale">
    <w:name w:val="Annexe titre (fiche fin. globale)"/>
    <w:basedOn w:val="Normal"/>
    <w:next w:val="Normal"/>
    <w:rsid w:val="00647D0C"/>
    <w:pPr>
      <w:spacing w:line="240" w:lineRule="auto"/>
      <w:jc w:val="center"/>
    </w:pPr>
    <w:rPr>
      <w:rFonts w:eastAsia="Times New Roman"/>
      <w:b/>
      <w:u w:val="single"/>
      <w:lang w:eastAsia="ro-RO" w:bidi="ro-RO"/>
    </w:rPr>
  </w:style>
  <w:style w:type="paragraph" w:customStyle="1" w:styleId="Exposdesmotifstitreglobal">
    <w:name w:val="Exposé des motifs titre (global)"/>
    <w:basedOn w:val="Normal"/>
    <w:next w:val="Normal"/>
    <w:rsid w:val="00647D0C"/>
    <w:pPr>
      <w:spacing w:line="240" w:lineRule="auto"/>
      <w:jc w:val="center"/>
    </w:pPr>
    <w:rPr>
      <w:rFonts w:eastAsia="Times New Roman"/>
      <w:b/>
      <w:u w:val="single"/>
      <w:lang w:eastAsia="ro-RO" w:bidi="ro-RO"/>
    </w:rPr>
  </w:style>
  <w:style w:type="paragraph" w:customStyle="1" w:styleId="Langueoriginale">
    <w:name w:val="Langue originale"/>
    <w:basedOn w:val="Normal"/>
    <w:rsid w:val="00647D0C"/>
    <w:pPr>
      <w:spacing w:before="360" w:line="240" w:lineRule="auto"/>
      <w:jc w:val="center"/>
    </w:pPr>
    <w:rPr>
      <w:rFonts w:eastAsia="Times New Roman"/>
      <w:caps/>
      <w:lang w:eastAsia="ro-RO" w:bidi="ro-RO"/>
    </w:rPr>
  </w:style>
  <w:style w:type="paragraph" w:customStyle="1" w:styleId="Phrasefinale">
    <w:name w:val="Phrase finale"/>
    <w:basedOn w:val="Normal"/>
    <w:next w:val="Normal"/>
    <w:rsid w:val="00647D0C"/>
    <w:pPr>
      <w:spacing w:before="360" w:after="0" w:line="240" w:lineRule="auto"/>
      <w:jc w:val="center"/>
    </w:pPr>
    <w:rPr>
      <w:rFonts w:eastAsia="Times New Roman"/>
      <w:lang w:eastAsia="ro-RO" w:bidi="ro-RO"/>
    </w:rPr>
  </w:style>
  <w:style w:type="paragraph" w:customStyle="1" w:styleId="Prliminairetitre">
    <w:name w:val="Préliminaire titre"/>
    <w:basedOn w:val="Normal"/>
    <w:next w:val="Normal"/>
    <w:rsid w:val="00647D0C"/>
    <w:pPr>
      <w:spacing w:before="360" w:after="360" w:line="240" w:lineRule="auto"/>
      <w:jc w:val="center"/>
    </w:pPr>
    <w:rPr>
      <w:rFonts w:eastAsia="Times New Roman"/>
      <w:b/>
      <w:lang w:eastAsia="ro-RO" w:bidi="ro-RO"/>
    </w:rPr>
  </w:style>
  <w:style w:type="paragraph" w:customStyle="1" w:styleId="Prliminairetype">
    <w:name w:val="Préliminaire type"/>
    <w:basedOn w:val="Normal"/>
    <w:next w:val="Normal"/>
    <w:rsid w:val="00647D0C"/>
    <w:pPr>
      <w:spacing w:before="360" w:after="0" w:line="240" w:lineRule="auto"/>
      <w:jc w:val="center"/>
    </w:pPr>
    <w:rPr>
      <w:rFonts w:eastAsia="Times New Roman"/>
      <w:b/>
      <w:lang w:eastAsia="ro-RO" w:bidi="ro-RO"/>
    </w:rPr>
  </w:style>
  <w:style w:type="paragraph" w:customStyle="1" w:styleId="Rfrenceinstitutionelle">
    <w:name w:val="Référence institutionelle"/>
    <w:basedOn w:val="Normal"/>
    <w:next w:val="Statut"/>
    <w:rsid w:val="00647D0C"/>
    <w:pPr>
      <w:spacing w:before="0" w:after="240" w:line="240" w:lineRule="auto"/>
      <w:ind w:left="5103"/>
    </w:pPr>
    <w:rPr>
      <w:rFonts w:eastAsia="Times New Roman"/>
      <w:lang w:eastAsia="ro-RO" w:bidi="ro-RO"/>
    </w:rPr>
  </w:style>
  <w:style w:type="paragraph" w:customStyle="1" w:styleId="Rfrenceinterinstitutionelleprliminaire">
    <w:name w:val="Référence interinstitutionelle (préliminaire)"/>
    <w:basedOn w:val="Normal"/>
    <w:next w:val="Normal"/>
    <w:rsid w:val="00647D0C"/>
    <w:pPr>
      <w:spacing w:before="0" w:after="0" w:line="240" w:lineRule="auto"/>
      <w:ind w:left="5103"/>
    </w:pPr>
    <w:rPr>
      <w:rFonts w:eastAsia="Times New Roman"/>
      <w:lang w:eastAsia="ro-RO" w:bidi="ro-RO"/>
    </w:rPr>
  </w:style>
  <w:style w:type="paragraph" w:customStyle="1" w:styleId="Sous-titreobjetprliminaire">
    <w:name w:val="Sous-titre objet (préliminaire)"/>
    <w:basedOn w:val="Normal"/>
    <w:rsid w:val="00647D0C"/>
    <w:pPr>
      <w:spacing w:before="0" w:after="0" w:line="240" w:lineRule="auto"/>
      <w:jc w:val="center"/>
    </w:pPr>
    <w:rPr>
      <w:rFonts w:eastAsia="Times New Roman"/>
      <w:b/>
      <w:lang w:eastAsia="ro-RO" w:bidi="ro-RO"/>
    </w:rPr>
  </w:style>
  <w:style w:type="paragraph" w:customStyle="1" w:styleId="Statutprliminaire">
    <w:name w:val="Statut (préliminaire)"/>
    <w:basedOn w:val="Normal"/>
    <w:next w:val="Normal"/>
    <w:rsid w:val="00647D0C"/>
    <w:pPr>
      <w:spacing w:before="360" w:after="0" w:line="240" w:lineRule="auto"/>
      <w:jc w:val="center"/>
    </w:pPr>
    <w:rPr>
      <w:rFonts w:eastAsia="Times New Roman"/>
      <w:lang w:eastAsia="ro-RO" w:bidi="ro-RO"/>
    </w:rPr>
  </w:style>
  <w:style w:type="paragraph" w:customStyle="1" w:styleId="Titreobjetprliminaire">
    <w:name w:val="Titre objet (préliminaire)"/>
    <w:basedOn w:val="Normal"/>
    <w:next w:val="Normal"/>
    <w:rsid w:val="00647D0C"/>
    <w:pPr>
      <w:spacing w:before="360" w:after="360" w:line="240" w:lineRule="auto"/>
      <w:jc w:val="center"/>
    </w:pPr>
    <w:rPr>
      <w:rFonts w:eastAsia="Times New Roman"/>
      <w:b/>
      <w:lang w:eastAsia="ro-RO" w:bidi="ro-RO"/>
    </w:rPr>
  </w:style>
  <w:style w:type="paragraph" w:customStyle="1" w:styleId="Typedudocumentprliminaire">
    <w:name w:val="Type du document (préliminaire)"/>
    <w:basedOn w:val="Normal"/>
    <w:next w:val="Normal"/>
    <w:rsid w:val="00647D0C"/>
    <w:pPr>
      <w:spacing w:before="360" w:after="0" w:line="240" w:lineRule="auto"/>
      <w:jc w:val="center"/>
    </w:pPr>
    <w:rPr>
      <w:rFonts w:eastAsia="Times New Roman"/>
      <w:b/>
      <w:lang w:eastAsia="ro-RO" w:bidi="ro-RO"/>
    </w:rPr>
  </w:style>
  <w:style w:type="paragraph" w:customStyle="1" w:styleId="Fichefinancirestandardtitre">
    <w:name w:val="Fiche financière (standard) titre"/>
    <w:basedOn w:val="Normal"/>
    <w:next w:val="Normal"/>
    <w:rsid w:val="00647D0C"/>
    <w:pPr>
      <w:spacing w:line="240" w:lineRule="auto"/>
      <w:jc w:val="center"/>
    </w:pPr>
    <w:rPr>
      <w:rFonts w:eastAsia="Times New Roman"/>
      <w:b/>
      <w:u w:val="single"/>
      <w:lang w:eastAsia="ro-RO" w:bidi="ro-RO"/>
    </w:rPr>
  </w:style>
  <w:style w:type="paragraph" w:customStyle="1" w:styleId="Fichefinancirestandardtitreacte">
    <w:name w:val="Fiche financière (standard) titre (acte)"/>
    <w:basedOn w:val="Normal"/>
    <w:next w:val="Normal"/>
    <w:rsid w:val="00647D0C"/>
    <w:pPr>
      <w:spacing w:line="240" w:lineRule="auto"/>
      <w:jc w:val="center"/>
    </w:pPr>
    <w:rPr>
      <w:rFonts w:eastAsia="Times New Roman"/>
      <w:b/>
      <w:u w:val="single"/>
      <w:lang w:eastAsia="ro-RO" w:bidi="ro-RO"/>
    </w:rPr>
  </w:style>
  <w:style w:type="paragraph" w:customStyle="1" w:styleId="Fichefinanciretravailtitre">
    <w:name w:val="Fiche financière (travail) titre"/>
    <w:basedOn w:val="Normal"/>
    <w:next w:val="Normal"/>
    <w:rsid w:val="00647D0C"/>
    <w:pPr>
      <w:spacing w:line="240" w:lineRule="auto"/>
      <w:jc w:val="center"/>
    </w:pPr>
    <w:rPr>
      <w:rFonts w:eastAsia="Times New Roman"/>
      <w:b/>
      <w:u w:val="single"/>
      <w:lang w:eastAsia="ro-RO" w:bidi="ro-RO"/>
    </w:rPr>
  </w:style>
  <w:style w:type="paragraph" w:customStyle="1" w:styleId="Fichefinanciretravailtitreacte">
    <w:name w:val="Fiche financière (travail) titre (acte)"/>
    <w:basedOn w:val="Normal"/>
    <w:next w:val="Normal"/>
    <w:rsid w:val="00647D0C"/>
    <w:pPr>
      <w:spacing w:line="240" w:lineRule="auto"/>
      <w:jc w:val="center"/>
    </w:pPr>
    <w:rPr>
      <w:rFonts w:eastAsia="Times New Roman"/>
      <w:b/>
      <w:u w:val="single"/>
      <w:lang w:eastAsia="ro-RO" w:bidi="ro-RO"/>
    </w:rPr>
  </w:style>
  <w:style w:type="paragraph" w:customStyle="1" w:styleId="Fichefinancireattributiontitre">
    <w:name w:val="Fiche financière (attribution) titre"/>
    <w:basedOn w:val="Normal"/>
    <w:next w:val="Normal"/>
    <w:rsid w:val="00647D0C"/>
    <w:pPr>
      <w:spacing w:line="240" w:lineRule="auto"/>
      <w:jc w:val="center"/>
    </w:pPr>
    <w:rPr>
      <w:rFonts w:eastAsia="Times New Roman"/>
      <w:b/>
      <w:u w:val="single"/>
      <w:lang w:eastAsia="ro-RO" w:bidi="ro-RO"/>
    </w:rPr>
  </w:style>
  <w:style w:type="paragraph" w:customStyle="1" w:styleId="Fichefinancireattributiontitreacte">
    <w:name w:val="Fiche financière (attribution) titre (acte)"/>
    <w:basedOn w:val="Normal"/>
    <w:next w:val="Normal"/>
    <w:rsid w:val="00647D0C"/>
    <w:pPr>
      <w:spacing w:line="240" w:lineRule="auto"/>
      <w:jc w:val="center"/>
    </w:pPr>
    <w:rPr>
      <w:rFonts w:eastAsia="Times New Roman"/>
      <w:b/>
      <w:u w:val="single"/>
      <w:lang w:eastAsia="ro-RO" w:bidi="ro-RO"/>
    </w:rPr>
  </w:style>
  <w:style w:type="paragraph" w:styleId="Caption">
    <w:name w:val="caption"/>
    <w:basedOn w:val="Normal"/>
    <w:next w:val="Normal"/>
    <w:uiPriority w:val="35"/>
    <w:qFormat/>
    <w:rsid w:val="00647D0C"/>
    <w:pPr>
      <w:spacing w:line="240" w:lineRule="auto"/>
      <w:jc w:val="both"/>
    </w:pPr>
    <w:rPr>
      <w:rFonts w:eastAsia="Times New Roman"/>
      <w:b/>
      <w:bCs/>
      <w:sz w:val="20"/>
      <w:szCs w:val="20"/>
      <w:lang w:eastAsia="ro-RO" w:bidi="ro-RO"/>
    </w:rPr>
  </w:style>
  <w:style w:type="paragraph" w:styleId="TableofFigures">
    <w:name w:val="table of figures"/>
    <w:basedOn w:val="Normal"/>
    <w:next w:val="Normal"/>
    <w:uiPriority w:val="99"/>
    <w:rsid w:val="00647D0C"/>
    <w:pPr>
      <w:spacing w:line="240" w:lineRule="auto"/>
      <w:jc w:val="both"/>
    </w:pPr>
    <w:rPr>
      <w:rFonts w:eastAsia="Times New Roman"/>
      <w:lang w:eastAsia="ro-RO" w:bidi="ro-RO"/>
    </w:rPr>
  </w:style>
  <w:style w:type="character" w:styleId="PageNumber">
    <w:name w:val="page number"/>
    <w:rsid w:val="00647D0C"/>
  </w:style>
  <w:style w:type="character" w:customStyle="1" w:styleId="tw4winMark">
    <w:name w:val="tw4winMark"/>
    <w:rsid w:val="00647D0C"/>
    <w:rPr>
      <w:vanish/>
      <w:color w:val="800080"/>
      <w:vertAlign w:val="subscript"/>
    </w:rPr>
  </w:style>
  <w:style w:type="character" w:styleId="FollowedHyperlink">
    <w:name w:val="FollowedHyperlink"/>
    <w:uiPriority w:val="99"/>
    <w:rsid w:val="00647D0C"/>
    <w:rPr>
      <w:color w:val="800080"/>
      <w:u w:val="single"/>
    </w:rPr>
  </w:style>
  <w:style w:type="paragraph" w:customStyle="1" w:styleId="Sous-titreobjetPagedecouverture">
    <w:name w:val="Sous-titre objet (Page de couverture)"/>
    <w:basedOn w:val="Sous-titreobjet"/>
    <w:rsid w:val="00647D0C"/>
    <w:pPr>
      <w:spacing w:line="240" w:lineRule="auto"/>
    </w:pPr>
    <w:rPr>
      <w:rFonts w:eastAsia="Times New Roman"/>
      <w:lang w:eastAsia="ro-RO" w:bidi="ro-RO"/>
    </w:rPr>
  </w:style>
  <w:style w:type="paragraph" w:customStyle="1" w:styleId="FooterCoverPage">
    <w:name w:val="Footer Cover Page"/>
    <w:basedOn w:val="Normal"/>
    <w:link w:val="FooterCoverPageChar"/>
    <w:rsid w:val="00647D0C"/>
    <w:pPr>
      <w:tabs>
        <w:tab w:val="center" w:pos="4535"/>
        <w:tab w:val="right" w:pos="9071"/>
        <w:tab w:val="right" w:pos="9921"/>
      </w:tabs>
      <w:spacing w:before="360" w:after="0" w:line="240" w:lineRule="auto"/>
      <w:ind w:left="-850" w:right="-850"/>
    </w:pPr>
    <w:rPr>
      <w:rFonts w:eastAsia="Calibri"/>
      <w:lang w:eastAsia="ro-RO" w:bidi="ro-RO"/>
    </w:rPr>
  </w:style>
  <w:style w:type="character" w:customStyle="1" w:styleId="TOCHeadingChar">
    <w:name w:val="TOC Heading Char"/>
    <w:uiPriority w:val="39"/>
    <w:rsid w:val="00647D0C"/>
    <w:rPr>
      <w:rFonts w:ascii="Times New Roman" w:hAnsi="Times New Roman" w:cs="Times New Roman"/>
      <w:b/>
      <w:sz w:val="28"/>
      <w:lang w:val="ro-RO" w:eastAsia="ro-RO" w:bidi="ro-RO"/>
    </w:rPr>
  </w:style>
  <w:style w:type="character" w:customStyle="1" w:styleId="FooterCoverPageChar">
    <w:name w:val="Footer Cover Page Char"/>
    <w:link w:val="FooterCoverPage"/>
    <w:rsid w:val="00647D0C"/>
    <w:rPr>
      <w:rFonts w:ascii="Times New Roman" w:eastAsia="Calibri" w:hAnsi="Times New Roman" w:cs="Times New Roman"/>
      <w:sz w:val="24"/>
      <w:lang w:val="ro-RO" w:eastAsia="ro-RO" w:bidi="ro-RO"/>
    </w:rPr>
  </w:style>
  <w:style w:type="paragraph" w:customStyle="1" w:styleId="HeaderCoverPage">
    <w:name w:val="Header Cover Page"/>
    <w:basedOn w:val="Normal"/>
    <w:link w:val="HeaderCoverPageChar"/>
    <w:rsid w:val="00647D0C"/>
    <w:pPr>
      <w:tabs>
        <w:tab w:val="center" w:pos="4535"/>
        <w:tab w:val="right" w:pos="9071"/>
      </w:tabs>
      <w:spacing w:before="0" w:line="240" w:lineRule="auto"/>
      <w:jc w:val="both"/>
    </w:pPr>
    <w:rPr>
      <w:rFonts w:eastAsia="Calibri"/>
      <w:lang w:eastAsia="ro-RO" w:bidi="ro-RO"/>
    </w:rPr>
  </w:style>
  <w:style w:type="character" w:customStyle="1" w:styleId="HeaderCoverPageChar">
    <w:name w:val="Header Cover Page Char"/>
    <w:link w:val="HeaderCoverPage"/>
    <w:rsid w:val="00647D0C"/>
    <w:rPr>
      <w:rFonts w:ascii="Times New Roman" w:eastAsia="Calibri" w:hAnsi="Times New Roman" w:cs="Times New Roman"/>
      <w:sz w:val="24"/>
      <w:lang w:val="ro-RO" w:eastAsia="ro-RO" w:bidi="ro-RO"/>
    </w:rPr>
  </w:style>
  <w:style w:type="paragraph" w:customStyle="1" w:styleId="Default">
    <w:name w:val="Default"/>
    <w:rsid w:val="00647D0C"/>
    <w:pPr>
      <w:autoSpaceDE w:val="0"/>
      <w:autoSpaceDN w:val="0"/>
      <w:adjustRightInd w:val="0"/>
      <w:spacing w:after="0" w:line="240" w:lineRule="auto"/>
    </w:pPr>
    <w:rPr>
      <w:rFonts w:ascii="Times New Roman" w:hAnsi="Times New Roman" w:cs="Times New Roman"/>
      <w:color w:val="000000"/>
      <w:sz w:val="24"/>
      <w:szCs w:val="24"/>
      <w:lang w:val="ro-RO" w:eastAsia="ro-RO" w:bidi="ro-RO"/>
    </w:rPr>
  </w:style>
  <w:style w:type="table" w:customStyle="1" w:styleId="Table11">
    <w:name w:val="Table 11"/>
    <w:basedOn w:val="TableNormal"/>
    <w:uiPriority w:val="99"/>
    <w:rsid w:val="00647D0C"/>
    <w:pPr>
      <w:spacing w:after="0" w:line="240" w:lineRule="auto"/>
      <w:jc w:val="center"/>
    </w:pPr>
    <w:rPr>
      <w:rFonts w:ascii="Trebuchet MS" w:hAnsi="Trebuchet MS"/>
      <w:sz w:val="16"/>
      <w:szCs w:val="20"/>
      <w:lang w:val="ro-RO" w:eastAsia="ro-RO" w:bidi="ro-RO"/>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647D0C"/>
    <w:pPr>
      <w:spacing w:line="240" w:lineRule="auto"/>
    </w:pPr>
    <w:rPr>
      <w:lang w:eastAsia="ro-RO" w:bidi="ro-RO"/>
    </w:rPr>
  </w:style>
  <w:style w:type="table" w:customStyle="1" w:styleId="TableGrid2">
    <w:name w:val="Table Grid2"/>
    <w:basedOn w:val="TableNormal"/>
    <w:next w:val="TableGrid"/>
    <w:rsid w:val="00647D0C"/>
    <w:pPr>
      <w:spacing w:before="120" w:after="120" w:line="240" w:lineRule="auto"/>
      <w:jc w:val="both"/>
    </w:pPr>
    <w:rPr>
      <w:rFonts w:ascii="Times New Roman" w:eastAsia="Times New Roman" w:hAnsi="Times New Roman" w:cs="Times New Roman"/>
      <w:sz w:val="20"/>
      <w:szCs w:val="20"/>
      <w:lang w:val="ro-RO" w:eastAsia="ro-RO"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647D0C"/>
    <w:pPr>
      <w:spacing w:after="0" w:line="240" w:lineRule="auto"/>
      <w:jc w:val="center"/>
    </w:pPr>
    <w:rPr>
      <w:rFonts w:ascii="Trebuchet MS" w:hAnsi="Trebuchet MS"/>
      <w:sz w:val="16"/>
      <w:szCs w:val="20"/>
      <w:lang w:val="ro-RO" w:eastAsia="ro-RO" w:bidi="ro-RO"/>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11">
    <w:name w:val="No List111"/>
    <w:next w:val="NoList"/>
    <w:uiPriority w:val="99"/>
    <w:semiHidden/>
    <w:unhideWhenUsed/>
    <w:rsid w:val="00647D0C"/>
  </w:style>
  <w:style w:type="table" w:customStyle="1" w:styleId="TableGrid3">
    <w:name w:val="Table Grid3"/>
    <w:basedOn w:val="TableNormal"/>
    <w:next w:val="TableGrid"/>
    <w:rsid w:val="00647D0C"/>
    <w:pPr>
      <w:spacing w:before="120" w:after="120" w:line="240" w:lineRule="auto"/>
      <w:jc w:val="both"/>
    </w:pPr>
    <w:rPr>
      <w:rFonts w:ascii="Times New Roman" w:eastAsia="Times New Roman" w:hAnsi="Times New Roman" w:cs="Times New Roman"/>
      <w:sz w:val="20"/>
      <w:szCs w:val="20"/>
      <w:lang w:val="ro-RO" w:eastAsia="ro-RO"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647D0C"/>
    <w:pPr>
      <w:spacing w:after="0" w:line="240" w:lineRule="auto"/>
      <w:jc w:val="center"/>
    </w:pPr>
    <w:rPr>
      <w:rFonts w:ascii="Trebuchet MS" w:hAnsi="Trebuchet MS"/>
      <w:sz w:val="16"/>
      <w:szCs w:val="20"/>
      <w:lang w:val="ro-RO" w:eastAsia="ro-RO" w:bidi="ro-RO"/>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1">
    <w:name w:val="Table Grid11"/>
    <w:basedOn w:val="TableNormal"/>
    <w:next w:val="TableGrid"/>
    <w:rsid w:val="00647D0C"/>
    <w:pPr>
      <w:spacing w:before="120" w:after="120" w:line="240" w:lineRule="auto"/>
      <w:jc w:val="both"/>
    </w:pPr>
    <w:rPr>
      <w:rFonts w:ascii="Times New Roman" w:eastAsia="Times New Roman" w:hAnsi="Times New Roman" w:cs="Times New Roman"/>
      <w:sz w:val="20"/>
      <w:szCs w:val="20"/>
      <w:lang w:val="ro-RO" w:eastAsia="ro-RO"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647D0C"/>
  </w:style>
  <w:style w:type="table" w:customStyle="1" w:styleId="TableGrid4">
    <w:name w:val="Table Grid4"/>
    <w:basedOn w:val="TableNormal"/>
    <w:next w:val="TableGrid"/>
    <w:rsid w:val="00647D0C"/>
    <w:pPr>
      <w:spacing w:before="120" w:after="120" w:line="240" w:lineRule="auto"/>
      <w:jc w:val="both"/>
    </w:pPr>
    <w:rPr>
      <w:rFonts w:ascii="Times New Roman" w:eastAsia="Times New Roman" w:hAnsi="Times New Roman" w:cs="Times New Roman"/>
      <w:sz w:val="20"/>
      <w:szCs w:val="20"/>
      <w:lang w:val="ro-RO" w:eastAsia="ro-RO"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647D0C"/>
    <w:pPr>
      <w:spacing w:after="0" w:line="240" w:lineRule="auto"/>
      <w:jc w:val="center"/>
    </w:pPr>
    <w:rPr>
      <w:rFonts w:ascii="Trebuchet MS" w:hAnsi="Trebuchet MS"/>
      <w:sz w:val="16"/>
      <w:szCs w:val="20"/>
      <w:lang w:val="ro-RO" w:eastAsia="ro-RO" w:bidi="ro-RO"/>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647D0C"/>
    <w:pPr>
      <w:spacing w:before="120" w:after="120" w:line="240" w:lineRule="auto"/>
      <w:jc w:val="both"/>
    </w:pPr>
    <w:rPr>
      <w:rFonts w:ascii="Times New Roman" w:eastAsia="Times New Roman" w:hAnsi="Times New Roman" w:cs="Times New Roman"/>
      <w:sz w:val="20"/>
      <w:szCs w:val="20"/>
      <w:lang w:val="ro-RO" w:eastAsia="ro-RO"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number1">
    <w:name w:val="Par-number 1)"/>
    <w:basedOn w:val="Normal"/>
    <w:next w:val="Normal"/>
    <w:rsid w:val="00647D0C"/>
    <w:pPr>
      <w:widowControl w:val="0"/>
      <w:tabs>
        <w:tab w:val="num" w:pos="567"/>
      </w:tabs>
      <w:autoSpaceDE w:val="0"/>
      <w:autoSpaceDN w:val="0"/>
      <w:adjustRightInd w:val="0"/>
      <w:spacing w:before="0" w:after="0"/>
      <w:ind w:left="567" w:hanging="567"/>
    </w:pPr>
    <w:rPr>
      <w:rFonts w:eastAsia="Times New Roman"/>
      <w:szCs w:val="24"/>
      <w:lang w:eastAsia="ro-RO" w:bidi="ro-RO"/>
    </w:rPr>
  </w:style>
  <w:style w:type="paragraph" w:customStyle="1" w:styleId="Par-bullet">
    <w:name w:val="Par-bullet"/>
    <w:basedOn w:val="Normal"/>
    <w:next w:val="Normal"/>
    <w:rsid w:val="00647D0C"/>
    <w:pPr>
      <w:widowControl w:val="0"/>
      <w:tabs>
        <w:tab w:val="num" w:pos="567"/>
      </w:tabs>
      <w:autoSpaceDE w:val="0"/>
      <w:autoSpaceDN w:val="0"/>
      <w:adjustRightInd w:val="0"/>
      <w:spacing w:before="0" w:after="0"/>
      <w:ind w:left="567" w:hanging="567"/>
    </w:pPr>
    <w:rPr>
      <w:rFonts w:eastAsia="Times New Roman"/>
      <w:szCs w:val="24"/>
      <w:lang w:eastAsia="ro-RO" w:bidi="ro-RO"/>
    </w:rPr>
  </w:style>
  <w:style w:type="paragraph" w:customStyle="1" w:styleId="Par-equal">
    <w:name w:val="Par-equal"/>
    <w:basedOn w:val="Normal"/>
    <w:next w:val="Normal"/>
    <w:rsid w:val="00647D0C"/>
    <w:pPr>
      <w:widowControl w:val="0"/>
      <w:tabs>
        <w:tab w:val="num" w:pos="567"/>
      </w:tabs>
      <w:autoSpaceDE w:val="0"/>
      <w:autoSpaceDN w:val="0"/>
      <w:adjustRightInd w:val="0"/>
      <w:spacing w:before="0" w:after="0"/>
      <w:ind w:left="567" w:hanging="567"/>
    </w:pPr>
    <w:rPr>
      <w:rFonts w:eastAsia="Times New Roman"/>
      <w:szCs w:val="24"/>
      <w:lang w:eastAsia="ro-RO" w:bidi="ro-RO"/>
    </w:rPr>
  </w:style>
  <w:style w:type="paragraph" w:customStyle="1" w:styleId="Par-number10">
    <w:name w:val="Par-number (1)"/>
    <w:basedOn w:val="Normal"/>
    <w:next w:val="Normal"/>
    <w:rsid w:val="00647D0C"/>
    <w:pPr>
      <w:widowControl w:val="0"/>
      <w:tabs>
        <w:tab w:val="num" w:pos="567"/>
      </w:tabs>
      <w:autoSpaceDE w:val="0"/>
      <w:autoSpaceDN w:val="0"/>
      <w:adjustRightInd w:val="0"/>
      <w:spacing w:before="0" w:after="0"/>
      <w:ind w:left="567" w:hanging="567"/>
    </w:pPr>
    <w:rPr>
      <w:rFonts w:eastAsia="Times New Roman"/>
      <w:szCs w:val="24"/>
      <w:lang w:eastAsia="ro-RO" w:bidi="ro-RO"/>
    </w:rPr>
  </w:style>
  <w:style w:type="paragraph" w:customStyle="1" w:styleId="Par-number11">
    <w:name w:val="Par-number 1."/>
    <w:basedOn w:val="Normal"/>
    <w:next w:val="Normal"/>
    <w:rsid w:val="00647D0C"/>
    <w:pPr>
      <w:widowControl w:val="0"/>
      <w:tabs>
        <w:tab w:val="num" w:pos="567"/>
      </w:tabs>
      <w:autoSpaceDE w:val="0"/>
      <w:autoSpaceDN w:val="0"/>
      <w:adjustRightInd w:val="0"/>
      <w:spacing w:before="0" w:after="0"/>
      <w:ind w:left="567" w:hanging="567"/>
    </w:pPr>
    <w:rPr>
      <w:rFonts w:eastAsia="Times New Roman"/>
      <w:szCs w:val="24"/>
      <w:lang w:eastAsia="ro-RO" w:bidi="ro-RO"/>
    </w:rPr>
  </w:style>
  <w:style w:type="paragraph" w:customStyle="1" w:styleId="Par-numberI">
    <w:name w:val="Par-number I."/>
    <w:basedOn w:val="Normal"/>
    <w:next w:val="Normal"/>
    <w:rsid w:val="00647D0C"/>
    <w:pPr>
      <w:widowControl w:val="0"/>
      <w:tabs>
        <w:tab w:val="num" w:pos="567"/>
      </w:tabs>
      <w:autoSpaceDE w:val="0"/>
      <w:autoSpaceDN w:val="0"/>
      <w:adjustRightInd w:val="0"/>
      <w:spacing w:before="0" w:after="0"/>
      <w:ind w:left="567" w:hanging="567"/>
    </w:pPr>
    <w:rPr>
      <w:rFonts w:eastAsia="Times New Roman"/>
      <w:szCs w:val="24"/>
      <w:lang w:eastAsia="ro-RO" w:bidi="ro-RO"/>
    </w:rPr>
  </w:style>
  <w:style w:type="paragraph" w:customStyle="1" w:styleId="Par-dash">
    <w:name w:val="Par-dash"/>
    <w:basedOn w:val="Normal"/>
    <w:next w:val="Normal"/>
    <w:rsid w:val="00647D0C"/>
    <w:pPr>
      <w:widowControl w:val="0"/>
      <w:tabs>
        <w:tab w:val="num" w:pos="567"/>
      </w:tabs>
      <w:autoSpaceDE w:val="0"/>
      <w:autoSpaceDN w:val="0"/>
      <w:adjustRightInd w:val="0"/>
      <w:spacing w:before="0" w:after="0"/>
      <w:ind w:left="567" w:hanging="567"/>
    </w:pPr>
    <w:rPr>
      <w:rFonts w:eastAsia="Times New Roman"/>
      <w:szCs w:val="24"/>
      <w:lang w:eastAsia="ro-RO" w:bidi="ro-RO"/>
    </w:rPr>
  </w:style>
  <w:style w:type="paragraph" w:customStyle="1" w:styleId="Par-numberA">
    <w:name w:val="Par-number A."/>
    <w:basedOn w:val="Normal"/>
    <w:next w:val="Normal"/>
    <w:rsid w:val="00647D0C"/>
    <w:pPr>
      <w:widowControl w:val="0"/>
      <w:tabs>
        <w:tab w:val="num" w:pos="567"/>
      </w:tabs>
      <w:autoSpaceDE w:val="0"/>
      <w:autoSpaceDN w:val="0"/>
      <w:adjustRightInd w:val="0"/>
      <w:spacing w:before="0" w:after="0"/>
      <w:ind w:left="567" w:hanging="567"/>
    </w:pPr>
    <w:rPr>
      <w:rFonts w:eastAsia="Times New Roman"/>
      <w:szCs w:val="24"/>
      <w:lang w:eastAsia="ro-RO" w:bidi="ro-RO"/>
    </w:rPr>
  </w:style>
  <w:style w:type="paragraph" w:customStyle="1" w:styleId="AC">
    <w:name w:val="AC"/>
    <w:basedOn w:val="Normal"/>
    <w:next w:val="Normal"/>
    <w:rsid w:val="00647D0C"/>
    <w:pPr>
      <w:widowControl w:val="0"/>
      <w:autoSpaceDE w:val="0"/>
      <w:autoSpaceDN w:val="0"/>
      <w:adjustRightInd w:val="0"/>
      <w:spacing w:before="0" w:after="0"/>
    </w:pPr>
    <w:rPr>
      <w:rFonts w:eastAsia="Times New Roman"/>
      <w:b/>
      <w:bCs/>
      <w:sz w:val="40"/>
      <w:szCs w:val="40"/>
      <w:lang w:eastAsia="ro-RO" w:bidi="ro-RO"/>
    </w:rPr>
  </w:style>
  <w:style w:type="paragraph" w:customStyle="1" w:styleId="Par-numberi0">
    <w:name w:val="Par-number (i)"/>
    <w:basedOn w:val="Normal"/>
    <w:next w:val="Normal"/>
    <w:rsid w:val="00647D0C"/>
    <w:pPr>
      <w:widowControl w:val="0"/>
      <w:tabs>
        <w:tab w:val="left" w:pos="567"/>
      </w:tabs>
      <w:autoSpaceDE w:val="0"/>
      <w:autoSpaceDN w:val="0"/>
      <w:adjustRightInd w:val="0"/>
      <w:spacing w:before="0" w:after="0"/>
      <w:ind w:left="567" w:hanging="567"/>
    </w:pPr>
    <w:rPr>
      <w:rFonts w:eastAsia="Times New Roman"/>
      <w:szCs w:val="24"/>
      <w:lang w:eastAsia="ro-RO" w:bidi="ro-RO"/>
    </w:rPr>
  </w:style>
  <w:style w:type="paragraph" w:customStyle="1" w:styleId="Par-numbera0">
    <w:name w:val="Par-number (a)"/>
    <w:basedOn w:val="Normal"/>
    <w:next w:val="Normal"/>
    <w:rsid w:val="00647D0C"/>
    <w:pPr>
      <w:widowControl w:val="0"/>
      <w:tabs>
        <w:tab w:val="num" w:pos="567"/>
      </w:tabs>
      <w:autoSpaceDE w:val="0"/>
      <w:autoSpaceDN w:val="0"/>
      <w:adjustRightInd w:val="0"/>
      <w:spacing w:before="0" w:after="0"/>
      <w:ind w:left="567" w:hanging="567"/>
    </w:pPr>
    <w:rPr>
      <w:rFonts w:eastAsia="Times New Roman"/>
      <w:szCs w:val="24"/>
      <w:lang w:eastAsia="ro-RO" w:bidi="ro-RO"/>
    </w:rPr>
  </w:style>
  <w:style w:type="character" w:customStyle="1" w:styleId="DontTranslate">
    <w:name w:val="DontTranslate"/>
    <w:basedOn w:val="DefaultParagraphFont"/>
    <w:rsid w:val="00647D0C"/>
    <w:rPr>
      <w:rFonts w:cs="Times New Roman"/>
      <w:color w:val="auto"/>
      <w:spacing w:val="0"/>
    </w:rPr>
  </w:style>
  <w:style w:type="paragraph" w:customStyle="1" w:styleId="AddReference">
    <w:name w:val="Add Reference"/>
    <w:basedOn w:val="Normal"/>
    <w:rsid w:val="00647D0C"/>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0" w:after="0" w:line="240" w:lineRule="auto"/>
      <w:ind w:left="7655" w:right="-454"/>
    </w:pPr>
    <w:rPr>
      <w:rFonts w:eastAsia="Times New Roman"/>
      <w:i/>
      <w:iCs/>
      <w:sz w:val="20"/>
      <w:szCs w:val="20"/>
      <w:lang w:eastAsia="ro-RO" w:bidi="ro-RO"/>
    </w:rPr>
  </w:style>
  <w:style w:type="paragraph" w:styleId="DocumentMap">
    <w:name w:val="Document Map"/>
    <w:basedOn w:val="Normal"/>
    <w:link w:val="DocumentMapChar"/>
    <w:uiPriority w:val="99"/>
    <w:semiHidden/>
    <w:rsid w:val="00647D0C"/>
    <w:pPr>
      <w:widowControl w:val="0"/>
      <w:shd w:val="clear" w:color="auto" w:fill="000080"/>
      <w:autoSpaceDE w:val="0"/>
      <w:autoSpaceDN w:val="0"/>
      <w:adjustRightInd w:val="0"/>
      <w:spacing w:before="0" w:after="0"/>
    </w:pPr>
    <w:rPr>
      <w:rFonts w:ascii="Tahoma" w:eastAsia="Times New Roman" w:hAnsi="Tahoma" w:cs="Tahoma"/>
      <w:szCs w:val="24"/>
      <w:lang w:eastAsia="ro-RO" w:bidi="ro-RO"/>
    </w:rPr>
  </w:style>
  <w:style w:type="character" w:customStyle="1" w:styleId="DocumentMapChar">
    <w:name w:val="Document Map Char"/>
    <w:basedOn w:val="DefaultParagraphFont"/>
    <w:link w:val="DocumentMap"/>
    <w:uiPriority w:val="99"/>
    <w:semiHidden/>
    <w:rsid w:val="00647D0C"/>
    <w:rPr>
      <w:rFonts w:ascii="Tahoma" w:eastAsia="Times New Roman" w:hAnsi="Tahoma" w:cs="Tahoma"/>
      <w:sz w:val="24"/>
      <w:szCs w:val="24"/>
      <w:shd w:val="clear" w:color="auto" w:fill="000080"/>
      <w:lang w:val="ro-RO" w:eastAsia="ro-RO" w:bidi="ro-RO"/>
    </w:rPr>
  </w:style>
  <w:style w:type="paragraph" w:customStyle="1" w:styleId="RKrubrik">
    <w:name w:val="RKrubrik"/>
    <w:basedOn w:val="Normal"/>
    <w:next w:val="Normal"/>
    <w:rsid w:val="00647D0C"/>
    <w:pPr>
      <w:keepNext/>
      <w:tabs>
        <w:tab w:val="left" w:pos="1134"/>
        <w:tab w:val="left" w:pos="2835"/>
      </w:tabs>
      <w:autoSpaceDE w:val="0"/>
      <w:autoSpaceDN w:val="0"/>
      <w:adjustRightInd w:val="0"/>
      <w:spacing w:before="360" w:line="240" w:lineRule="atLeast"/>
    </w:pPr>
    <w:rPr>
      <w:rFonts w:ascii="TradeGothic" w:eastAsia="Times New Roman" w:hAnsi="TradeGothic" w:cs="TradeGothic"/>
      <w:b/>
      <w:bCs/>
      <w:sz w:val="22"/>
      <w:lang w:eastAsia="ro-RO" w:bidi="ro-RO"/>
    </w:rPr>
  </w:style>
  <w:style w:type="character" w:customStyle="1" w:styleId="Heading1Char1">
    <w:name w:val="Heading 1 Char1"/>
    <w:basedOn w:val="DefaultParagraphFont"/>
    <w:rsid w:val="00647D0C"/>
    <w:rPr>
      <w:rFonts w:cs="Times New Roman"/>
      <w:b/>
      <w:bCs/>
      <w:smallCaps/>
      <w:spacing w:val="0"/>
      <w:sz w:val="24"/>
      <w:szCs w:val="24"/>
      <w:lang w:val="ro-RO" w:eastAsia="ro-RO" w:bidi="ro-RO"/>
    </w:rPr>
  </w:style>
  <w:style w:type="character" w:customStyle="1" w:styleId="Heading2Char1">
    <w:name w:val="Heading 2 Char1"/>
    <w:basedOn w:val="DefaultParagraphFont"/>
    <w:rsid w:val="00647D0C"/>
    <w:rPr>
      <w:rFonts w:cs="Times New Roman"/>
      <w:b/>
      <w:bCs/>
      <w:spacing w:val="0"/>
      <w:sz w:val="24"/>
      <w:szCs w:val="24"/>
      <w:lang w:val="ro-RO" w:eastAsia="ro-RO" w:bidi="ro-RO"/>
    </w:rPr>
  </w:style>
  <w:style w:type="character" w:customStyle="1" w:styleId="Heading3Char1">
    <w:name w:val="Heading 3 Char1"/>
    <w:basedOn w:val="DefaultParagraphFont"/>
    <w:rsid w:val="00647D0C"/>
    <w:rPr>
      <w:rFonts w:cs="Times New Roman"/>
      <w:i/>
      <w:iCs/>
      <w:spacing w:val="0"/>
      <w:sz w:val="24"/>
      <w:szCs w:val="24"/>
      <w:lang w:val="ro-RO" w:eastAsia="ro-RO" w:bidi="ro-RO"/>
    </w:rPr>
  </w:style>
  <w:style w:type="character" w:customStyle="1" w:styleId="Heading4Char1">
    <w:name w:val="Heading 4 Char1"/>
    <w:basedOn w:val="DefaultParagraphFont"/>
    <w:rsid w:val="00647D0C"/>
    <w:rPr>
      <w:rFonts w:cs="Times New Roman"/>
      <w:spacing w:val="0"/>
      <w:sz w:val="24"/>
      <w:szCs w:val="24"/>
      <w:lang w:val="ro-RO" w:eastAsia="ro-RO" w:bidi="ro-RO"/>
    </w:rPr>
  </w:style>
  <w:style w:type="character" w:customStyle="1" w:styleId="Heading5Char1">
    <w:name w:val="Heading 5 Char1"/>
    <w:basedOn w:val="DefaultParagraphFont"/>
    <w:rsid w:val="00647D0C"/>
    <w:rPr>
      <w:rFonts w:ascii="Arial" w:hAnsi="Arial" w:cs="Arial"/>
      <w:spacing w:val="0"/>
      <w:sz w:val="24"/>
      <w:szCs w:val="24"/>
      <w:lang w:val="ro-RO" w:eastAsia="ro-RO" w:bidi="ro-RO"/>
    </w:rPr>
  </w:style>
  <w:style w:type="character" w:customStyle="1" w:styleId="Heading6Char1">
    <w:name w:val="Heading 6 Char1"/>
    <w:basedOn w:val="DefaultParagraphFont"/>
    <w:rsid w:val="00647D0C"/>
    <w:rPr>
      <w:rFonts w:ascii="Arial" w:hAnsi="Arial" w:cs="Arial"/>
      <w:i/>
      <w:iCs/>
      <w:spacing w:val="0"/>
      <w:sz w:val="24"/>
      <w:szCs w:val="24"/>
      <w:lang w:val="ro-RO" w:eastAsia="ro-RO" w:bidi="ro-RO"/>
    </w:rPr>
  </w:style>
  <w:style w:type="character" w:customStyle="1" w:styleId="Heading7Char1">
    <w:name w:val="Heading 7 Char1"/>
    <w:basedOn w:val="DefaultParagraphFont"/>
    <w:rsid w:val="00647D0C"/>
    <w:rPr>
      <w:rFonts w:ascii="Arial" w:hAnsi="Arial" w:cs="Arial"/>
      <w:spacing w:val="0"/>
      <w:sz w:val="24"/>
      <w:szCs w:val="24"/>
      <w:lang w:val="ro-RO" w:eastAsia="ro-RO" w:bidi="ro-RO"/>
    </w:rPr>
  </w:style>
  <w:style w:type="character" w:customStyle="1" w:styleId="Heading8Char1">
    <w:name w:val="Heading 8 Char1"/>
    <w:basedOn w:val="DefaultParagraphFont"/>
    <w:rsid w:val="00647D0C"/>
    <w:rPr>
      <w:rFonts w:ascii="Arial" w:hAnsi="Arial" w:cs="Arial"/>
      <w:i/>
      <w:iCs/>
      <w:spacing w:val="0"/>
      <w:sz w:val="24"/>
      <w:szCs w:val="24"/>
      <w:lang w:val="ro-RO" w:eastAsia="ro-RO" w:bidi="ro-RO"/>
    </w:rPr>
  </w:style>
  <w:style w:type="character" w:customStyle="1" w:styleId="Heading9Char1">
    <w:name w:val="Heading 9 Char1"/>
    <w:basedOn w:val="DefaultParagraphFont"/>
    <w:rsid w:val="00647D0C"/>
    <w:rPr>
      <w:rFonts w:ascii="Arial" w:hAnsi="Arial" w:cs="Arial"/>
      <w:i/>
      <w:iCs/>
      <w:spacing w:val="0"/>
      <w:sz w:val="24"/>
      <w:szCs w:val="24"/>
      <w:lang w:val="ro-RO" w:eastAsia="ro-RO" w:bidi="ro-RO"/>
    </w:rPr>
  </w:style>
  <w:style w:type="character" w:customStyle="1" w:styleId="BalloonTextChar1">
    <w:name w:val="Balloon Text Char1"/>
    <w:basedOn w:val="DefaultParagraphFont"/>
    <w:rsid w:val="00647D0C"/>
    <w:rPr>
      <w:rFonts w:ascii="Tahoma" w:hAnsi="Tahoma" w:cs="Tahoma"/>
      <w:spacing w:val="0"/>
      <w:sz w:val="16"/>
      <w:szCs w:val="16"/>
      <w:lang w:val="ro-RO" w:eastAsia="ro-RO" w:bidi="ro-RO"/>
    </w:rPr>
  </w:style>
  <w:style w:type="character" w:customStyle="1" w:styleId="HeaderChar1">
    <w:name w:val="Header Char1"/>
    <w:basedOn w:val="DefaultParagraphFont"/>
    <w:rsid w:val="00647D0C"/>
    <w:rPr>
      <w:rFonts w:cs="Times New Roman"/>
      <w:spacing w:val="0"/>
      <w:sz w:val="24"/>
      <w:szCs w:val="24"/>
      <w:lang w:val="ro-RO" w:eastAsia="ro-RO" w:bidi="ro-RO"/>
    </w:rPr>
  </w:style>
  <w:style w:type="character" w:customStyle="1" w:styleId="FooterChar1">
    <w:name w:val="Footer Char1"/>
    <w:basedOn w:val="DefaultParagraphFont"/>
    <w:rsid w:val="00647D0C"/>
    <w:rPr>
      <w:rFonts w:cs="Times New Roman"/>
      <w:spacing w:val="0"/>
      <w:sz w:val="24"/>
      <w:szCs w:val="24"/>
      <w:lang w:val="ro-RO" w:eastAsia="ro-RO" w:bidi="ro-RO"/>
    </w:rPr>
  </w:style>
  <w:style w:type="paragraph" w:customStyle="1" w:styleId="Overskrift1">
    <w:name w:val="Overskrift1"/>
    <w:basedOn w:val="Normal"/>
    <w:next w:val="Normal"/>
    <w:rsid w:val="00647D0C"/>
    <w:pPr>
      <w:autoSpaceDE w:val="0"/>
      <w:autoSpaceDN w:val="0"/>
      <w:adjustRightInd w:val="0"/>
      <w:spacing w:after="240"/>
      <w:jc w:val="center"/>
    </w:pPr>
    <w:rPr>
      <w:rFonts w:eastAsia="Times New Roman"/>
      <w:b/>
      <w:bCs/>
      <w:sz w:val="28"/>
      <w:szCs w:val="28"/>
      <w:lang w:eastAsia="ro-RO" w:bidi="ro-RO"/>
    </w:rPr>
  </w:style>
  <w:style w:type="paragraph" w:styleId="BlockText">
    <w:name w:val="Block Text"/>
    <w:basedOn w:val="Normal"/>
    <w:uiPriority w:val="99"/>
    <w:rsid w:val="00647D0C"/>
    <w:pPr>
      <w:autoSpaceDE w:val="0"/>
      <w:autoSpaceDN w:val="0"/>
      <w:adjustRightInd w:val="0"/>
      <w:ind w:left="1440" w:right="1440"/>
    </w:pPr>
    <w:rPr>
      <w:rFonts w:eastAsia="Times New Roman"/>
      <w:szCs w:val="24"/>
      <w:lang w:eastAsia="ro-RO" w:bidi="ro-RO"/>
    </w:rPr>
  </w:style>
  <w:style w:type="paragraph" w:styleId="BodyText">
    <w:name w:val="Body Text"/>
    <w:basedOn w:val="Normal"/>
    <w:link w:val="BodyTextChar"/>
    <w:uiPriority w:val="99"/>
    <w:rsid w:val="00647D0C"/>
    <w:pPr>
      <w:autoSpaceDE w:val="0"/>
      <w:autoSpaceDN w:val="0"/>
      <w:adjustRightInd w:val="0"/>
    </w:pPr>
    <w:rPr>
      <w:rFonts w:eastAsia="Times New Roman"/>
      <w:szCs w:val="24"/>
      <w:lang w:eastAsia="ro-RO" w:bidi="ro-RO"/>
    </w:rPr>
  </w:style>
  <w:style w:type="character" w:customStyle="1" w:styleId="BodyTextChar">
    <w:name w:val="Body Text Char"/>
    <w:basedOn w:val="DefaultParagraphFont"/>
    <w:link w:val="BodyText"/>
    <w:uiPriority w:val="99"/>
    <w:rsid w:val="00647D0C"/>
    <w:rPr>
      <w:rFonts w:ascii="Times New Roman" w:eastAsia="Times New Roman" w:hAnsi="Times New Roman" w:cs="Times New Roman"/>
      <w:sz w:val="24"/>
      <w:szCs w:val="24"/>
      <w:lang w:val="ro-RO" w:eastAsia="ro-RO" w:bidi="ro-RO"/>
    </w:rPr>
  </w:style>
  <w:style w:type="character" w:customStyle="1" w:styleId="BodyTextChar1">
    <w:name w:val="Body Text Char1"/>
    <w:basedOn w:val="DefaultParagraphFont"/>
    <w:rsid w:val="00647D0C"/>
    <w:rPr>
      <w:rFonts w:cs="Times New Roman"/>
      <w:spacing w:val="0"/>
      <w:sz w:val="24"/>
      <w:szCs w:val="24"/>
      <w:lang w:val="ro-RO" w:eastAsia="ro-RO" w:bidi="ro-RO"/>
    </w:rPr>
  </w:style>
  <w:style w:type="paragraph" w:styleId="BodyTextIndent">
    <w:name w:val="Body Text Indent"/>
    <w:basedOn w:val="Normal"/>
    <w:link w:val="BodyTextIndentChar"/>
    <w:uiPriority w:val="99"/>
    <w:rsid w:val="00647D0C"/>
    <w:pPr>
      <w:autoSpaceDE w:val="0"/>
      <w:autoSpaceDN w:val="0"/>
      <w:adjustRightInd w:val="0"/>
      <w:ind w:left="283"/>
    </w:pPr>
    <w:rPr>
      <w:rFonts w:eastAsia="Times New Roman"/>
      <w:szCs w:val="24"/>
      <w:lang w:eastAsia="ro-RO" w:bidi="ro-RO"/>
    </w:rPr>
  </w:style>
  <w:style w:type="character" w:customStyle="1" w:styleId="BodyTextIndentChar">
    <w:name w:val="Body Text Indent Char"/>
    <w:basedOn w:val="DefaultParagraphFont"/>
    <w:link w:val="BodyTextIndent"/>
    <w:uiPriority w:val="99"/>
    <w:rsid w:val="00647D0C"/>
    <w:rPr>
      <w:rFonts w:ascii="Times New Roman" w:eastAsia="Times New Roman" w:hAnsi="Times New Roman" w:cs="Times New Roman"/>
      <w:sz w:val="24"/>
      <w:szCs w:val="24"/>
      <w:lang w:val="ro-RO" w:eastAsia="ro-RO" w:bidi="ro-RO"/>
    </w:rPr>
  </w:style>
  <w:style w:type="character" w:customStyle="1" w:styleId="BodyText2Char">
    <w:name w:val="Body Text 2 Char"/>
    <w:basedOn w:val="DefaultParagraphFont"/>
    <w:rsid w:val="00647D0C"/>
    <w:rPr>
      <w:rFonts w:ascii="Times New Roman" w:hAnsi="Times New Roman" w:cs="Times New Roman"/>
      <w:spacing w:val="0"/>
      <w:sz w:val="24"/>
      <w:szCs w:val="24"/>
      <w:lang w:val="ro-RO" w:eastAsia="ro-RO" w:bidi="ro-RO"/>
    </w:rPr>
  </w:style>
  <w:style w:type="paragraph" w:styleId="BodyText3">
    <w:name w:val="Body Text 3"/>
    <w:basedOn w:val="Normal"/>
    <w:link w:val="BodyText3Char"/>
    <w:uiPriority w:val="99"/>
    <w:rsid w:val="00647D0C"/>
    <w:pPr>
      <w:autoSpaceDE w:val="0"/>
      <w:autoSpaceDN w:val="0"/>
      <w:adjustRightInd w:val="0"/>
    </w:pPr>
    <w:rPr>
      <w:rFonts w:eastAsia="Times New Roman"/>
      <w:sz w:val="16"/>
      <w:szCs w:val="16"/>
      <w:lang w:eastAsia="ro-RO" w:bidi="ro-RO"/>
    </w:rPr>
  </w:style>
  <w:style w:type="character" w:customStyle="1" w:styleId="BodyText3Char">
    <w:name w:val="Body Text 3 Char"/>
    <w:basedOn w:val="DefaultParagraphFont"/>
    <w:link w:val="BodyText3"/>
    <w:uiPriority w:val="99"/>
    <w:rsid w:val="00647D0C"/>
    <w:rPr>
      <w:rFonts w:ascii="Times New Roman" w:eastAsia="Times New Roman" w:hAnsi="Times New Roman" w:cs="Times New Roman"/>
      <w:sz w:val="16"/>
      <w:szCs w:val="16"/>
      <w:lang w:val="ro-RO" w:eastAsia="ro-RO" w:bidi="ro-RO"/>
    </w:rPr>
  </w:style>
  <w:style w:type="character" w:customStyle="1" w:styleId="BodyText3Char1">
    <w:name w:val="Body Text 3 Char1"/>
    <w:basedOn w:val="DefaultParagraphFont"/>
    <w:rsid w:val="00647D0C"/>
    <w:rPr>
      <w:rFonts w:cs="Times New Roman"/>
      <w:spacing w:val="0"/>
      <w:sz w:val="16"/>
      <w:szCs w:val="16"/>
      <w:lang w:val="ro-RO" w:eastAsia="ro-RO" w:bidi="ro-RO"/>
    </w:rPr>
  </w:style>
  <w:style w:type="paragraph" w:styleId="BodyTextFirstIndent">
    <w:name w:val="Body Text First Indent"/>
    <w:basedOn w:val="BodyText"/>
    <w:link w:val="BodyTextFirstIndentChar"/>
    <w:uiPriority w:val="99"/>
    <w:rsid w:val="00647D0C"/>
    <w:pPr>
      <w:ind w:firstLine="210"/>
    </w:pPr>
  </w:style>
  <w:style w:type="character" w:customStyle="1" w:styleId="BodyTextFirstIndentChar">
    <w:name w:val="Body Text First Indent Char"/>
    <w:basedOn w:val="BodyTextChar"/>
    <w:link w:val="BodyTextFirstIndent"/>
    <w:uiPriority w:val="99"/>
    <w:rsid w:val="00647D0C"/>
    <w:rPr>
      <w:rFonts w:ascii="Times New Roman" w:eastAsia="Times New Roman" w:hAnsi="Times New Roman" w:cs="Times New Roman"/>
      <w:sz w:val="24"/>
      <w:szCs w:val="24"/>
      <w:lang w:val="ro-RO" w:eastAsia="ro-RO" w:bidi="ro-RO"/>
    </w:rPr>
  </w:style>
  <w:style w:type="character" w:customStyle="1" w:styleId="BodyTextFirstIndentChar1">
    <w:name w:val="Body Text First Indent Char1"/>
    <w:basedOn w:val="BodyTextChar1"/>
    <w:rsid w:val="00647D0C"/>
    <w:rPr>
      <w:rFonts w:cs="Times New Roman"/>
      <w:spacing w:val="0"/>
      <w:sz w:val="24"/>
      <w:szCs w:val="24"/>
      <w:lang w:val="ro-RO" w:eastAsia="ro-RO" w:bidi="ro-RO"/>
    </w:rPr>
  </w:style>
  <w:style w:type="character" w:customStyle="1" w:styleId="BodyTextIndentChar1">
    <w:name w:val="Body Text Indent Char1"/>
    <w:basedOn w:val="DefaultParagraphFont"/>
    <w:rsid w:val="00647D0C"/>
    <w:rPr>
      <w:rFonts w:cs="Times New Roman"/>
      <w:spacing w:val="0"/>
      <w:sz w:val="24"/>
      <w:szCs w:val="24"/>
      <w:lang w:val="ro-RO" w:eastAsia="ro-RO" w:bidi="ro-RO"/>
    </w:rPr>
  </w:style>
  <w:style w:type="paragraph" w:styleId="BodyTextFirstIndent2">
    <w:name w:val="Body Text First Indent 2"/>
    <w:basedOn w:val="BodyTextIndent"/>
    <w:link w:val="BodyTextFirstIndent2Char"/>
    <w:uiPriority w:val="99"/>
    <w:rsid w:val="00647D0C"/>
    <w:pPr>
      <w:ind w:firstLine="210"/>
    </w:pPr>
  </w:style>
  <w:style w:type="character" w:customStyle="1" w:styleId="BodyTextFirstIndent2Char">
    <w:name w:val="Body Text First Indent 2 Char"/>
    <w:basedOn w:val="BodyTextIndentChar"/>
    <w:link w:val="BodyTextFirstIndent2"/>
    <w:uiPriority w:val="99"/>
    <w:rsid w:val="00647D0C"/>
    <w:rPr>
      <w:rFonts w:ascii="Times New Roman" w:eastAsia="Times New Roman" w:hAnsi="Times New Roman" w:cs="Times New Roman"/>
      <w:sz w:val="24"/>
      <w:szCs w:val="24"/>
      <w:lang w:val="ro-RO" w:eastAsia="ro-RO" w:bidi="ro-RO"/>
    </w:rPr>
  </w:style>
  <w:style w:type="character" w:customStyle="1" w:styleId="BodyTextFirstIndent2Char1">
    <w:name w:val="Body Text First Indent 2 Char1"/>
    <w:basedOn w:val="BodyTextIndentChar1"/>
    <w:rsid w:val="00647D0C"/>
    <w:rPr>
      <w:rFonts w:cs="Times New Roman"/>
      <w:spacing w:val="0"/>
      <w:sz w:val="24"/>
      <w:szCs w:val="24"/>
      <w:lang w:val="ro-RO" w:eastAsia="ro-RO" w:bidi="ro-RO"/>
    </w:rPr>
  </w:style>
  <w:style w:type="paragraph" w:styleId="BodyTextIndent2">
    <w:name w:val="Body Text Indent 2"/>
    <w:basedOn w:val="Normal"/>
    <w:link w:val="BodyTextIndent2Char"/>
    <w:uiPriority w:val="99"/>
    <w:rsid w:val="00647D0C"/>
    <w:pPr>
      <w:autoSpaceDE w:val="0"/>
      <w:autoSpaceDN w:val="0"/>
      <w:adjustRightInd w:val="0"/>
      <w:spacing w:line="480" w:lineRule="auto"/>
      <w:ind w:left="283"/>
    </w:pPr>
    <w:rPr>
      <w:rFonts w:eastAsia="Times New Roman"/>
      <w:szCs w:val="24"/>
      <w:lang w:eastAsia="ro-RO" w:bidi="ro-RO"/>
    </w:rPr>
  </w:style>
  <w:style w:type="character" w:customStyle="1" w:styleId="BodyTextIndent2Char">
    <w:name w:val="Body Text Indent 2 Char"/>
    <w:basedOn w:val="DefaultParagraphFont"/>
    <w:link w:val="BodyTextIndent2"/>
    <w:uiPriority w:val="99"/>
    <w:rsid w:val="00647D0C"/>
    <w:rPr>
      <w:rFonts w:ascii="Times New Roman" w:eastAsia="Times New Roman" w:hAnsi="Times New Roman" w:cs="Times New Roman"/>
      <w:sz w:val="24"/>
      <w:szCs w:val="24"/>
      <w:lang w:val="ro-RO" w:eastAsia="ro-RO" w:bidi="ro-RO"/>
    </w:rPr>
  </w:style>
  <w:style w:type="character" w:customStyle="1" w:styleId="BodyTextIndent2Char1">
    <w:name w:val="Body Text Indent 2 Char1"/>
    <w:basedOn w:val="DefaultParagraphFont"/>
    <w:rsid w:val="00647D0C"/>
    <w:rPr>
      <w:rFonts w:cs="Times New Roman"/>
      <w:spacing w:val="0"/>
      <w:sz w:val="24"/>
      <w:szCs w:val="24"/>
      <w:lang w:val="ro-RO" w:eastAsia="ro-RO" w:bidi="ro-RO"/>
    </w:rPr>
  </w:style>
  <w:style w:type="paragraph" w:styleId="BodyTextIndent3">
    <w:name w:val="Body Text Indent 3"/>
    <w:basedOn w:val="Normal"/>
    <w:link w:val="BodyTextIndent3Char"/>
    <w:uiPriority w:val="99"/>
    <w:rsid w:val="00647D0C"/>
    <w:pPr>
      <w:autoSpaceDE w:val="0"/>
      <w:autoSpaceDN w:val="0"/>
      <w:adjustRightInd w:val="0"/>
      <w:ind w:left="283"/>
    </w:pPr>
    <w:rPr>
      <w:rFonts w:eastAsia="Times New Roman"/>
      <w:sz w:val="16"/>
      <w:szCs w:val="16"/>
      <w:lang w:eastAsia="ro-RO" w:bidi="ro-RO"/>
    </w:rPr>
  </w:style>
  <w:style w:type="character" w:customStyle="1" w:styleId="BodyTextIndent3Char">
    <w:name w:val="Body Text Indent 3 Char"/>
    <w:basedOn w:val="DefaultParagraphFont"/>
    <w:link w:val="BodyTextIndent3"/>
    <w:uiPriority w:val="99"/>
    <w:rsid w:val="00647D0C"/>
    <w:rPr>
      <w:rFonts w:ascii="Times New Roman" w:eastAsia="Times New Roman" w:hAnsi="Times New Roman" w:cs="Times New Roman"/>
      <w:sz w:val="16"/>
      <w:szCs w:val="16"/>
      <w:lang w:val="ro-RO" w:eastAsia="ro-RO" w:bidi="ro-RO"/>
    </w:rPr>
  </w:style>
  <w:style w:type="character" w:customStyle="1" w:styleId="BodyTextIndent3Char1">
    <w:name w:val="Body Text Indent 3 Char1"/>
    <w:basedOn w:val="DefaultParagraphFont"/>
    <w:rsid w:val="00647D0C"/>
    <w:rPr>
      <w:rFonts w:cs="Times New Roman"/>
      <w:spacing w:val="0"/>
      <w:sz w:val="16"/>
      <w:szCs w:val="16"/>
      <w:lang w:val="ro-RO" w:eastAsia="ro-RO" w:bidi="ro-RO"/>
    </w:rPr>
  </w:style>
  <w:style w:type="paragraph" w:styleId="Closing">
    <w:name w:val="Closing"/>
    <w:basedOn w:val="Normal"/>
    <w:link w:val="ClosingChar"/>
    <w:uiPriority w:val="99"/>
    <w:rsid w:val="00647D0C"/>
    <w:pPr>
      <w:autoSpaceDE w:val="0"/>
      <w:autoSpaceDN w:val="0"/>
      <w:adjustRightInd w:val="0"/>
      <w:ind w:left="4252"/>
    </w:pPr>
    <w:rPr>
      <w:rFonts w:eastAsia="Times New Roman"/>
      <w:szCs w:val="24"/>
      <w:lang w:eastAsia="ro-RO" w:bidi="ro-RO"/>
    </w:rPr>
  </w:style>
  <w:style w:type="character" w:customStyle="1" w:styleId="ClosingChar">
    <w:name w:val="Closing Char"/>
    <w:basedOn w:val="DefaultParagraphFont"/>
    <w:link w:val="Closing"/>
    <w:uiPriority w:val="99"/>
    <w:rsid w:val="00647D0C"/>
    <w:rPr>
      <w:rFonts w:ascii="Times New Roman" w:eastAsia="Times New Roman" w:hAnsi="Times New Roman" w:cs="Times New Roman"/>
      <w:sz w:val="24"/>
      <w:szCs w:val="24"/>
      <w:lang w:val="ro-RO" w:eastAsia="ro-RO" w:bidi="ro-RO"/>
    </w:rPr>
  </w:style>
  <w:style w:type="character" w:customStyle="1" w:styleId="ClosingChar1">
    <w:name w:val="Closing Char1"/>
    <w:basedOn w:val="DefaultParagraphFont"/>
    <w:rsid w:val="00647D0C"/>
    <w:rPr>
      <w:rFonts w:cs="Times New Roman"/>
      <w:spacing w:val="0"/>
      <w:sz w:val="24"/>
      <w:szCs w:val="24"/>
      <w:lang w:val="ro-RO" w:eastAsia="ro-RO" w:bidi="ro-RO"/>
    </w:rPr>
  </w:style>
  <w:style w:type="character" w:customStyle="1" w:styleId="CommentTextChar1">
    <w:name w:val="Comment Text Char1"/>
    <w:basedOn w:val="DefaultParagraphFont"/>
    <w:rsid w:val="00647D0C"/>
    <w:rPr>
      <w:rFonts w:cs="Times New Roman"/>
      <w:spacing w:val="0"/>
      <w:sz w:val="24"/>
      <w:szCs w:val="24"/>
      <w:lang w:val="ro-RO" w:eastAsia="ro-RO" w:bidi="ro-RO"/>
    </w:rPr>
  </w:style>
  <w:style w:type="character" w:customStyle="1" w:styleId="CommentSubjectChar1">
    <w:name w:val="Comment Subject Char1"/>
    <w:basedOn w:val="CommentTextChar1"/>
    <w:rsid w:val="00647D0C"/>
    <w:rPr>
      <w:rFonts w:cs="Times New Roman"/>
      <w:b/>
      <w:bCs/>
      <w:spacing w:val="0"/>
      <w:sz w:val="24"/>
      <w:szCs w:val="24"/>
      <w:lang w:val="ro-RO" w:eastAsia="ro-RO" w:bidi="ro-RO"/>
    </w:rPr>
  </w:style>
  <w:style w:type="character" w:customStyle="1" w:styleId="DocumentMapChar1">
    <w:name w:val="Document Map Char1"/>
    <w:basedOn w:val="DefaultParagraphFont"/>
    <w:rsid w:val="00647D0C"/>
    <w:rPr>
      <w:rFonts w:ascii="Tahoma" w:hAnsi="Tahoma" w:cs="Tahoma"/>
      <w:spacing w:val="0"/>
      <w:sz w:val="24"/>
      <w:szCs w:val="24"/>
      <w:lang w:val="ro-RO" w:eastAsia="ro-RO" w:bidi="ro-RO"/>
    </w:rPr>
  </w:style>
  <w:style w:type="paragraph" w:styleId="E-mailSignature">
    <w:name w:val="E-mail Signature"/>
    <w:basedOn w:val="Normal"/>
    <w:link w:val="E-mailSignatureChar"/>
    <w:uiPriority w:val="99"/>
    <w:rsid w:val="00647D0C"/>
    <w:pPr>
      <w:autoSpaceDE w:val="0"/>
      <w:autoSpaceDN w:val="0"/>
      <w:adjustRightInd w:val="0"/>
    </w:pPr>
    <w:rPr>
      <w:rFonts w:eastAsia="Times New Roman"/>
      <w:szCs w:val="24"/>
      <w:lang w:eastAsia="ro-RO" w:bidi="ro-RO"/>
    </w:rPr>
  </w:style>
  <w:style w:type="character" w:customStyle="1" w:styleId="E-mailSignatureChar">
    <w:name w:val="E-mail Signature Char"/>
    <w:basedOn w:val="DefaultParagraphFont"/>
    <w:link w:val="E-mailSignature"/>
    <w:uiPriority w:val="99"/>
    <w:rsid w:val="00647D0C"/>
    <w:rPr>
      <w:rFonts w:ascii="Times New Roman" w:eastAsia="Times New Roman" w:hAnsi="Times New Roman" w:cs="Times New Roman"/>
      <w:sz w:val="24"/>
      <w:szCs w:val="24"/>
      <w:lang w:val="ro-RO" w:eastAsia="ro-RO" w:bidi="ro-RO"/>
    </w:rPr>
  </w:style>
  <w:style w:type="character" w:customStyle="1" w:styleId="E-mailSignatureChar1">
    <w:name w:val="E-mail Signature Char1"/>
    <w:basedOn w:val="DefaultParagraphFont"/>
    <w:rsid w:val="00647D0C"/>
    <w:rPr>
      <w:rFonts w:cs="Times New Roman"/>
      <w:spacing w:val="0"/>
      <w:sz w:val="24"/>
      <w:szCs w:val="24"/>
      <w:lang w:val="ro-RO" w:eastAsia="ro-RO" w:bidi="ro-RO"/>
    </w:rPr>
  </w:style>
  <w:style w:type="character" w:styleId="Emphasis">
    <w:name w:val="Emphasis"/>
    <w:basedOn w:val="DefaultParagraphFont"/>
    <w:uiPriority w:val="20"/>
    <w:qFormat/>
    <w:rsid w:val="00647D0C"/>
    <w:rPr>
      <w:rFonts w:cs="Times New Roman"/>
      <w:i/>
      <w:iCs/>
      <w:spacing w:val="0"/>
    </w:rPr>
  </w:style>
  <w:style w:type="character" w:customStyle="1" w:styleId="EndnoteTextChar1">
    <w:name w:val="Endnote Text Char1"/>
    <w:basedOn w:val="DefaultParagraphFont"/>
    <w:rsid w:val="00647D0C"/>
    <w:rPr>
      <w:rFonts w:cs="Times New Roman"/>
      <w:spacing w:val="0"/>
      <w:sz w:val="24"/>
      <w:szCs w:val="24"/>
      <w:lang w:val="ro-RO" w:eastAsia="ro-RO" w:bidi="ro-RO"/>
    </w:rPr>
  </w:style>
  <w:style w:type="paragraph" w:styleId="EnvelopeAddress">
    <w:name w:val="envelope address"/>
    <w:basedOn w:val="Normal"/>
    <w:uiPriority w:val="99"/>
    <w:rsid w:val="00647D0C"/>
    <w:pPr>
      <w:framePr w:w="7920" w:h="1980" w:hRule="exact" w:hSpace="180" w:wrap="auto" w:hAnchor="page" w:xAlign="center" w:yAlign="bottom"/>
      <w:autoSpaceDE w:val="0"/>
      <w:autoSpaceDN w:val="0"/>
      <w:adjustRightInd w:val="0"/>
      <w:ind w:left="2880"/>
    </w:pPr>
    <w:rPr>
      <w:rFonts w:ascii="Arial" w:eastAsia="Times New Roman" w:hAnsi="Arial" w:cs="Arial"/>
      <w:szCs w:val="24"/>
      <w:lang w:eastAsia="ro-RO" w:bidi="ro-RO"/>
    </w:rPr>
  </w:style>
  <w:style w:type="paragraph" w:styleId="EnvelopeReturn">
    <w:name w:val="envelope return"/>
    <w:basedOn w:val="Normal"/>
    <w:uiPriority w:val="99"/>
    <w:rsid w:val="00647D0C"/>
    <w:pPr>
      <w:autoSpaceDE w:val="0"/>
      <w:autoSpaceDN w:val="0"/>
      <w:adjustRightInd w:val="0"/>
    </w:pPr>
    <w:rPr>
      <w:rFonts w:ascii="Arial" w:eastAsia="Times New Roman" w:hAnsi="Arial" w:cs="Arial"/>
      <w:sz w:val="20"/>
      <w:szCs w:val="20"/>
      <w:lang w:eastAsia="ro-RO" w:bidi="ro-RO"/>
    </w:rPr>
  </w:style>
  <w:style w:type="character" w:styleId="HTMLAcronym">
    <w:name w:val="HTML Acronym"/>
    <w:basedOn w:val="DefaultParagraphFont"/>
    <w:uiPriority w:val="99"/>
    <w:rsid w:val="00647D0C"/>
    <w:rPr>
      <w:rFonts w:cs="Times New Roman"/>
    </w:rPr>
  </w:style>
  <w:style w:type="paragraph" w:styleId="HTMLAddress">
    <w:name w:val="HTML Address"/>
    <w:basedOn w:val="Normal"/>
    <w:link w:val="HTMLAddressChar"/>
    <w:uiPriority w:val="99"/>
    <w:rsid w:val="00647D0C"/>
    <w:pPr>
      <w:autoSpaceDE w:val="0"/>
      <w:autoSpaceDN w:val="0"/>
      <w:adjustRightInd w:val="0"/>
    </w:pPr>
    <w:rPr>
      <w:rFonts w:eastAsia="Times New Roman"/>
      <w:i/>
      <w:iCs/>
      <w:szCs w:val="24"/>
      <w:lang w:eastAsia="ro-RO" w:bidi="ro-RO"/>
    </w:rPr>
  </w:style>
  <w:style w:type="character" w:customStyle="1" w:styleId="HTMLAddressChar">
    <w:name w:val="HTML Address Char"/>
    <w:basedOn w:val="DefaultParagraphFont"/>
    <w:link w:val="HTMLAddress"/>
    <w:uiPriority w:val="99"/>
    <w:rsid w:val="00647D0C"/>
    <w:rPr>
      <w:rFonts w:ascii="Times New Roman" w:eastAsia="Times New Roman" w:hAnsi="Times New Roman" w:cs="Times New Roman"/>
      <w:i/>
      <w:iCs/>
      <w:sz w:val="24"/>
      <w:szCs w:val="24"/>
      <w:lang w:val="ro-RO" w:eastAsia="ro-RO" w:bidi="ro-RO"/>
    </w:rPr>
  </w:style>
  <w:style w:type="character" w:customStyle="1" w:styleId="HTMLAddressChar1">
    <w:name w:val="HTML Address Char1"/>
    <w:basedOn w:val="DefaultParagraphFont"/>
    <w:rsid w:val="00647D0C"/>
    <w:rPr>
      <w:rFonts w:cs="Times New Roman"/>
      <w:i/>
      <w:iCs/>
      <w:spacing w:val="0"/>
      <w:sz w:val="24"/>
      <w:szCs w:val="24"/>
      <w:lang w:val="ro-RO" w:eastAsia="ro-RO" w:bidi="ro-RO"/>
    </w:rPr>
  </w:style>
  <w:style w:type="character" w:styleId="HTMLCite">
    <w:name w:val="HTML Cite"/>
    <w:basedOn w:val="DefaultParagraphFont"/>
    <w:uiPriority w:val="99"/>
    <w:rsid w:val="00647D0C"/>
    <w:rPr>
      <w:rFonts w:cs="Times New Roman"/>
      <w:i/>
      <w:iCs/>
      <w:spacing w:val="0"/>
    </w:rPr>
  </w:style>
  <w:style w:type="character" w:styleId="HTMLCode">
    <w:name w:val="HTML Code"/>
    <w:basedOn w:val="DefaultParagraphFont"/>
    <w:uiPriority w:val="99"/>
    <w:rsid w:val="00647D0C"/>
    <w:rPr>
      <w:rFonts w:ascii="Courier New" w:hAnsi="Courier New" w:cs="Courier New"/>
      <w:spacing w:val="0"/>
      <w:sz w:val="20"/>
      <w:szCs w:val="20"/>
    </w:rPr>
  </w:style>
  <w:style w:type="character" w:styleId="HTMLDefinition">
    <w:name w:val="HTML Definition"/>
    <w:basedOn w:val="DefaultParagraphFont"/>
    <w:uiPriority w:val="99"/>
    <w:rsid w:val="00647D0C"/>
    <w:rPr>
      <w:rFonts w:cs="Times New Roman"/>
      <w:i/>
      <w:iCs/>
      <w:spacing w:val="0"/>
    </w:rPr>
  </w:style>
  <w:style w:type="character" w:styleId="HTMLKeyboard">
    <w:name w:val="HTML Keyboard"/>
    <w:basedOn w:val="DefaultParagraphFont"/>
    <w:uiPriority w:val="99"/>
    <w:rsid w:val="00647D0C"/>
    <w:rPr>
      <w:rFonts w:ascii="Courier New" w:hAnsi="Courier New" w:cs="Courier New"/>
      <w:spacing w:val="0"/>
      <w:sz w:val="20"/>
      <w:szCs w:val="20"/>
    </w:rPr>
  </w:style>
  <w:style w:type="paragraph" w:styleId="HTMLPreformatted">
    <w:name w:val="HTML Preformatted"/>
    <w:basedOn w:val="Normal"/>
    <w:link w:val="HTMLPreformattedChar"/>
    <w:uiPriority w:val="99"/>
    <w:rsid w:val="00647D0C"/>
    <w:pPr>
      <w:autoSpaceDE w:val="0"/>
      <w:autoSpaceDN w:val="0"/>
      <w:adjustRightInd w:val="0"/>
    </w:pPr>
    <w:rPr>
      <w:rFonts w:ascii="Courier New" w:eastAsia="Times New Roman" w:hAnsi="Courier New" w:cs="Courier New"/>
      <w:szCs w:val="24"/>
      <w:lang w:eastAsia="ro-RO" w:bidi="ro-RO"/>
    </w:rPr>
  </w:style>
  <w:style w:type="character" w:customStyle="1" w:styleId="HTMLPreformattedChar">
    <w:name w:val="HTML Preformatted Char"/>
    <w:basedOn w:val="DefaultParagraphFont"/>
    <w:link w:val="HTMLPreformatted"/>
    <w:uiPriority w:val="99"/>
    <w:rsid w:val="00647D0C"/>
    <w:rPr>
      <w:rFonts w:ascii="Courier New" w:eastAsia="Times New Roman" w:hAnsi="Courier New" w:cs="Courier New"/>
      <w:sz w:val="24"/>
      <w:szCs w:val="24"/>
      <w:lang w:val="ro-RO" w:eastAsia="ro-RO" w:bidi="ro-RO"/>
    </w:rPr>
  </w:style>
  <w:style w:type="character" w:customStyle="1" w:styleId="HTMLPreformattedChar1">
    <w:name w:val="HTML Preformatted Char1"/>
    <w:basedOn w:val="DefaultParagraphFont"/>
    <w:rsid w:val="00647D0C"/>
    <w:rPr>
      <w:rFonts w:ascii="Courier New" w:hAnsi="Courier New" w:cs="Courier New"/>
      <w:spacing w:val="0"/>
      <w:sz w:val="24"/>
      <w:szCs w:val="24"/>
      <w:lang w:val="ro-RO" w:eastAsia="ro-RO" w:bidi="ro-RO"/>
    </w:rPr>
  </w:style>
  <w:style w:type="character" w:styleId="HTMLSample">
    <w:name w:val="HTML Sample"/>
    <w:basedOn w:val="DefaultParagraphFont"/>
    <w:uiPriority w:val="99"/>
    <w:rsid w:val="00647D0C"/>
    <w:rPr>
      <w:rFonts w:ascii="Courier New" w:hAnsi="Courier New" w:cs="Courier New"/>
      <w:spacing w:val="0"/>
    </w:rPr>
  </w:style>
  <w:style w:type="character" w:styleId="HTMLTypewriter">
    <w:name w:val="HTML Typewriter"/>
    <w:basedOn w:val="DefaultParagraphFont"/>
    <w:uiPriority w:val="99"/>
    <w:rsid w:val="00647D0C"/>
    <w:rPr>
      <w:rFonts w:ascii="Courier New" w:hAnsi="Courier New" w:cs="Courier New"/>
      <w:spacing w:val="0"/>
      <w:sz w:val="20"/>
      <w:szCs w:val="20"/>
    </w:rPr>
  </w:style>
  <w:style w:type="character" w:styleId="HTMLVariable">
    <w:name w:val="HTML Variable"/>
    <w:basedOn w:val="DefaultParagraphFont"/>
    <w:uiPriority w:val="99"/>
    <w:rsid w:val="00647D0C"/>
    <w:rPr>
      <w:rFonts w:cs="Times New Roman"/>
      <w:i/>
      <w:iCs/>
      <w:spacing w:val="0"/>
    </w:rPr>
  </w:style>
  <w:style w:type="character" w:styleId="LineNumber">
    <w:name w:val="line number"/>
    <w:basedOn w:val="DefaultParagraphFont"/>
    <w:uiPriority w:val="99"/>
    <w:rsid w:val="00647D0C"/>
    <w:rPr>
      <w:rFonts w:cs="Times New Roman"/>
    </w:rPr>
  </w:style>
  <w:style w:type="paragraph" w:styleId="List">
    <w:name w:val="List"/>
    <w:basedOn w:val="Normal"/>
    <w:uiPriority w:val="99"/>
    <w:rsid w:val="00647D0C"/>
    <w:pPr>
      <w:autoSpaceDE w:val="0"/>
      <w:autoSpaceDN w:val="0"/>
      <w:adjustRightInd w:val="0"/>
      <w:ind w:left="283" w:hanging="283"/>
    </w:pPr>
    <w:rPr>
      <w:rFonts w:eastAsia="Times New Roman"/>
      <w:szCs w:val="24"/>
      <w:lang w:eastAsia="ro-RO" w:bidi="ro-RO"/>
    </w:rPr>
  </w:style>
  <w:style w:type="paragraph" w:styleId="List2">
    <w:name w:val="List 2"/>
    <w:basedOn w:val="Normal"/>
    <w:uiPriority w:val="99"/>
    <w:rsid w:val="00647D0C"/>
    <w:pPr>
      <w:autoSpaceDE w:val="0"/>
      <w:autoSpaceDN w:val="0"/>
      <w:adjustRightInd w:val="0"/>
      <w:ind w:left="566" w:hanging="283"/>
    </w:pPr>
    <w:rPr>
      <w:rFonts w:eastAsia="Times New Roman"/>
      <w:szCs w:val="24"/>
      <w:lang w:eastAsia="ro-RO" w:bidi="ro-RO"/>
    </w:rPr>
  </w:style>
  <w:style w:type="paragraph" w:styleId="List3">
    <w:name w:val="List 3"/>
    <w:basedOn w:val="Normal"/>
    <w:uiPriority w:val="99"/>
    <w:rsid w:val="00647D0C"/>
    <w:pPr>
      <w:autoSpaceDE w:val="0"/>
      <w:autoSpaceDN w:val="0"/>
      <w:adjustRightInd w:val="0"/>
      <w:ind w:left="849" w:hanging="283"/>
    </w:pPr>
    <w:rPr>
      <w:rFonts w:eastAsia="Times New Roman"/>
      <w:szCs w:val="24"/>
      <w:lang w:eastAsia="ro-RO" w:bidi="ro-RO"/>
    </w:rPr>
  </w:style>
  <w:style w:type="paragraph" w:styleId="List4">
    <w:name w:val="List 4"/>
    <w:basedOn w:val="Normal"/>
    <w:uiPriority w:val="99"/>
    <w:rsid w:val="00647D0C"/>
    <w:pPr>
      <w:autoSpaceDE w:val="0"/>
      <w:autoSpaceDN w:val="0"/>
      <w:adjustRightInd w:val="0"/>
      <w:ind w:left="1132" w:hanging="283"/>
    </w:pPr>
    <w:rPr>
      <w:rFonts w:eastAsia="Times New Roman"/>
      <w:szCs w:val="24"/>
      <w:lang w:eastAsia="ro-RO" w:bidi="ro-RO"/>
    </w:rPr>
  </w:style>
  <w:style w:type="paragraph" w:styleId="List5">
    <w:name w:val="List 5"/>
    <w:basedOn w:val="Normal"/>
    <w:uiPriority w:val="99"/>
    <w:rsid w:val="00647D0C"/>
    <w:pPr>
      <w:autoSpaceDE w:val="0"/>
      <w:autoSpaceDN w:val="0"/>
      <w:adjustRightInd w:val="0"/>
      <w:ind w:left="1415" w:hanging="283"/>
    </w:pPr>
    <w:rPr>
      <w:rFonts w:eastAsia="Times New Roman"/>
      <w:szCs w:val="24"/>
      <w:lang w:eastAsia="ro-RO" w:bidi="ro-RO"/>
    </w:rPr>
  </w:style>
  <w:style w:type="paragraph" w:styleId="ListBullet5">
    <w:name w:val="List Bullet 5"/>
    <w:basedOn w:val="Normal"/>
    <w:autoRedefine/>
    <w:uiPriority w:val="99"/>
    <w:rsid w:val="00647D0C"/>
    <w:pPr>
      <w:tabs>
        <w:tab w:val="num" w:pos="643"/>
        <w:tab w:val="num" w:pos="1492"/>
      </w:tabs>
      <w:autoSpaceDE w:val="0"/>
      <w:autoSpaceDN w:val="0"/>
      <w:adjustRightInd w:val="0"/>
      <w:ind w:left="1492" w:hanging="360"/>
    </w:pPr>
    <w:rPr>
      <w:rFonts w:eastAsia="Times New Roman"/>
      <w:szCs w:val="24"/>
      <w:lang w:eastAsia="ro-RO" w:bidi="ro-RO"/>
    </w:rPr>
  </w:style>
  <w:style w:type="paragraph" w:styleId="ListContinue">
    <w:name w:val="List Continue"/>
    <w:basedOn w:val="Normal"/>
    <w:uiPriority w:val="99"/>
    <w:rsid w:val="00647D0C"/>
    <w:pPr>
      <w:autoSpaceDE w:val="0"/>
      <w:autoSpaceDN w:val="0"/>
      <w:adjustRightInd w:val="0"/>
      <w:ind w:left="283"/>
    </w:pPr>
    <w:rPr>
      <w:rFonts w:eastAsia="Times New Roman"/>
      <w:szCs w:val="24"/>
      <w:lang w:eastAsia="ro-RO" w:bidi="ro-RO"/>
    </w:rPr>
  </w:style>
  <w:style w:type="paragraph" w:styleId="ListContinue2">
    <w:name w:val="List Continue 2"/>
    <w:basedOn w:val="Normal"/>
    <w:uiPriority w:val="99"/>
    <w:rsid w:val="00647D0C"/>
    <w:pPr>
      <w:autoSpaceDE w:val="0"/>
      <w:autoSpaceDN w:val="0"/>
      <w:adjustRightInd w:val="0"/>
      <w:ind w:left="566"/>
    </w:pPr>
    <w:rPr>
      <w:rFonts w:eastAsia="Times New Roman"/>
      <w:szCs w:val="24"/>
      <w:lang w:eastAsia="ro-RO" w:bidi="ro-RO"/>
    </w:rPr>
  </w:style>
  <w:style w:type="paragraph" w:styleId="ListContinue3">
    <w:name w:val="List Continue 3"/>
    <w:basedOn w:val="Normal"/>
    <w:uiPriority w:val="99"/>
    <w:rsid w:val="00647D0C"/>
    <w:pPr>
      <w:autoSpaceDE w:val="0"/>
      <w:autoSpaceDN w:val="0"/>
      <w:adjustRightInd w:val="0"/>
      <w:ind w:left="849"/>
    </w:pPr>
    <w:rPr>
      <w:rFonts w:eastAsia="Times New Roman"/>
      <w:szCs w:val="24"/>
      <w:lang w:eastAsia="ro-RO" w:bidi="ro-RO"/>
    </w:rPr>
  </w:style>
  <w:style w:type="paragraph" w:styleId="ListContinue4">
    <w:name w:val="List Continue 4"/>
    <w:basedOn w:val="Normal"/>
    <w:uiPriority w:val="99"/>
    <w:rsid w:val="00647D0C"/>
    <w:pPr>
      <w:autoSpaceDE w:val="0"/>
      <w:autoSpaceDN w:val="0"/>
      <w:adjustRightInd w:val="0"/>
      <w:ind w:left="1132"/>
    </w:pPr>
    <w:rPr>
      <w:rFonts w:eastAsia="Times New Roman"/>
      <w:szCs w:val="24"/>
      <w:lang w:eastAsia="ro-RO" w:bidi="ro-RO"/>
    </w:rPr>
  </w:style>
  <w:style w:type="paragraph" w:styleId="ListContinue5">
    <w:name w:val="List Continue 5"/>
    <w:basedOn w:val="Normal"/>
    <w:uiPriority w:val="99"/>
    <w:rsid w:val="00647D0C"/>
    <w:pPr>
      <w:autoSpaceDE w:val="0"/>
      <w:autoSpaceDN w:val="0"/>
      <w:adjustRightInd w:val="0"/>
      <w:ind w:left="1415"/>
    </w:pPr>
    <w:rPr>
      <w:rFonts w:eastAsia="Times New Roman"/>
      <w:szCs w:val="24"/>
      <w:lang w:eastAsia="ro-RO" w:bidi="ro-RO"/>
    </w:rPr>
  </w:style>
  <w:style w:type="paragraph" w:styleId="ListNumber5">
    <w:name w:val="List Number 5"/>
    <w:basedOn w:val="Normal"/>
    <w:uiPriority w:val="99"/>
    <w:rsid w:val="00647D0C"/>
    <w:pPr>
      <w:tabs>
        <w:tab w:val="num" w:pos="360"/>
        <w:tab w:val="num" w:pos="1492"/>
      </w:tabs>
      <w:autoSpaceDE w:val="0"/>
      <w:autoSpaceDN w:val="0"/>
      <w:adjustRightInd w:val="0"/>
      <w:ind w:left="1492" w:hanging="360"/>
    </w:pPr>
    <w:rPr>
      <w:rFonts w:eastAsia="Times New Roman"/>
      <w:szCs w:val="24"/>
      <w:lang w:eastAsia="ro-RO" w:bidi="ro-RO"/>
    </w:rPr>
  </w:style>
  <w:style w:type="paragraph" w:styleId="MacroText">
    <w:name w:val="macro"/>
    <w:link w:val="MacroTextChar"/>
    <w:uiPriority w:val="99"/>
    <w:semiHidden/>
    <w:rsid w:val="00647D0C"/>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eastAsia="Times New Roman" w:hAnsi="Courier New" w:cs="Courier New"/>
      <w:sz w:val="24"/>
      <w:szCs w:val="24"/>
      <w:lang w:val="ro-RO" w:eastAsia="ro-RO" w:bidi="ro-RO"/>
    </w:rPr>
  </w:style>
  <w:style w:type="character" w:customStyle="1" w:styleId="MacroTextChar">
    <w:name w:val="Macro Text Char"/>
    <w:basedOn w:val="DefaultParagraphFont"/>
    <w:link w:val="MacroText"/>
    <w:uiPriority w:val="99"/>
    <w:semiHidden/>
    <w:rsid w:val="00647D0C"/>
    <w:rPr>
      <w:rFonts w:ascii="Courier New" w:eastAsia="Times New Roman" w:hAnsi="Courier New" w:cs="Courier New"/>
      <w:sz w:val="24"/>
      <w:szCs w:val="24"/>
      <w:lang w:val="ro-RO" w:eastAsia="ro-RO" w:bidi="ro-RO"/>
    </w:rPr>
  </w:style>
  <w:style w:type="character" w:customStyle="1" w:styleId="MacroTextChar1">
    <w:name w:val="Macro Text Char1"/>
    <w:basedOn w:val="DefaultParagraphFont"/>
    <w:rsid w:val="00647D0C"/>
    <w:rPr>
      <w:rFonts w:ascii="Courier New" w:hAnsi="Courier New" w:cs="Courier New"/>
      <w:spacing w:val="0"/>
      <w:sz w:val="24"/>
      <w:szCs w:val="24"/>
      <w:lang w:val="ro-RO" w:eastAsia="ro-RO" w:bidi="ro-RO"/>
    </w:rPr>
  </w:style>
  <w:style w:type="paragraph" w:styleId="MessageHeader">
    <w:name w:val="Message Header"/>
    <w:basedOn w:val="Normal"/>
    <w:link w:val="MessageHeaderChar"/>
    <w:uiPriority w:val="99"/>
    <w:rsid w:val="00647D0C"/>
    <w:pPr>
      <w:pBdr>
        <w:top w:val="single" w:sz="6" w:space="1" w:color="auto"/>
        <w:left w:val="single" w:sz="6" w:space="1" w:color="auto"/>
        <w:bottom w:val="single" w:sz="6" w:space="1" w:color="auto"/>
        <w:right w:val="single" w:sz="6" w:space="1" w:color="auto"/>
      </w:pBdr>
      <w:autoSpaceDE w:val="0"/>
      <w:autoSpaceDN w:val="0"/>
      <w:adjustRightInd w:val="0"/>
      <w:ind w:left="1134" w:hanging="1134"/>
    </w:pPr>
    <w:rPr>
      <w:rFonts w:ascii="Arial" w:eastAsia="Times New Roman" w:hAnsi="Arial" w:cs="Arial"/>
      <w:szCs w:val="24"/>
      <w:shd w:val="pct20" w:color="auto" w:fill="auto"/>
      <w:lang w:eastAsia="ro-RO" w:bidi="ro-RO"/>
    </w:rPr>
  </w:style>
  <w:style w:type="character" w:customStyle="1" w:styleId="MessageHeaderChar">
    <w:name w:val="Message Header Char"/>
    <w:basedOn w:val="DefaultParagraphFont"/>
    <w:link w:val="MessageHeader"/>
    <w:uiPriority w:val="99"/>
    <w:rsid w:val="00647D0C"/>
    <w:rPr>
      <w:rFonts w:ascii="Arial" w:eastAsia="Times New Roman" w:hAnsi="Arial" w:cs="Arial"/>
      <w:sz w:val="24"/>
      <w:szCs w:val="24"/>
      <w:lang w:val="ro-RO" w:eastAsia="ro-RO" w:bidi="ro-RO"/>
    </w:rPr>
  </w:style>
  <w:style w:type="character" w:customStyle="1" w:styleId="MessageHeaderChar1">
    <w:name w:val="Message Header Char1"/>
    <w:basedOn w:val="DefaultParagraphFont"/>
    <w:rsid w:val="00647D0C"/>
    <w:rPr>
      <w:rFonts w:ascii="Arial" w:hAnsi="Arial" w:cs="Arial"/>
      <w:spacing w:val="0"/>
      <w:sz w:val="24"/>
      <w:szCs w:val="24"/>
      <w:shd w:val="pct20" w:color="auto" w:fill="auto"/>
      <w:lang w:val="ro-RO" w:eastAsia="ro-RO" w:bidi="ro-RO"/>
    </w:rPr>
  </w:style>
  <w:style w:type="paragraph" w:styleId="NormalWeb">
    <w:name w:val="Normal (Web)"/>
    <w:basedOn w:val="Normal"/>
    <w:uiPriority w:val="99"/>
    <w:rsid w:val="00647D0C"/>
    <w:pPr>
      <w:autoSpaceDE w:val="0"/>
      <w:autoSpaceDN w:val="0"/>
      <w:adjustRightInd w:val="0"/>
    </w:pPr>
    <w:rPr>
      <w:rFonts w:eastAsia="Times New Roman"/>
      <w:szCs w:val="24"/>
      <w:lang w:eastAsia="ro-RO" w:bidi="ro-RO"/>
    </w:rPr>
  </w:style>
  <w:style w:type="paragraph" w:styleId="NormalIndent">
    <w:name w:val="Normal Indent"/>
    <w:basedOn w:val="Normal"/>
    <w:uiPriority w:val="99"/>
    <w:rsid w:val="00647D0C"/>
    <w:pPr>
      <w:autoSpaceDE w:val="0"/>
      <w:autoSpaceDN w:val="0"/>
      <w:adjustRightInd w:val="0"/>
      <w:ind w:left="720"/>
    </w:pPr>
    <w:rPr>
      <w:rFonts w:eastAsia="Times New Roman"/>
      <w:szCs w:val="24"/>
      <w:lang w:eastAsia="ro-RO" w:bidi="ro-RO"/>
    </w:rPr>
  </w:style>
  <w:style w:type="paragraph" w:styleId="PlainText">
    <w:name w:val="Plain Text"/>
    <w:basedOn w:val="Normal"/>
    <w:link w:val="PlainTextChar"/>
    <w:uiPriority w:val="99"/>
    <w:rsid w:val="00647D0C"/>
    <w:pPr>
      <w:autoSpaceDE w:val="0"/>
      <w:autoSpaceDN w:val="0"/>
      <w:adjustRightInd w:val="0"/>
    </w:pPr>
    <w:rPr>
      <w:rFonts w:ascii="Courier New" w:eastAsia="Times New Roman" w:hAnsi="Courier New" w:cs="Courier New"/>
      <w:szCs w:val="24"/>
      <w:lang w:eastAsia="ro-RO" w:bidi="ro-RO"/>
    </w:rPr>
  </w:style>
  <w:style w:type="character" w:customStyle="1" w:styleId="PlainTextChar">
    <w:name w:val="Plain Text Char"/>
    <w:basedOn w:val="DefaultParagraphFont"/>
    <w:link w:val="PlainText"/>
    <w:uiPriority w:val="99"/>
    <w:rsid w:val="00647D0C"/>
    <w:rPr>
      <w:rFonts w:ascii="Courier New" w:eastAsia="Times New Roman" w:hAnsi="Courier New" w:cs="Courier New"/>
      <w:sz w:val="24"/>
      <w:szCs w:val="24"/>
      <w:lang w:val="ro-RO" w:eastAsia="ro-RO" w:bidi="ro-RO"/>
    </w:rPr>
  </w:style>
  <w:style w:type="character" w:customStyle="1" w:styleId="PlainTextChar1">
    <w:name w:val="Plain Text Char1"/>
    <w:basedOn w:val="DefaultParagraphFont"/>
    <w:rsid w:val="00647D0C"/>
    <w:rPr>
      <w:rFonts w:ascii="Courier New" w:hAnsi="Courier New" w:cs="Courier New"/>
      <w:spacing w:val="0"/>
      <w:sz w:val="24"/>
      <w:szCs w:val="24"/>
      <w:lang w:val="ro-RO" w:eastAsia="ro-RO" w:bidi="ro-RO"/>
    </w:rPr>
  </w:style>
  <w:style w:type="paragraph" w:styleId="Signature">
    <w:name w:val="Signature"/>
    <w:basedOn w:val="Normal"/>
    <w:link w:val="SignatureChar"/>
    <w:uiPriority w:val="99"/>
    <w:rsid w:val="00647D0C"/>
    <w:pPr>
      <w:autoSpaceDE w:val="0"/>
      <w:autoSpaceDN w:val="0"/>
      <w:adjustRightInd w:val="0"/>
      <w:ind w:left="4252"/>
    </w:pPr>
    <w:rPr>
      <w:rFonts w:eastAsia="Times New Roman"/>
      <w:szCs w:val="24"/>
      <w:lang w:eastAsia="ro-RO" w:bidi="ro-RO"/>
    </w:rPr>
  </w:style>
  <w:style w:type="character" w:customStyle="1" w:styleId="SignatureChar">
    <w:name w:val="Signature Char"/>
    <w:basedOn w:val="DefaultParagraphFont"/>
    <w:link w:val="Signature"/>
    <w:uiPriority w:val="99"/>
    <w:rsid w:val="00647D0C"/>
    <w:rPr>
      <w:rFonts w:ascii="Times New Roman" w:eastAsia="Times New Roman" w:hAnsi="Times New Roman" w:cs="Times New Roman"/>
      <w:sz w:val="24"/>
      <w:szCs w:val="24"/>
      <w:lang w:val="ro-RO" w:eastAsia="ro-RO" w:bidi="ro-RO"/>
    </w:rPr>
  </w:style>
  <w:style w:type="character" w:customStyle="1" w:styleId="SignatureChar1">
    <w:name w:val="Signature Char1"/>
    <w:basedOn w:val="DefaultParagraphFont"/>
    <w:rsid w:val="00647D0C"/>
    <w:rPr>
      <w:rFonts w:cs="Times New Roman"/>
      <w:spacing w:val="0"/>
      <w:sz w:val="24"/>
      <w:szCs w:val="24"/>
      <w:lang w:val="ro-RO" w:eastAsia="ro-RO" w:bidi="ro-RO"/>
    </w:rPr>
  </w:style>
  <w:style w:type="character" w:styleId="Strong">
    <w:name w:val="Strong"/>
    <w:basedOn w:val="DefaultParagraphFont"/>
    <w:uiPriority w:val="22"/>
    <w:qFormat/>
    <w:rsid w:val="00647D0C"/>
    <w:rPr>
      <w:rFonts w:cs="Times New Roman"/>
      <w:b/>
      <w:bCs/>
      <w:spacing w:val="0"/>
    </w:rPr>
  </w:style>
  <w:style w:type="character" w:customStyle="1" w:styleId="SubtitleChar1">
    <w:name w:val="Subtitle Char1"/>
    <w:basedOn w:val="DefaultParagraphFont"/>
    <w:rsid w:val="00647D0C"/>
    <w:rPr>
      <w:rFonts w:ascii="Arial" w:hAnsi="Arial" w:cs="Arial"/>
      <w:spacing w:val="0"/>
      <w:sz w:val="24"/>
      <w:szCs w:val="24"/>
      <w:lang w:val="ro-RO" w:eastAsia="ro-RO" w:bidi="ro-RO"/>
    </w:rPr>
  </w:style>
  <w:style w:type="character" w:customStyle="1" w:styleId="TitleChar1">
    <w:name w:val="Title Char1"/>
    <w:basedOn w:val="DefaultParagraphFont"/>
    <w:rsid w:val="00647D0C"/>
    <w:rPr>
      <w:rFonts w:ascii="Arial" w:hAnsi="Arial" w:cs="Arial"/>
      <w:b/>
      <w:bCs/>
      <w:spacing w:val="0"/>
      <w:kern w:val="28"/>
      <w:sz w:val="32"/>
      <w:szCs w:val="32"/>
      <w:lang w:val="ro-RO" w:eastAsia="ro-RO" w:bidi="ro-RO"/>
    </w:rPr>
  </w:style>
  <w:style w:type="paragraph" w:styleId="Index1">
    <w:name w:val="index 1"/>
    <w:basedOn w:val="Normal"/>
    <w:next w:val="Normal"/>
    <w:autoRedefine/>
    <w:uiPriority w:val="99"/>
    <w:semiHidden/>
    <w:rsid w:val="00647D0C"/>
    <w:pPr>
      <w:autoSpaceDE w:val="0"/>
      <w:autoSpaceDN w:val="0"/>
      <w:adjustRightInd w:val="0"/>
      <w:spacing w:before="0" w:after="0" w:line="240" w:lineRule="auto"/>
      <w:ind w:left="200" w:hanging="200"/>
    </w:pPr>
    <w:rPr>
      <w:rFonts w:eastAsia="Times New Roman"/>
      <w:szCs w:val="24"/>
      <w:lang w:eastAsia="ro-RO" w:bidi="ro-RO"/>
    </w:rPr>
  </w:style>
  <w:style w:type="paragraph" w:styleId="IndexHeading">
    <w:name w:val="index heading"/>
    <w:basedOn w:val="Normal"/>
    <w:next w:val="Index1"/>
    <w:uiPriority w:val="99"/>
    <w:semiHidden/>
    <w:rsid w:val="00647D0C"/>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line="240" w:lineRule="auto"/>
      <w:jc w:val="both"/>
    </w:pPr>
    <w:rPr>
      <w:rFonts w:eastAsia="Times New Roman"/>
      <w:szCs w:val="24"/>
      <w:lang w:eastAsia="ro-RO" w:bidi="ro-RO"/>
    </w:rPr>
  </w:style>
  <w:style w:type="paragraph" w:customStyle="1" w:styleId="Titre1">
    <w:name w:val="Titre1"/>
    <w:basedOn w:val="Heading6"/>
    <w:rsid w:val="00647D0C"/>
    <w:pPr>
      <w:numPr>
        <w:ilvl w:val="0"/>
        <w:numId w:val="0"/>
      </w:num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line="240" w:lineRule="auto"/>
      <w:jc w:val="center"/>
    </w:pPr>
    <w:rPr>
      <w:rFonts w:eastAsia="Times New Roman"/>
      <w:sz w:val="60"/>
      <w:szCs w:val="60"/>
      <w:lang w:eastAsia="ro-RO" w:bidi="ro-RO"/>
    </w:rPr>
  </w:style>
  <w:style w:type="paragraph" w:customStyle="1" w:styleId="Titre2">
    <w:name w:val="Titre2"/>
    <w:basedOn w:val="Normal"/>
    <w:rsid w:val="00647D0C"/>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line="240" w:lineRule="auto"/>
      <w:ind w:left="1701"/>
      <w:jc w:val="both"/>
    </w:pPr>
    <w:rPr>
      <w:rFonts w:ascii="Arial" w:eastAsia="Times New Roman" w:hAnsi="Arial" w:cs="Arial"/>
      <w:b/>
      <w:bCs/>
      <w:sz w:val="48"/>
      <w:szCs w:val="48"/>
      <w:lang w:eastAsia="ro-RO" w:bidi="ro-RO"/>
    </w:rPr>
  </w:style>
  <w:style w:type="paragraph" w:customStyle="1" w:styleId="Text0">
    <w:name w:val="Text 0"/>
    <w:basedOn w:val="Normal"/>
    <w:rsid w:val="00647D0C"/>
    <w:pPr>
      <w:widowControl w:val="0"/>
      <w:autoSpaceDE w:val="0"/>
      <w:autoSpaceDN w:val="0"/>
      <w:adjustRightInd w:val="0"/>
    </w:pPr>
    <w:rPr>
      <w:rFonts w:eastAsia="Times New Roman"/>
      <w:szCs w:val="24"/>
      <w:lang w:eastAsia="ro-RO" w:bidi="ro-RO"/>
    </w:rPr>
  </w:style>
  <w:style w:type="paragraph" w:customStyle="1" w:styleId="N">
    <w:name w:val="N"/>
    <w:aliases w:val="ORMAL"/>
    <w:basedOn w:val="Text0"/>
    <w:rsid w:val="00647D0C"/>
    <w:pPr>
      <w:spacing w:before="0" w:after="0"/>
    </w:pPr>
  </w:style>
  <w:style w:type="paragraph" w:customStyle="1" w:styleId="Considerant">
    <w:name w:val="Considerant"/>
    <w:basedOn w:val="Considrant"/>
    <w:rsid w:val="00647D0C"/>
    <w:pPr>
      <w:widowControl w:val="0"/>
      <w:numPr>
        <w:numId w:val="0"/>
      </w:numPr>
      <w:tabs>
        <w:tab w:val="num" w:pos="709"/>
      </w:tabs>
      <w:autoSpaceDE w:val="0"/>
      <w:autoSpaceDN w:val="0"/>
      <w:adjustRightInd w:val="0"/>
      <w:spacing w:before="0" w:after="0"/>
      <w:ind w:left="709" w:hanging="709"/>
    </w:pPr>
    <w:rPr>
      <w:rFonts w:eastAsia="Times New Roman"/>
      <w:szCs w:val="24"/>
      <w:lang w:eastAsia="ro-RO" w:bidi="ro-RO"/>
    </w:rPr>
  </w:style>
  <w:style w:type="paragraph" w:customStyle="1" w:styleId="Lginef">
    <w:name w:val="Lgine f"/>
    <w:basedOn w:val="Normal"/>
    <w:rsid w:val="00647D0C"/>
    <w:pPr>
      <w:autoSpaceDE w:val="0"/>
      <w:autoSpaceDN w:val="0"/>
      <w:adjustRightInd w:val="0"/>
    </w:pPr>
    <w:rPr>
      <w:rFonts w:eastAsia="Times New Roman"/>
      <w:szCs w:val="24"/>
      <w:lang w:eastAsia="ro-RO" w:bidi="ro-RO"/>
    </w:rPr>
  </w:style>
  <w:style w:type="paragraph" w:customStyle="1" w:styleId="Normal6">
    <w:name w:val="Normal6"/>
    <w:basedOn w:val="Normal"/>
    <w:rsid w:val="00647D0C"/>
    <w:pPr>
      <w:widowControl w:val="0"/>
      <w:autoSpaceDE w:val="0"/>
      <w:autoSpaceDN w:val="0"/>
      <w:adjustRightInd w:val="0"/>
      <w:spacing w:before="0" w:line="240" w:lineRule="auto"/>
    </w:pPr>
    <w:rPr>
      <w:rFonts w:eastAsia="Times New Roman"/>
      <w:szCs w:val="24"/>
      <w:lang w:eastAsia="ro-RO" w:bidi="ro-RO"/>
    </w:rPr>
  </w:style>
  <w:style w:type="paragraph" w:customStyle="1" w:styleId="ATHeading1">
    <w:name w:val="AT Heading 1"/>
    <w:basedOn w:val="Normal"/>
    <w:next w:val="Normal"/>
    <w:rsid w:val="00647D0C"/>
    <w:pPr>
      <w:keepNext/>
      <w:keepLines/>
      <w:autoSpaceDE w:val="0"/>
      <w:autoSpaceDN w:val="0"/>
      <w:adjustRightInd w:val="0"/>
      <w:spacing w:before="0" w:line="240" w:lineRule="auto"/>
      <w:outlineLvl w:val="0"/>
    </w:pPr>
    <w:rPr>
      <w:rFonts w:eastAsia="Times New Roman"/>
      <w:b/>
      <w:bCs/>
      <w:noProof/>
      <w:sz w:val="28"/>
      <w:szCs w:val="28"/>
      <w:lang w:eastAsia="ro-RO" w:bidi="ro-RO"/>
    </w:rPr>
  </w:style>
  <w:style w:type="paragraph" w:customStyle="1" w:styleId="ATHeading2">
    <w:name w:val="AT Heading 2"/>
    <w:basedOn w:val="Normal"/>
    <w:next w:val="Normal"/>
    <w:rsid w:val="00647D0C"/>
    <w:pPr>
      <w:autoSpaceDE w:val="0"/>
      <w:autoSpaceDN w:val="0"/>
      <w:adjustRightInd w:val="0"/>
      <w:spacing w:line="240" w:lineRule="auto"/>
      <w:outlineLvl w:val="1"/>
    </w:pPr>
    <w:rPr>
      <w:rFonts w:eastAsia="Times New Roman"/>
      <w:b/>
      <w:bCs/>
      <w:noProof/>
      <w:sz w:val="28"/>
      <w:szCs w:val="28"/>
      <w:lang w:eastAsia="ro-RO" w:bidi="ro-RO"/>
    </w:rPr>
  </w:style>
  <w:style w:type="paragraph" w:customStyle="1" w:styleId="ATHeading3">
    <w:name w:val="AT Heading 3"/>
    <w:basedOn w:val="Normal"/>
    <w:next w:val="Normal"/>
    <w:rsid w:val="00647D0C"/>
    <w:pPr>
      <w:keepNext/>
      <w:keepLines/>
      <w:autoSpaceDE w:val="0"/>
      <w:autoSpaceDN w:val="0"/>
      <w:adjustRightInd w:val="0"/>
      <w:spacing w:line="240" w:lineRule="auto"/>
      <w:outlineLvl w:val="2"/>
    </w:pPr>
    <w:rPr>
      <w:rFonts w:eastAsia="Times New Roman"/>
      <w:b/>
      <w:bCs/>
      <w:noProof/>
      <w:szCs w:val="24"/>
      <w:lang w:eastAsia="ro-RO" w:bidi="ro-RO"/>
    </w:rPr>
  </w:style>
  <w:style w:type="paragraph" w:customStyle="1" w:styleId="Normal12">
    <w:name w:val="Normal12"/>
    <w:basedOn w:val="Normal"/>
    <w:rsid w:val="00647D0C"/>
    <w:pPr>
      <w:widowControl w:val="0"/>
      <w:autoSpaceDE w:val="0"/>
      <w:autoSpaceDN w:val="0"/>
      <w:adjustRightInd w:val="0"/>
      <w:spacing w:before="0" w:after="240" w:line="240" w:lineRule="auto"/>
    </w:pPr>
    <w:rPr>
      <w:rFonts w:eastAsia="Times New Roman"/>
      <w:szCs w:val="24"/>
      <w:lang w:eastAsia="ro-RO" w:bidi="ro-RO"/>
    </w:rPr>
  </w:style>
  <w:style w:type="paragraph" w:customStyle="1" w:styleId="Normal12Bold">
    <w:name w:val="Normal12Bold"/>
    <w:basedOn w:val="Normal12"/>
    <w:rsid w:val="00647D0C"/>
    <w:rPr>
      <w:b/>
      <w:bCs/>
    </w:rPr>
  </w:style>
  <w:style w:type="paragraph" w:customStyle="1" w:styleId="Normal12Hanging">
    <w:name w:val="Normal12Hanging"/>
    <w:basedOn w:val="Normal12"/>
    <w:rsid w:val="00647D0C"/>
    <w:pPr>
      <w:ind w:left="357" w:hanging="357"/>
    </w:pPr>
  </w:style>
  <w:style w:type="character" w:customStyle="1" w:styleId="italic1">
    <w:name w:val="italic1"/>
    <w:basedOn w:val="DefaultParagraphFont"/>
    <w:rsid w:val="00647D0C"/>
    <w:rPr>
      <w:rFonts w:cs="Times New Roman"/>
      <w:i/>
      <w:iCs/>
      <w:spacing w:val="0"/>
      <w:shd w:val="clear" w:color="auto" w:fill="auto"/>
    </w:rPr>
  </w:style>
  <w:style w:type="paragraph" w:customStyle="1" w:styleId="CM1">
    <w:name w:val="CM1"/>
    <w:basedOn w:val="Default"/>
    <w:next w:val="Default"/>
    <w:uiPriority w:val="99"/>
    <w:rsid w:val="00647D0C"/>
    <w:rPr>
      <w:rFonts w:ascii="EUAlbertina" w:eastAsia="Times New Roman" w:hAnsi="EUAlbertina" w:cs="EUAlbertina"/>
      <w:color w:val="auto"/>
    </w:rPr>
  </w:style>
  <w:style w:type="paragraph" w:customStyle="1" w:styleId="CM3">
    <w:name w:val="CM3"/>
    <w:basedOn w:val="Default"/>
    <w:next w:val="Default"/>
    <w:uiPriority w:val="99"/>
    <w:rsid w:val="00647D0C"/>
    <w:rPr>
      <w:rFonts w:ascii="EUAlbertina" w:eastAsia="Times New Roman" w:hAnsi="EUAlbertina" w:cs="EUAlbertina"/>
      <w:color w:val="auto"/>
    </w:rPr>
  </w:style>
  <w:style w:type="paragraph" w:customStyle="1" w:styleId="CM4">
    <w:name w:val="CM4"/>
    <w:basedOn w:val="Default"/>
    <w:next w:val="Default"/>
    <w:uiPriority w:val="99"/>
    <w:rsid w:val="00647D0C"/>
    <w:rPr>
      <w:rFonts w:ascii="EUAlbertina" w:eastAsia="Times New Roman" w:hAnsi="EUAlbertina" w:cs="EUAlbertina"/>
      <w:color w:val="auto"/>
    </w:rPr>
  </w:style>
  <w:style w:type="paragraph" w:customStyle="1" w:styleId="NormalConseil">
    <w:name w:val="NormalConseil"/>
    <w:basedOn w:val="Normal"/>
    <w:rsid w:val="00647D0C"/>
    <w:pPr>
      <w:autoSpaceDE w:val="0"/>
      <w:autoSpaceDN w:val="0"/>
      <w:adjustRightInd w:val="0"/>
      <w:spacing w:before="0" w:after="0" w:line="240" w:lineRule="auto"/>
    </w:pPr>
    <w:rPr>
      <w:rFonts w:eastAsia="Times New Roman"/>
      <w:szCs w:val="24"/>
      <w:lang w:eastAsia="ro-RO" w:bidi="ro-RO"/>
    </w:rPr>
  </w:style>
  <w:style w:type="paragraph" w:customStyle="1" w:styleId="FooterConseil">
    <w:name w:val="FooterConseil"/>
    <w:basedOn w:val="NormalConseil"/>
    <w:rsid w:val="00647D0C"/>
    <w:pPr>
      <w:tabs>
        <w:tab w:val="center" w:pos="4820"/>
        <w:tab w:val="center" w:pos="7371"/>
        <w:tab w:val="right" w:pos="9639"/>
      </w:tabs>
    </w:pPr>
  </w:style>
  <w:style w:type="character" w:customStyle="1" w:styleId="st1">
    <w:name w:val="st1"/>
    <w:rsid w:val="00647D0C"/>
    <w:rPr>
      <w:spacing w:val="0"/>
      <w:sz w:val="24"/>
      <w:lang w:val="ro-RO" w:eastAsia="ro-RO" w:bidi="ro-RO"/>
    </w:rPr>
  </w:style>
  <w:style w:type="character" w:customStyle="1" w:styleId="Point0Char">
    <w:name w:val="Point 0 Char"/>
    <w:rsid w:val="00647D0C"/>
    <w:rPr>
      <w:spacing w:val="0"/>
      <w:sz w:val="24"/>
      <w:lang w:val="ro-RO" w:eastAsia="ro-RO" w:bidi="ro-RO"/>
    </w:rPr>
  </w:style>
  <w:style w:type="paragraph" w:customStyle="1" w:styleId="DeltaViewTableHeading">
    <w:name w:val="DeltaView Table Heading"/>
    <w:basedOn w:val="Normal"/>
    <w:rsid w:val="00647D0C"/>
    <w:pPr>
      <w:autoSpaceDE w:val="0"/>
      <w:autoSpaceDN w:val="0"/>
      <w:adjustRightInd w:val="0"/>
      <w:spacing w:before="0" w:line="240" w:lineRule="auto"/>
    </w:pPr>
    <w:rPr>
      <w:rFonts w:ascii="Arial" w:eastAsia="Times New Roman" w:hAnsi="Arial" w:cs="Arial"/>
      <w:b/>
      <w:bCs/>
      <w:szCs w:val="24"/>
      <w:lang w:eastAsia="ro-RO" w:bidi="ro-RO"/>
    </w:rPr>
  </w:style>
  <w:style w:type="paragraph" w:customStyle="1" w:styleId="DeltaViewTableBody">
    <w:name w:val="DeltaView Table Body"/>
    <w:basedOn w:val="Normal"/>
    <w:rsid w:val="00647D0C"/>
    <w:pPr>
      <w:autoSpaceDE w:val="0"/>
      <w:autoSpaceDN w:val="0"/>
      <w:adjustRightInd w:val="0"/>
      <w:spacing w:before="0" w:after="0" w:line="240" w:lineRule="auto"/>
    </w:pPr>
    <w:rPr>
      <w:rFonts w:ascii="Arial" w:eastAsia="Times New Roman" w:hAnsi="Arial" w:cs="Arial"/>
      <w:szCs w:val="24"/>
      <w:lang w:eastAsia="ro-RO" w:bidi="ro-RO"/>
    </w:rPr>
  </w:style>
  <w:style w:type="paragraph" w:customStyle="1" w:styleId="DeltaViewAnnounce">
    <w:name w:val="DeltaView Announce"/>
    <w:rsid w:val="00647D0C"/>
    <w:pPr>
      <w:autoSpaceDE w:val="0"/>
      <w:autoSpaceDN w:val="0"/>
      <w:adjustRightInd w:val="0"/>
      <w:spacing w:before="100" w:beforeAutospacing="1" w:after="100" w:afterAutospacing="1" w:line="240" w:lineRule="auto"/>
    </w:pPr>
    <w:rPr>
      <w:rFonts w:ascii="Arial" w:eastAsia="Times New Roman" w:hAnsi="Arial" w:cs="Arial"/>
      <w:sz w:val="24"/>
      <w:szCs w:val="24"/>
      <w:lang w:val="ro-RO" w:eastAsia="ro-RO" w:bidi="ro-RO"/>
    </w:rPr>
  </w:style>
  <w:style w:type="character" w:customStyle="1" w:styleId="DeltaViewInsertion">
    <w:name w:val="DeltaView Insertion"/>
    <w:rsid w:val="00647D0C"/>
    <w:rPr>
      <w:b/>
      <w:i/>
      <w:spacing w:val="0"/>
    </w:rPr>
  </w:style>
  <w:style w:type="character" w:customStyle="1" w:styleId="DeltaViewDeletion">
    <w:name w:val="DeltaView Deletion"/>
    <w:rsid w:val="00647D0C"/>
    <w:rPr>
      <w:strike/>
      <w:spacing w:val="0"/>
    </w:rPr>
  </w:style>
  <w:style w:type="character" w:customStyle="1" w:styleId="DeltaViewMoveSource">
    <w:name w:val="DeltaView Move Source"/>
    <w:rsid w:val="00647D0C"/>
    <w:rPr>
      <w:strike/>
      <w:spacing w:val="0"/>
    </w:rPr>
  </w:style>
  <w:style w:type="character" w:customStyle="1" w:styleId="DeltaViewMoveDestination">
    <w:name w:val="DeltaView Move Destination"/>
    <w:rsid w:val="00647D0C"/>
    <w:rPr>
      <w:spacing w:val="0"/>
      <w:u w:val="double"/>
    </w:rPr>
  </w:style>
  <w:style w:type="character" w:customStyle="1" w:styleId="DeltaViewChangeNumber">
    <w:name w:val="DeltaView Change Number"/>
    <w:rsid w:val="00647D0C"/>
    <w:rPr>
      <w:color w:val="000000"/>
      <w:spacing w:val="0"/>
      <w:vertAlign w:val="superscript"/>
    </w:rPr>
  </w:style>
  <w:style w:type="character" w:customStyle="1" w:styleId="DeltaViewDelimiter">
    <w:name w:val="DeltaView Delimiter"/>
    <w:rsid w:val="00647D0C"/>
    <w:rPr>
      <w:spacing w:val="0"/>
    </w:rPr>
  </w:style>
  <w:style w:type="character" w:customStyle="1" w:styleId="DeltaViewFormatChange">
    <w:name w:val="DeltaView Format Change"/>
    <w:rsid w:val="00647D0C"/>
    <w:rPr>
      <w:color w:val="000000"/>
      <w:spacing w:val="0"/>
    </w:rPr>
  </w:style>
  <w:style w:type="character" w:customStyle="1" w:styleId="DeltaViewMovedDeletion">
    <w:name w:val="DeltaView Moved Deletion"/>
    <w:rsid w:val="00647D0C"/>
    <w:rPr>
      <w:strike/>
      <w:color w:val="C08080"/>
      <w:spacing w:val="0"/>
    </w:rPr>
  </w:style>
  <w:style w:type="character" w:customStyle="1" w:styleId="DeltaViewEditorComment">
    <w:name w:val="DeltaView Editor Comment"/>
    <w:basedOn w:val="DefaultParagraphFont"/>
    <w:rsid w:val="00647D0C"/>
    <w:rPr>
      <w:rFonts w:cs="Times New Roman"/>
      <w:color w:val="0000FF"/>
      <w:spacing w:val="0"/>
      <w:u w:val="double"/>
    </w:rPr>
  </w:style>
  <w:style w:type="character" w:customStyle="1" w:styleId="DeltaViewStyleChangeText">
    <w:name w:val="DeltaView Style Change Text"/>
    <w:rsid w:val="00647D0C"/>
    <w:rPr>
      <w:color w:val="000000"/>
      <w:spacing w:val="0"/>
      <w:u w:val="double"/>
    </w:rPr>
  </w:style>
  <w:style w:type="character" w:customStyle="1" w:styleId="DeltaViewStyleChangeLabel">
    <w:name w:val="DeltaView Style Change Label"/>
    <w:rsid w:val="00647D0C"/>
    <w:rPr>
      <w:color w:val="000000"/>
      <w:spacing w:val="0"/>
    </w:rPr>
  </w:style>
  <w:style w:type="character" w:customStyle="1" w:styleId="UnresolvedMention1">
    <w:name w:val="Unresolved Mention1"/>
    <w:basedOn w:val="DefaultParagraphFont"/>
    <w:uiPriority w:val="99"/>
    <w:semiHidden/>
    <w:unhideWhenUsed/>
    <w:rsid w:val="00647D0C"/>
    <w:rPr>
      <w:color w:val="605E5C"/>
      <w:shd w:val="clear" w:color="auto" w:fill="E1DFDD"/>
    </w:rPr>
  </w:style>
  <w:style w:type="character" w:customStyle="1" w:styleId="UnresolvedMention2">
    <w:name w:val="Unresolved Mention2"/>
    <w:basedOn w:val="DefaultParagraphFont"/>
    <w:uiPriority w:val="99"/>
    <w:semiHidden/>
    <w:unhideWhenUsed/>
    <w:rsid w:val="00647D0C"/>
    <w:rPr>
      <w:color w:val="605E5C"/>
      <w:shd w:val="clear" w:color="auto" w:fill="E1DFDD"/>
    </w:rPr>
  </w:style>
  <w:style w:type="paragraph" w:customStyle="1" w:styleId="ThetitleofAnnexIPoint0number">
    <w:name w:val="The title of Annex I Point 0 (number)"/>
    <w:basedOn w:val="Point0number"/>
    <w:rsid w:val="00647D0C"/>
    <w:pPr>
      <w:numPr>
        <w:numId w:val="0"/>
      </w:numPr>
      <w:tabs>
        <w:tab w:val="num" w:pos="850"/>
      </w:tabs>
      <w:spacing w:line="240" w:lineRule="auto"/>
      <w:ind w:left="850" w:hanging="850"/>
      <w:jc w:val="both"/>
    </w:pPr>
    <w:rPr>
      <w:lang w:eastAsia="ro-RO" w:bidi="ro-RO"/>
    </w:rPr>
  </w:style>
  <w:style w:type="paragraph" w:customStyle="1" w:styleId="Part1isreplacedwiththefollowignPoint0number">
    <w:name w:val="Part 1 is replaced with the followign: Point 0 (number)"/>
    <w:basedOn w:val="Point0number"/>
    <w:rsid w:val="00647D0C"/>
    <w:pPr>
      <w:numPr>
        <w:numId w:val="0"/>
      </w:numPr>
      <w:tabs>
        <w:tab w:val="num" w:pos="850"/>
      </w:tabs>
      <w:spacing w:line="240" w:lineRule="auto"/>
      <w:ind w:left="850" w:hanging="850"/>
      <w:jc w:val="both"/>
    </w:pPr>
    <w:rPr>
      <w:lang w:eastAsia="ro-RO" w:bidi="ro-RO"/>
    </w:rPr>
  </w:style>
  <w:style w:type="paragraph" w:customStyle="1" w:styleId="PartPoint0number">
    <w:name w:val="PartPoint 0 (number)"/>
    <w:basedOn w:val="Point0number"/>
    <w:rsid w:val="00647D0C"/>
    <w:pPr>
      <w:numPr>
        <w:numId w:val="0"/>
      </w:numPr>
      <w:tabs>
        <w:tab w:val="num" w:pos="850"/>
      </w:tabs>
      <w:spacing w:line="240" w:lineRule="auto"/>
      <w:ind w:left="850" w:hanging="850"/>
      <w:jc w:val="both"/>
    </w:pPr>
    <w:rPr>
      <w:lang w:eastAsia="ro-RO" w:bidi="ro-RO"/>
    </w:rPr>
  </w:style>
  <w:style w:type="paragraph" w:customStyle="1" w:styleId="AnewPoint0number">
    <w:name w:val="A new Point 0 (number)"/>
    <w:basedOn w:val="Point0number"/>
    <w:rsid w:val="00647D0C"/>
    <w:pPr>
      <w:numPr>
        <w:numId w:val="0"/>
      </w:numPr>
      <w:tabs>
        <w:tab w:val="num" w:pos="850"/>
      </w:tabs>
      <w:spacing w:line="240" w:lineRule="auto"/>
      <w:ind w:left="850" w:hanging="850"/>
      <w:jc w:val="both"/>
    </w:pPr>
    <w:rPr>
      <w:lang w:eastAsia="ro-RO" w:bidi="ro-RO"/>
    </w:rPr>
  </w:style>
  <w:style w:type="paragraph" w:customStyle="1" w:styleId="LegalNumPar">
    <w:name w:val="LegalNumPar"/>
    <w:basedOn w:val="Normal"/>
    <w:rsid w:val="00647D0C"/>
    <w:pPr>
      <w:numPr>
        <w:numId w:val="38"/>
      </w:numPr>
      <w:tabs>
        <w:tab w:val="num" w:pos="3685"/>
      </w:tabs>
      <w:ind w:left="0" w:firstLine="0"/>
      <w:jc w:val="both"/>
    </w:pPr>
    <w:rPr>
      <w:lang w:eastAsia="ro-RO" w:bidi="ro-RO"/>
    </w:rPr>
  </w:style>
  <w:style w:type="paragraph" w:customStyle="1" w:styleId="LegalNumPar2">
    <w:name w:val="LegalNumPar2"/>
    <w:basedOn w:val="Normal"/>
    <w:rsid w:val="00647D0C"/>
    <w:pPr>
      <w:numPr>
        <w:ilvl w:val="1"/>
        <w:numId w:val="38"/>
      </w:numPr>
      <w:tabs>
        <w:tab w:val="num" w:pos="3685"/>
      </w:tabs>
      <w:ind w:left="0" w:firstLine="0"/>
      <w:jc w:val="both"/>
    </w:pPr>
    <w:rPr>
      <w:lang w:eastAsia="ro-RO" w:bidi="ro-RO"/>
    </w:rPr>
  </w:style>
  <w:style w:type="paragraph" w:customStyle="1" w:styleId="LegalNumPar3">
    <w:name w:val="LegalNumPar3"/>
    <w:basedOn w:val="Normal"/>
    <w:rsid w:val="00647D0C"/>
    <w:pPr>
      <w:numPr>
        <w:ilvl w:val="2"/>
        <w:numId w:val="38"/>
      </w:numPr>
      <w:tabs>
        <w:tab w:val="num" w:pos="3685"/>
      </w:tabs>
      <w:spacing w:line="240" w:lineRule="auto"/>
      <w:ind w:left="0" w:firstLine="0"/>
      <w:jc w:val="both"/>
    </w:pPr>
    <w:rPr>
      <w:lang w:eastAsia="ro-RO" w:bidi="ro-RO"/>
    </w:rPr>
  </w:style>
  <w:style w:type="character" w:customStyle="1" w:styleId="UnresolvedMention3">
    <w:name w:val="Unresolved Mention3"/>
    <w:basedOn w:val="DefaultParagraphFont"/>
    <w:uiPriority w:val="99"/>
    <w:semiHidden/>
    <w:unhideWhenUsed/>
    <w:rsid w:val="00647D0C"/>
    <w:rPr>
      <w:color w:val="605E5C"/>
      <w:shd w:val="clear" w:color="auto" w:fill="E1DFDD"/>
    </w:rPr>
  </w:style>
  <w:style w:type="paragraph" w:customStyle="1" w:styleId="title-gr-seq-level-1">
    <w:name w:val="title-gr-seq-level-1"/>
    <w:basedOn w:val="Normal"/>
    <w:rsid w:val="00647D0C"/>
    <w:pPr>
      <w:spacing w:before="100" w:beforeAutospacing="1" w:after="100" w:afterAutospacing="1" w:line="240" w:lineRule="auto"/>
    </w:pPr>
    <w:rPr>
      <w:rFonts w:eastAsia="Times New Roman"/>
      <w:szCs w:val="24"/>
      <w:lang w:eastAsia="ro-RO" w:bidi="ro-RO"/>
    </w:rPr>
  </w:style>
  <w:style w:type="character" w:customStyle="1" w:styleId="boldface">
    <w:name w:val="boldface"/>
    <w:basedOn w:val="DefaultParagraphFont"/>
    <w:rsid w:val="00647D0C"/>
  </w:style>
  <w:style w:type="paragraph" w:customStyle="1" w:styleId="title-gr-seq-level-4">
    <w:name w:val="title-gr-seq-level-4"/>
    <w:basedOn w:val="Normal"/>
    <w:rsid w:val="00647D0C"/>
    <w:pPr>
      <w:spacing w:before="100" w:beforeAutospacing="1" w:after="100" w:afterAutospacing="1" w:line="240" w:lineRule="auto"/>
    </w:pPr>
    <w:rPr>
      <w:rFonts w:eastAsia="Times New Roman"/>
      <w:szCs w:val="24"/>
      <w:lang w:eastAsia="ro-RO" w:bidi="ro-RO"/>
    </w:rPr>
  </w:style>
  <w:style w:type="paragraph" w:customStyle="1" w:styleId="norm">
    <w:name w:val="norm"/>
    <w:basedOn w:val="Normal"/>
    <w:rsid w:val="00647D0C"/>
    <w:pPr>
      <w:spacing w:before="100" w:beforeAutospacing="1" w:after="100" w:afterAutospacing="1" w:line="240" w:lineRule="auto"/>
    </w:pPr>
    <w:rPr>
      <w:rFonts w:eastAsia="Times New Roman"/>
      <w:szCs w:val="24"/>
      <w:lang w:eastAsia="ro-RO" w:bidi="ro-RO"/>
    </w:rPr>
  </w:style>
  <w:style w:type="paragraph" w:customStyle="1" w:styleId="title-table">
    <w:name w:val="title-table"/>
    <w:basedOn w:val="Normal"/>
    <w:rsid w:val="00647D0C"/>
    <w:pPr>
      <w:spacing w:before="100" w:beforeAutospacing="1" w:after="100" w:afterAutospacing="1" w:line="240" w:lineRule="auto"/>
    </w:pPr>
    <w:rPr>
      <w:rFonts w:eastAsia="Times New Roman"/>
      <w:szCs w:val="24"/>
      <w:lang w:eastAsia="ro-RO" w:bidi="ro-RO"/>
    </w:rPr>
  </w:style>
  <w:style w:type="character" w:customStyle="1" w:styleId="superscript">
    <w:name w:val="superscript"/>
    <w:basedOn w:val="DefaultParagraphFont"/>
    <w:rsid w:val="00647D0C"/>
  </w:style>
  <w:style w:type="paragraph" w:customStyle="1" w:styleId="tbl-norm">
    <w:name w:val="tbl-norm"/>
    <w:basedOn w:val="Normal"/>
    <w:rsid w:val="00647D0C"/>
    <w:pPr>
      <w:spacing w:before="100" w:beforeAutospacing="1" w:after="100" w:afterAutospacing="1" w:line="240" w:lineRule="auto"/>
    </w:pPr>
    <w:rPr>
      <w:rFonts w:eastAsia="Times New Roman"/>
      <w:szCs w:val="24"/>
      <w:lang w:eastAsia="ro-RO" w:bidi="ro-RO"/>
    </w:rPr>
  </w:style>
  <w:style w:type="paragraph" w:customStyle="1" w:styleId="item-none">
    <w:name w:val="item-none"/>
    <w:basedOn w:val="Normal"/>
    <w:rsid w:val="00647D0C"/>
    <w:pPr>
      <w:spacing w:before="100" w:beforeAutospacing="1" w:after="100" w:afterAutospacing="1" w:line="240" w:lineRule="auto"/>
    </w:pPr>
    <w:rPr>
      <w:rFonts w:eastAsia="Times New Roman"/>
      <w:szCs w:val="24"/>
      <w:lang w:eastAsia="ro-RO" w:bidi="ro-RO"/>
    </w:rPr>
  </w:style>
  <w:style w:type="paragraph" w:customStyle="1" w:styleId="HeaderSensitivity">
    <w:name w:val="Header Sensitivity"/>
    <w:basedOn w:val="Normal"/>
    <w:rsid w:val="00647D0C"/>
    <w:pPr>
      <w:pBdr>
        <w:top w:val="single" w:sz="4" w:space="1" w:color="auto"/>
        <w:left w:val="single" w:sz="4" w:space="4" w:color="auto"/>
        <w:bottom w:val="single" w:sz="4" w:space="1" w:color="auto"/>
        <w:right w:val="single" w:sz="4" w:space="4" w:color="auto"/>
      </w:pBdr>
      <w:spacing w:before="0" w:line="240" w:lineRule="auto"/>
      <w:ind w:left="113" w:right="113"/>
      <w:jc w:val="center"/>
    </w:pPr>
    <w:rPr>
      <w:b/>
      <w:sz w:val="32"/>
      <w:lang w:eastAsia="ro-RO" w:bidi="ro-RO"/>
    </w:rPr>
  </w:style>
  <w:style w:type="paragraph" w:customStyle="1" w:styleId="HeaderSensitivityRight">
    <w:name w:val="Header Sensitivity Right"/>
    <w:basedOn w:val="Normal"/>
    <w:rsid w:val="00647D0C"/>
    <w:pPr>
      <w:spacing w:before="0" w:line="240" w:lineRule="auto"/>
      <w:jc w:val="right"/>
    </w:pPr>
    <w:rPr>
      <w:sz w:val="28"/>
      <w:lang w:eastAsia="ro-RO" w:bidi="ro-RO"/>
    </w:rPr>
  </w:style>
  <w:style w:type="paragraph" w:customStyle="1" w:styleId="FooterSensitivity">
    <w:name w:val="Footer Sensitivity"/>
    <w:basedOn w:val="Normal"/>
    <w:rsid w:val="00647D0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lang w:eastAsia="ro-RO" w:bidi="ro-RO"/>
    </w:rPr>
  </w:style>
  <w:style w:type="character" w:customStyle="1" w:styleId="Marker2">
    <w:name w:val="Marker2"/>
    <w:basedOn w:val="DefaultParagraphFont"/>
    <w:rsid w:val="00647D0C"/>
    <w:rPr>
      <w:color w:val="FF0000"/>
      <w:shd w:val="clear" w:color="auto" w:fill="auto"/>
    </w:rPr>
  </w:style>
  <w:style w:type="paragraph" w:customStyle="1" w:styleId="Nomdelinstitution">
    <w:name w:val="Nom de l'institution"/>
    <w:basedOn w:val="Normal"/>
    <w:next w:val="Emission"/>
    <w:rsid w:val="00647D0C"/>
    <w:pPr>
      <w:spacing w:before="0" w:after="0" w:line="240" w:lineRule="auto"/>
    </w:pPr>
    <w:rPr>
      <w:rFonts w:ascii="Arial" w:hAnsi="Arial" w:cs="Arial"/>
      <w:lang w:eastAsia="ro-RO" w:bidi="ro-RO"/>
    </w:rPr>
  </w:style>
  <w:style w:type="paragraph" w:customStyle="1" w:styleId="Emission">
    <w:name w:val="Emission"/>
    <w:basedOn w:val="Normal"/>
    <w:next w:val="Rfrenceinstitutionnelle"/>
    <w:rsid w:val="00647D0C"/>
    <w:pPr>
      <w:spacing w:before="0" w:after="0" w:line="240" w:lineRule="auto"/>
      <w:ind w:left="5103"/>
    </w:pPr>
    <w:rPr>
      <w:lang w:eastAsia="ro-RO" w:bidi="ro-RO"/>
    </w:rPr>
  </w:style>
  <w:style w:type="paragraph" w:customStyle="1" w:styleId="Rfrenceinstitutionnelle">
    <w:name w:val="Référence institutionnelle"/>
    <w:basedOn w:val="Normal"/>
    <w:next w:val="Confidentialit"/>
    <w:rsid w:val="00647D0C"/>
    <w:pPr>
      <w:spacing w:before="0" w:after="240" w:line="240" w:lineRule="auto"/>
      <w:ind w:left="5103"/>
    </w:pPr>
    <w:rPr>
      <w:lang w:eastAsia="ro-RO" w:bidi="ro-RO"/>
    </w:rPr>
  </w:style>
  <w:style w:type="paragraph" w:customStyle="1" w:styleId="Pagedecouverture">
    <w:name w:val="Page de couverture"/>
    <w:basedOn w:val="Normal"/>
    <w:next w:val="Normal"/>
    <w:rsid w:val="00647D0C"/>
    <w:pPr>
      <w:spacing w:before="0" w:after="0" w:line="240" w:lineRule="auto"/>
      <w:jc w:val="both"/>
    </w:pPr>
    <w:rPr>
      <w:lang w:eastAsia="ro-RO" w:bidi="ro-RO"/>
    </w:rPr>
  </w:style>
  <w:style w:type="paragraph" w:customStyle="1" w:styleId="Declassification">
    <w:name w:val="Declassification"/>
    <w:basedOn w:val="Normal"/>
    <w:next w:val="Normal"/>
    <w:rsid w:val="00647D0C"/>
    <w:pPr>
      <w:spacing w:before="0" w:after="0" w:line="240" w:lineRule="auto"/>
      <w:jc w:val="both"/>
    </w:pPr>
    <w:rPr>
      <w:lang w:eastAsia="ro-RO" w:bidi="ro-RO"/>
    </w:rPr>
  </w:style>
  <w:style w:type="paragraph" w:customStyle="1" w:styleId="Disclaimer">
    <w:name w:val="Disclaimer"/>
    <w:basedOn w:val="Normal"/>
    <w:rsid w:val="00647D0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line="240" w:lineRule="auto"/>
      <w:jc w:val="both"/>
    </w:pPr>
    <w:rPr>
      <w:lang w:eastAsia="ro-RO" w:bidi="ro-RO"/>
    </w:rPr>
  </w:style>
  <w:style w:type="paragraph" w:customStyle="1" w:styleId="SecurityMarking">
    <w:name w:val="SecurityMarking"/>
    <w:basedOn w:val="Normal"/>
    <w:rsid w:val="00647D0C"/>
    <w:pPr>
      <w:spacing w:before="0" w:after="0" w:line="276" w:lineRule="auto"/>
      <w:ind w:left="5103"/>
    </w:pPr>
    <w:rPr>
      <w:sz w:val="28"/>
      <w:lang w:eastAsia="ro-RO" w:bidi="ro-RO"/>
    </w:rPr>
  </w:style>
  <w:style w:type="paragraph" w:customStyle="1" w:styleId="DateMarking">
    <w:name w:val="DateMarking"/>
    <w:basedOn w:val="Normal"/>
    <w:rsid w:val="00647D0C"/>
    <w:pPr>
      <w:spacing w:before="0" w:after="0" w:line="276" w:lineRule="auto"/>
      <w:ind w:left="5103"/>
    </w:pPr>
    <w:rPr>
      <w:i/>
      <w:sz w:val="28"/>
      <w:lang w:eastAsia="ro-RO" w:bidi="ro-RO"/>
    </w:rPr>
  </w:style>
  <w:style w:type="paragraph" w:customStyle="1" w:styleId="ReleasableTo">
    <w:name w:val="ReleasableTo"/>
    <w:basedOn w:val="Normal"/>
    <w:rsid w:val="00647D0C"/>
    <w:pPr>
      <w:spacing w:before="0" w:after="0" w:line="276" w:lineRule="auto"/>
      <w:ind w:left="5103"/>
    </w:pPr>
    <w:rPr>
      <w:i/>
      <w:sz w:val="28"/>
      <w:lang w:eastAsia="ro-RO" w:bidi="ro-RO"/>
    </w:rPr>
  </w:style>
  <w:style w:type="paragraph" w:customStyle="1" w:styleId="Annexetitreexpos">
    <w:name w:val="Annexe titre (exposé)"/>
    <w:basedOn w:val="Normal"/>
    <w:next w:val="Normal"/>
    <w:rsid w:val="00647D0C"/>
    <w:pPr>
      <w:spacing w:line="240" w:lineRule="auto"/>
      <w:jc w:val="center"/>
    </w:pPr>
    <w:rPr>
      <w:b/>
      <w:u w:val="single"/>
      <w:lang w:eastAsia="ro-RO" w:bidi="ro-RO"/>
    </w:rPr>
  </w:style>
  <w:style w:type="paragraph" w:customStyle="1" w:styleId="Annexetitrefichefinancire">
    <w:name w:val="Annexe titre (fiche financière)"/>
    <w:basedOn w:val="Normal"/>
    <w:next w:val="Normal"/>
    <w:rsid w:val="00647D0C"/>
    <w:pPr>
      <w:spacing w:line="240" w:lineRule="auto"/>
      <w:jc w:val="center"/>
    </w:pPr>
    <w:rPr>
      <w:b/>
      <w:u w:val="single"/>
      <w:lang w:eastAsia="ro-RO" w:bidi="ro-RO"/>
    </w:rPr>
  </w:style>
  <w:style w:type="paragraph" w:customStyle="1" w:styleId="Avertissementtitre">
    <w:name w:val="Avertissement titre"/>
    <w:basedOn w:val="Normal"/>
    <w:next w:val="Normal"/>
    <w:rsid w:val="00647D0C"/>
    <w:pPr>
      <w:keepNext/>
      <w:spacing w:before="480" w:line="240" w:lineRule="auto"/>
      <w:jc w:val="both"/>
    </w:pPr>
    <w:rPr>
      <w:u w:val="single"/>
      <w:lang w:eastAsia="ro-RO" w:bidi="ro-RO"/>
    </w:rPr>
  </w:style>
  <w:style w:type="paragraph" w:customStyle="1" w:styleId="Confidence">
    <w:name w:val="Confidence"/>
    <w:basedOn w:val="Normal"/>
    <w:next w:val="Normal"/>
    <w:rsid w:val="00647D0C"/>
    <w:pPr>
      <w:spacing w:before="360" w:line="240" w:lineRule="auto"/>
      <w:jc w:val="center"/>
    </w:pPr>
    <w:rPr>
      <w:lang w:eastAsia="ro-RO" w:bidi="ro-RO"/>
    </w:rPr>
  </w:style>
  <w:style w:type="paragraph" w:customStyle="1" w:styleId="Confidentialit">
    <w:name w:val="Confidentialité"/>
    <w:basedOn w:val="Normal"/>
    <w:next w:val="TypedudocumentPagedecouverture"/>
    <w:rsid w:val="00647D0C"/>
    <w:pPr>
      <w:spacing w:before="240" w:after="240" w:line="240" w:lineRule="auto"/>
      <w:ind w:left="5103"/>
    </w:pPr>
    <w:rPr>
      <w:i/>
      <w:sz w:val="32"/>
      <w:lang w:eastAsia="ro-RO" w:bidi="ro-RO"/>
    </w:rPr>
  </w:style>
  <w:style w:type="paragraph" w:customStyle="1" w:styleId="Corrigendum">
    <w:name w:val="Corrigendum"/>
    <w:basedOn w:val="Normal"/>
    <w:next w:val="Normal"/>
    <w:rsid w:val="00647D0C"/>
    <w:pPr>
      <w:spacing w:before="0" w:after="240" w:line="240" w:lineRule="auto"/>
    </w:pPr>
    <w:rPr>
      <w:lang w:eastAsia="ro-RO" w:bidi="ro-RO"/>
    </w:rPr>
  </w:style>
  <w:style w:type="paragraph" w:customStyle="1" w:styleId="Exposdesmotifstitre">
    <w:name w:val="Exposé des motifs titre"/>
    <w:basedOn w:val="Normal"/>
    <w:next w:val="Normal"/>
    <w:rsid w:val="00647D0C"/>
    <w:pPr>
      <w:spacing w:line="240" w:lineRule="auto"/>
      <w:jc w:val="center"/>
    </w:pPr>
    <w:rPr>
      <w:b/>
      <w:u w:val="single"/>
      <w:lang w:eastAsia="ro-RO" w:bidi="ro-RO"/>
    </w:rPr>
  </w:style>
  <w:style w:type="paragraph" w:customStyle="1" w:styleId="Rfrenceinterinstitutionnelle">
    <w:name w:val="Référence interinstitutionnelle"/>
    <w:basedOn w:val="Normal"/>
    <w:next w:val="Statut"/>
    <w:rsid w:val="00647D0C"/>
    <w:pPr>
      <w:spacing w:before="0" w:after="0" w:line="240" w:lineRule="auto"/>
      <w:ind w:left="5103"/>
    </w:pPr>
    <w:rPr>
      <w:lang w:eastAsia="ro-RO" w:bidi="ro-RO"/>
    </w:rPr>
  </w:style>
  <w:style w:type="character" w:customStyle="1" w:styleId="Added">
    <w:name w:val="Added"/>
    <w:basedOn w:val="DefaultParagraphFont"/>
    <w:rsid w:val="00647D0C"/>
    <w:rPr>
      <w:b/>
      <w:u w:val="single"/>
      <w:shd w:val="clear" w:color="auto" w:fill="auto"/>
    </w:rPr>
  </w:style>
  <w:style w:type="character" w:customStyle="1" w:styleId="Deleted">
    <w:name w:val="Deleted"/>
    <w:basedOn w:val="DefaultParagraphFont"/>
    <w:rsid w:val="00647D0C"/>
    <w:rPr>
      <w:strike/>
      <w:dstrike w:val="0"/>
      <w:shd w:val="clear" w:color="auto" w:fill="auto"/>
    </w:rPr>
  </w:style>
  <w:style w:type="paragraph" w:customStyle="1" w:styleId="Address">
    <w:name w:val="Address"/>
    <w:basedOn w:val="Normal"/>
    <w:next w:val="Normal"/>
    <w:rsid w:val="00647D0C"/>
    <w:pPr>
      <w:keepLines/>
      <w:ind w:left="3402"/>
    </w:pPr>
    <w:rPr>
      <w:lang w:eastAsia="ro-RO" w:bidi="ro-RO"/>
    </w:rPr>
  </w:style>
  <w:style w:type="paragraph" w:customStyle="1" w:styleId="Objetexterne">
    <w:name w:val="Objet externe"/>
    <w:basedOn w:val="Normal"/>
    <w:next w:val="Normal"/>
    <w:rsid w:val="00647D0C"/>
    <w:pPr>
      <w:spacing w:line="240" w:lineRule="auto"/>
      <w:jc w:val="both"/>
    </w:pPr>
    <w:rPr>
      <w:i/>
      <w:caps/>
      <w:lang w:eastAsia="ro-RO" w:bidi="ro-RO"/>
    </w:rPr>
  </w:style>
  <w:style w:type="paragraph" w:customStyle="1" w:styleId="Supertitre">
    <w:name w:val="Supertitre"/>
    <w:basedOn w:val="Normal"/>
    <w:next w:val="Normal"/>
    <w:rsid w:val="00647D0C"/>
    <w:pPr>
      <w:spacing w:before="0" w:after="600" w:line="240" w:lineRule="auto"/>
      <w:jc w:val="center"/>
    </w:pPr>
    <w:rPr>
      <w:b/>
      <w:lang w:eastAsia="ro-RO" w:bidi="ro-RO"/>
    </w:rPr>
  </w:style>
  <w:style w:type="paragraph" w:customStyle="1" w:styleId="Rfrencecroise">
    <w:name w:val="Référence croisée"/>
    <w:basedOn w:val="Normal"/>
    <w:rsid w:val="00647D0C"/>
    <w:pPr>
      <w:spacing w:before="0" w:after="0" w:line="240" w:lineRule="auto"/>
      <w:jc w:val="center"/>
    </w:pPr>
    <w:rPr>
      <w:lang w:eastAsia="ro-RO" w:bidi="ro-RO"/>
    </w:rPr>
  </w:style>
  <w:style w:type="paragraph" w:customStyle="1" w:styleId="Fichefinanciretitre">
    <w:name w:val="Fiche financière titre"/>
    <w:basedOn w:val="Normal"/>
    <w:next w:val="Normal"/>
    <w:rsid w:val="00647D0C"/>
    <w:pPr>
      <w:spacing w:line="240" w:lineRule="auto"/>
      <w:jc w:val="center"/>
    </w:pPr>
    <w:rPr>
      <w:b/>
      <w:u w:val="single"/>
      <w:lang w:eastAsia="ro-RO" w:bidi="ro-RO"/>
    </w:rPr>
  </w:style>
  <w:style w:type="paragraph" w:customStyle="1" w:styleId="DatedadoptionPagedecouverture">
    <w:name w:val="Date d'adoption (Page de couverture)"/>
    <w:basedOn w:val="Datedadoption"/>
    <w:next w:val="IntrtEEEPagedecouverture"/>
    <w:rsid w:val="00647D0C"/>
    <w:pPr>
      <w:spacing w:line="240" w:lineRule="auto"/>
    </w:pPr>
    <w:rPr>
      <w:lang w:eastAsia="ro-RO" w:bidi="ro-RO"/>
    </w:rPr>
  </w:style>
  <w:style w:type="paragraph" w:customStyle="1" w:styleId="RfrenceinterinstitutionnellePagedecouverture">
    <w:name w:val="Référence interinstitutionnelle (Page de couverture)"/>
    <w:basedOn w:val="Rfrenceinterinstitutionnelle"/>
    <w:next w:val="Confidentialit"/>
    <w:rsid w:val="00647D0C"/>
  </w:style>
  <w:style w:type="paragraph" w:customStyle="1" w:styleId="StatutPagedecouverture">
    <w:name w:val="Statut (Page de couverture)"/>
    <w:basedOn w:val="Statut"/>
    <w:next w:val="TypedudocumentPagedecouverture"/>
    <w:rsid w:val="00647D0C"/>
    <w:pPr>
      <w:spacing w:before="0" w:after="240" w:line="240" w:lineRule="auto"/>
    </w:pPr>
    <w:rPr>
      <w:lang w:eastAsia="ro-RO" w:bidi="ro-RO"/>
    </w:rPr>
  </w:style>
  <w:style w:type="paragraph" w:customStyle="1" w:styleId="TypedudocumentPagedecouverture">
    <w:name w:val="Type du document (Page de couverture)"/>
    <w:basedOn w:val="Typedudocument"/>
    <w:next w:val="AccompagnantPagedecouverture"/>
    <w:rsid w:val="00647D0C"/>
    <w:pPr>
      <w:spacing w:after="180" w:line="240" w:lineRule="auto"/>
    </w:pPr>
    <w:rPr>
      <w:lang w:eastAsia="ro-RO" w:bidi="ro-RO"/>
    </w:rPr>
  </w:style>
  <w:style w:type="paragraph" w:customStyle="1" w:styleId="Volume">
    <w:name w:val="Volume"/>
    <w:basedOn w:val="Normal"/>
    <w:next w:val="Confidentialit"/>
    <w:rsid w:val="00647D0C"/>
    <w:pPr>
      <w:spacing w:before="0" w:after="240" w:line="240" w:lineRule="auto"/>
      <w:ind w:left="5103"/>
    </w:pPr>
    <w:rPr>
      <w:lang w:eastAsia="ro-RO" w:bidi="ro-RO"/>
    </w:rPr>
  </w:style>
  <w:style w:type="paragraph" w:customStyle="1" w:styleId="Accompagnant">
    <w:name w:val="Accompagnant"/>
    <w:basedOn w:val="Normal"/>
    <w:next w:val="Typeacteprincipal"/>
    <w:rsid w:val="00647D0C"/>
    <w:pPr>
      <w:spacing w:before="180" w:after="240" w:line="240" w:lineRule="auto"/>
      <w:jc w:val="center"/>
    </w:pPr>
    <w:rPr>
      <w:b/>
      <w:lang w:eastAsia="ro-RO" w:bidi="ro-RO"/>
    </w:rPr>
  </w:style>
  <w:style w:type="paragraph" w:customStyle="1" w:styleId="Typeacteprincipal">
    <w:name w:val="Type acte principal"/>
    <w:basedOn w:val="Normal"/>
    <w:next w:val="Objetacteprincipal"/>
    <w:rsid w:val="00647D0C"/>
    <w:pPr>
      <w:spacing w:before="0" w:after="240" w:line="240" w:lineRule="auto"/>
      <w:jc w:val="center"/>
    </w:pPr>
    <w:rPr>
      <w:b/>
      <w:lang w:eastAsia="ro-RO" w:bidi="ro-RO"/>
    </w:rPr>
  </w:style>
  <w:style w:type="paragraph" w:customStyle="1" w:styleId="Objetacteprincipal">
    <w:name w:val="Objet acte principal"/>
    <w:basedOn w:val="Normal"/>
    <w:next w:val="Titrearticle"/>
    <w:rsid w:val="00647D0C"/>
    <w:pPr>
      <w:spacing w:before="0" w:after="360" w:line="240" w:lineRule="auto"/>
      <w:jc w:val="center"/>
    </w:pPr>
    <w:rPr>
      <w:b/>
      <w:lang w:eastAsia="ro-RO" w:bidi="ro-RO"/>
    </w:rPr>
  </w:style>
  <w:style w:type="paragraph" w:customStyle="1" w:styleId="IntrtEEEPagedecouverture">
    <w:name w:val="Intérêt EEE (Page de couverture)"/>
    <w:basedOn w:val="IntrtEEE"/>
    <w:next w:val="Rfrencecroise"/>
    <w:rsid w:val="00647D0C"/>
    <w:pPr>
      <w:spacing w:line="240" w:lineRule="auto"/>
    </w:pPr>
    <w:rPr>
      <w:lang w:eastAsia="ro-RO" w:bidi="ro-RO"/>
    </w:rPr>
  </w:style>
  <w:style w:type="paragraph" w:customStyle="1" w:styleId="AccompagnantPagedecouverture">
    <w:name w:val="Accompagnant (Page de couverture)"/>
    <w:basedOn w:val="Accompagnant"/>
    <w:next w:val="TypeacteprincipalPagedecouverture"/>
    <w:rsid w:val="00647D0C"/>
  </w:style>
  <w:style w:type="paragraph" w:customStyle="1" w:styleId="TypeacteprincipalPagedecouverture">
    <w:name w:val="Type acte principal (Page de couverture)"/>
    <w:basedOn w:val="Typeacteprincipal"/>
    <w:next w:val="ObjetacteprincipalPagedecouverture"/>
    <w:rsid w:val="00647D0C"/>
  </w:style>
  <w:style w:type="paragraph" w:customStyle="1" w:styleId="ObjetacteprincipalPagedecouverture">
    <w:name w:val="Objet acte principal (Page de couverture)"/>
    <w:basedOn w:val="Objetacteprincipal"/>
    <w:next w:val="Rfrencecroise"/>
    <w:rsid w:val="00647D0C"/>
  </w:style>
  <w:style w:type="paragraph" w:customStyle="1" w:styleId="LanguesfaisantfoiPagedecouverture">
    <w:name w:val="Langues faisant foi (Page de couverture)"/>
    <w:basedOn w:val="Normal"/>
    <w:next w:val="Normal"/>
    <w:rsid w:val="00647D0C"/>
    <w:pPr>
      <w:spacing w:before="360" w:after="0" w:line="240" w:lineRule="auto"/>
      <w:jc w:val="center"/>
    </w:pPr>
    <w:rPr>
      <w:lang w:eastAsia="ro-RO" w:bidi="ro-RO"/>
    </w:rPr>
  </w:style>
  <w:style w:type="character" w:customStyle="1" w:styleId="TechnicalBlockChar">
    <w:name w:val="Technical Block Char"/>
    <w:basedOn w:val="DefaultParagraphFont"/>
    <w:link w:val="TechnicalBlock"/>
    <w:rsid w:val="00647D0C"/>
    <w:rPr>
      <w:rFonts w:ascii="Times New Roman" w:hAnsi="Times New Roman" w:cs="Times New Roman"/>
      <w:sz w:val="24"/>
      <w:lang w:val="ro-RO"/>
    </w:rPr>
  </w:style>
  <w:style w:type="character" w:customStyle="1" w:styleId="HeaderCouncilChar">
    <w:name w:val="Header Council Char"/>
    <w:basedOn w:val="DefaultParagraphFont"/>
    <w:link w:val="HeaderCouncil"/>
    <w:rsid w:val="00647D0C"/>
    <w:rPr>
      <w:rFonts w:ascii="Times New Roman" w:hAnsi="Times New Roman" w:cs="Times New Roman"/>
      <w:sz w:val="2"/>
      <w:lang w:val="ro-RO"/>
    </w:rPr>
  </w:style>
  <w:style w:type="character" w:customStyle="1" w:styleId="FooterCouncilChar">
    <w:name w:val="Footer Council Char"/>
    <w:basedOn w:val="DefaultParagraphFont"/>
    <w:link w:val="FooterCouncil"/>
    <w:rsid w:val="00647D0C"/>
    <w:rPr>
      <w:rFonts w:ascii="Times New Roman" w:hAnsi="Times New Roman" w:cs="Times New Roman"/>
      <w:sz w:val="2"/>
      <w:lang w:val="ro-RO"/>
    </w:rPr>
  </w:style>
  <w:style w:type="numbering" w:customStyle="1" w:styleId="NoList3">
    <w:name w:val="No List3"/>
    <w:next w:val="NoList"/>
    <w:uiPriority w:val="99"/>
    <w:semiHidden/>
    <w:unhideWhenUsed/>
    <w:rsid w:val="00647D0C"/>
  </w:style>
  <w:style w:type="paragraph" w:customStyle="1" w:styleId="NormalJustified">
    <w:name w:val="Normal Justified"/>
    <w:basedOn w:val="Normal"/>
    <w:rsid w:val="00647D0C"/>
    <w:pPr>
      <w:spacing w:before="200"/>
      <w:jc w:val="both"/>
    </w:pPr>
    <w:rPr>
      <w:lang w:eastAsia="ro-RO" w:bidi="ro-RO"/>
    </w:rPr>
  </w:style>
  <w:style w:type="paragraph" w:customStyle="1" w:styleId="FinalLine">
    <w:name w:val="Final Line"/>
    <w:basedOn w:val="Normal"/>
    <w:next w:val="Normal"/>
    <w:rsid w:val="00647D0C"/>
    <w:pPr>
      <w:pBdr>
        <w:bottom w:val="single" w:sz="4" w:space="0" w:color="000000"/>
      </w:pBdr>
      <w:spacing w:before="360"/>
      <w:ind w:left="3400" w:right="3400"/>
      <w:jc w:val="center"/>
    </w:pPr>
    <w:rPr>
      <w:b/>
      <w:lang w:eastAsia="ro-RO" w:bidi="ro-RO"/>
    </w:rPr>
  </w:style>
  <w:style w:type="paragraph" w:customStyle="1" w:styleId="FinalLineLandscape">
    <w:name w:val="Final Line (Landscape)"/>
    <w:basedOn w:val="Normal"/>
    <w:next w:val="Normal"/>
    <w:rsid w:val="00647D0C"/>
    <w:pPr>
      <w:pBdr>
        <w:bottom w:val="single" w:sz="4" w:space="0" w:color="000000"/>
      </w:pBdr>
      <w:spacing w:before="360"/>
      <w:ind w:left="5868" w:right="5868"/>
      <w:jc w:val="center"/>
    </w:pPr>
    <w:rPr>
      <w:b/>
      <w:lang w:eastAsia="ro-RO" w:bidi="ro-RO"/>
    </w:rPr>
  </w:style>
  <w:style w:type="paragraph" w:customStyle="1" w:styleId="PointManual">
    <w:name w:val="Point Manual"/>
    <w:basedOn w:val="Normal"/>
    <w:rsid w:val="00647D0C"/>
    <w:pPr>
      <w:ind w:left="567" w:hanging="567"/>
    </w:pPr>
    <w:rPr>
      <w:lang w:eastAsia="ro-RO" w:bidi="ro-RO"/>
    </w:rPr>
  </w:style>
  <w:style w:type="paragraph" w:customStyle="1" w:styleId="PointManual1">
    <w:name w:val="Point Manual (1)"/>
    <w:basedOn w:val="Normal"/>
    <w:rsid w:val="00647D0C"/>
    <w:pPr>
      <w:ind w:left="1134" w:hanging="567"/>
    </w:pPr>
    <w:rPr>
      <w:lang w:eastAsia="ro-RO" w:bidi="ro-RO"/>
    </w:rPr>
  </w:style>
  <w:style w:type="paragraph" w:customStyle="1" w:styleId="PointManual2">
    <w:name w:val="Point Manual (2)"/>
    <w:basedOn w:val="Normal"/>
    <w:rsid w:val="00647D0C"/>
    <w:pPr>
      <w:ind w:left="1701" w:hanging="567"/>
    </w:pPr>
    <w:rPr>
      <w:lang w:eastAsia="ro-RO" w:bidi="ro-RO"/>
    </w:rPr>
  </w:style>
  <w:style w:type="paragraph" w:customStyle="1" w:styleId="PointManual3">
    <w:name w:val="Point Manual (3)"/>
    <w:basedOn w:val="Normal"/>
    <w:rsid w:val="00647D0C"/>
    <w:pPr>
      <w:ind w:left="2268" w:hanging="567"/>
    </w:pPr>
    <w:rPr>
      <w:lang w:eastAsia="ro-RO" w:bidi="ro-RO"/>
    </w:rPr>
  </w:style>
  <w:style w:type="paragraph" w:customStyle="1" w:styleId="PointManual4">
    <w:name w:val="Point Manual (4)"/>
    <w:basedOn w:val="Normal"/>
    <w:rsid w:val="00647D0C"/>
    <w:pPr>
      <w:ind w:left="2835" w:hanging="567"/>
    </w:pPr>
    <w:rPr>
      <w:lang w:eastAsia="ro-RO" w:bidi="ro-RO"/>
    </w:rPr>
  </w:style>
  <w:style w:type="paragraph" w:customStyle="1" w:styleId="PointDoubleManual">
    <w:name w:val="Point Double Manual"/>
    <w:basedOn w:val="Normal"/>
    <w:rsid w:val="00647D0C"/>
    <w:pPr>
      <w:tabs>
        <w:tab w:val="left" w:pos="567"/>
      </w:tabs>
      <w:ind w:left="1134" w:hanging="1134"/>
    </w:pPr>
    <w:rPr>
      <w:lang w:eastAsia="ro-RO" w:bidi="ro-RO"/>
    </w:rPr>
  </w:style>
  <w:style w:type="paragraph" w:customStyle="1" w:styleId="PointDoubleManual1">
    <w:name w:val="Point Double Manual (1)"/>
    <w:basedOn w:val="Normal"/>
    <w:rsid w:val="00647D0C"/>
    <w:pPr>
      <w:tabs>
        <w:tab w:val="left" w:pos="1134"/>
      </w:tabs>
      <w:ind w:left="1701" w:hanging="1134"/>
    </w:pPr>
    <w:rPr>
      <w:lang w:eastAsia="ro-RO" w:bidi="ro-RO"/>
    </w:rPr>
  </w:style>
  <w:style w:type="paragraph" w:customStyle="1" w:styleId="PointDoubleManual2">
    <w:name w:val="Point Double Manual (2)"/>
    <w:basedOn w:val="Normal"/>
    <w:rsid w:val="00647D0C"/>
    <w:pPr>
      <w:tabs>
        <w:tab w:val="left" w:pos="1701"/>
      </w:tabs>
      <w:ind w:left="2268" w:hanging="1134"/>
    </w:pPr>
    <w:rPr>
      <w:lang w:eastAsia="ro-RO" w:bidi="ro-RO"/>
    </w:rPr>
  </w:style>
  <w:style w:type="paragraph" w:customStyle="1" w:styleId="PointDoubleManual3">
    <w:name w:val="Point Double Manual (3)"/>
    <w:basedOn w:val="Normal"/>
    <w:rsid w:val="00647D0C"/>
    <w:pPr>
      <w:tabs>
        <w:tab w:val="left" w:pos="2268"/>
      </w:tabs>
      <w:ind w:left="2835" w:hanging="1134"/>
    </w:pPr>
    <w:rPr>
      <w:lang w:eastAsia="ro-RO" w:bidi="ro-RO"/>
    </w:rPr>
  </w:style>
  <w:style w:type="paragraph" w:customStyle="1" w:styleId="PointDoubleManual4">
    <w:name w:val="Point Double Manual (4)"/>
    <w:basedOn w:val="Normal"/>
    <w:rsid w:val="00647D0C"/>
    <w:pPr>
      <w:tabs>
        <w:tab w:val="left" w:pos="2835"/>
      </w:tabs>
      <w:ind w:left="3402" w:hanging="1134"/>
    </w:pPr>
    <w:rPr>
      <w:lang w:eastAsia="ro-RO" w:bidi="ro-RO"/>
    </w:rPr>
  </w:style>
  <w:style w:type="paragraph" w:customStyle="1" w:styleId="Pointabc">
    <w:name w:val="Point abc"/>
    <w:basedOn w:val="Normal"/>
    <w:rsid w:val="00647D0C"/>
    <w:pPr>
      <w:numPr>
        <w:ilvl w:val="1"/>
        <w:numId w:val="50"/>
      </w:numPr>
      <w:tabs>
        <w:tab w:val="clear" w:pos="567"/>
        <w:tab w:val="num" w:pos="360"/>
      </w:tabs>
      <w:ind w:left="0" w:firstLine="0"/>
    </w:pPr>
    <w:rPr>
      <w:lang w:eastAsia="ro-RO" w:bidi="ro-RO"/>
    </w:rPr>
  </w:style>
  <w:style w:type="paragraph" w:customStyle="1" w:styleId="Pointabc1">
    <w:name w:val="Point abc (1)"/>
    <w:basedOn w:val="Normal"/>
    <w:rsid w:val="00647D0C"/>
    <w:pPr>
      <w:numPr>
        <w:ilvl w:val="3"/>
        <w:numId w:val="50"/>
      </w:numPr>
      <w:tabs>
        <w:tab w:val="clear" w:pos="1134"/>
        <w:tab w:val="num" w:pos="360"/>
      </w:tabs>
      <w:ind w:left="0" w:firstLine="0"/>
    </w:pPr>
    <w:rPr>
      <w:lang w:eastAsia="ro-RO" w:bidi="ro-RO"/>
    </w:rPr>
  </w:style>
  <w:style w:type="paragraph" w:customStyle="1" w:styleId="Pointabc2">
    <w:name w:val="Point abc (2)"/>
    <w:basedOn w:val="Normal"/>
    <w:rsid w:val="00647D0C"/>
    <w:pPr>
      <w:numPr>
        <w:ilvl w:val="5"/>
        <w:numId w:val="50"/>
      </w:numPr>
      <w:tabs>
        <w:tab w:val="clear" w:pos="1701"/>
        <w:tab w:val="num" w:pos="360"/>
      </w:tabs>
      <w:ind w:left="0" w:firstLine="0"/>
    </w:pPr>
    <w:rPr>
      <w:lang w:eastAsia="ro-RO" w:bidi="ro-RO"/>
    </w:rPr>
  </w:style>
  <w:style w:type="paragraph" w:customStyle="1" w:styleId="Pointabc3">
    <w:name w:val="Point abc (3)"/>
    <w:basedOn w:val="Normal"/>
    <w:rsid w:val="00647D0C"/>
    <w:pPr>
      <w:numPr>
        <w:ilvl w:val="7"/>
        <w:numId w:val="50"/>
      </w:numPr>
      <w:tabs>
        <w:tab w:val="clear" w:pos="2268"/>
        <w:tab w:val="num" w:pos="360"/>
      </w:tabs>
      <w:ind w:left="0" w:firstLine="0"/>
    </w:pPr>
    <w:rPr>
      <w:lang w:eastAsia="ro-RO" w:bidi="ro-RO"/>
    </w:rPr>
  </w:style>
  <w:style w:type="paragraph" w:customStyle="1" w:styleId="Pointabc4">
    <w:name w:val="Point abc (4)"/>
    <w:basedOn w:val="Normal"/>
    <w:rsid w:val="00647D0C"/>
    <w:pPr>
      <w:numPr>
        <w:ilvl w:val="8"/>
        <w:numId w:val="50"/>
      </w:numPr>
      <w:tabs>
        <w:tab w:val="clear" w:pos="2835"/>
        <w:tab w:val="num" w:pos="360"/>
      </w:tabs>
      <w:ind w:left="0" w:firstLine="0"/>
    </w:pPr>
    <w:rPr>
      <w:lang w:eastAsia="ro-RO" w:bidi="ro-RO"/>
    </w:rPr>
  </w:style>
  <w:style w:type="paragraph" w:customStyle="1" w:styleId="Point123">
    <w:name w:val="Point 123"/>
    <w:basedOn w:val="Normal"/>
    <w:rsid w:val="00647D0C"/>
    <w:pPr>
      <w:numPr>
        <w:numId w:val="50"/>
      </w:numPr>
      <w:tabs>
        <w:tab w:val="clear" w:pos="567"/>
        <w:tab w:val="num" w:pos="360"/>
      </w:tabs>
      <w:ind w:left="0" w:firstLine="0"/>
    </w:pPr>
    <w:rPr>
      <w:lang w:eastAsia="ro-RO" w:bidi="ro-RO"/>
    </w:rPr>
  </w:style>
  <w:style w:type="paragraph" w:customStyle="1" w:styleId="Point1231">
    <w:name w:val="Point 123 (1)"/>
    <w:basedOn w:val="Normal"/>
    <w:rsid w:val="00647D0C"/>
    <w:pPr>
      <w:numPr>
        <w:ilvl w:val="2"/>
        <w:numId w:val="50"/>
      </w:numPr>
      <w:tabs>
        <w:tab w:val="clear" w:pos="1134"/>
        <w:tab w:val="num" w:pos="360"/>
      </w:tabs>
      <w:ind w:left="0" w:firstLine="0"/>
    </w:pPr>
    <w:rPr>
      <w:lang w:eastAsia="ro-RO" w:bidi="ro-RO"/>
    </w:rPr>
  </w:style>
  <w:style w:type="paragraph" w:customStyle="1" w:styleId="Point1232">
    <w:name w:val="Point 123 (2)"/>
    <w:basedOn w:val="Normal"/>
    <w:rsid w:val="00647D0C"/>
    <w:pPr>
      <w:numPr>
        <w:ilvl w:val="4"/>
        <w:numId w:val="50"/>
      </w:numPr>
      <w:tabs>
        <w:tab w:val="clear" w:pos="1701"/>
        <w:tab w:val="num" w:pos="360"/>
      </w:tabs>
      <w:ind w:left="0" w:firstLine="0"/>
    </w:pPr>
    <w:rPr>
      <w:lang w:eastAsia="ro-RO" w:bidi="ro-RO"/>
    </w:rPr>
  </w:style>
  <w:style w:type="paragraph" w:customStyle="1" w:styleId="Point1233">
    <w:name w:val="Point 123 (3)"/>
    <w:basedOn w:val="Normal"/>
    <w:rsid w:val="00647D0C"/>
    <w:pPr>
      <w:numPr>
        <w:ilvl w:val="6"/>
        <w:numId w:val="50"/>
      </w:numPr>
      <w:tabs>
        <w:tab w:val="clear" w:pos="2268"/>
        <w:tab w:val="num" w:pos="360"/>
      </w:tabs>
      <w:ind w:left="0" w:firstLine="0"/>
    </w:pPr>
    <w:rPr>
      <w:lang w:eastAsia="ro-RO" w:bidi="ro-RO"/>
    </w:rPr>
  </w:style>
  <w:style w:type="paragraph" w:customStyle="1" w:styleId="Pointivx">
    <w:name w:val="Point ivx"/>
    <w:basedOn w:val="Normal"/>
    <w:rsid w:val="00647D0C"/>
    <w:pPr>
      <w:numPr>
        <w:numId w:val="51"/>
      </w:numPr>
      <w:tabs>
        <w:tab w:val="clear" w:pos="567"/>
        <w:tab w:val="num" w:pos="360"/>
      </w:tabs>
      <w:ind w:left="0" w:firstLine="0"/>
    </w:pPr>
    <w:rPr>
      <w:lang w:eastAsia="ro-RO" w:bidi="ro-RO"/>
    </w:rPr>
  </w:style>
  <w:style w:type="paragraph" w:customStyle="1" w:styleId="Pointivx1">
    <w:name w:val="Point ivx (1)"/>
    <w:basedOn w:val="Normal"/>
    <w:rsid w:val="00647D0C"/>
    <w:pPr>
      <w:numPr>
        <w:ilvl w:val="1"/>
        <w:numId w:val="51"/>
      </w:numPr>
      <w:tabs>
        <w:tab w:val="clear" w:pos="1134"/>
        <w:tab w:val="num" w:pos="360"/>
      </w:tabs>
      <w:ind w:left="0" w:firstLine="0"/>
    </w:pPr>
    <w:rPr>
      <w:lang w:eastAsia="ro-RO" w:bidi="ro-RO"/>
    </w:rPr>
  </w:style>
  <w:style w:type="paragraph" w:customStyle="1" w:styleId="Pointivx2">
    <w:name w:val="Point ivx (2)"/>
    <w:basedOn w:val="Normal"/>
    <w:rsid w:val="00647D0C"/>
    <w:pPr>
      <w:numPr>
        <w:ilvl w:val="2"/>
        <w:numId w:val="51"/>
      </w:numPr>
      <w:tabs>
        <w:tab w:val="clear" w:pos="1701"/>
        <w:tab w:val="num" w:pos="360"/>
      </w:tabs>
      <w:ind w:left="0" w:firstLine="0"/>
    </w:pPr>
    <w:rPr>
      <w:lang w:eastAsia="ro-RO" w:bidi="ro-RO"/>
    </w:rPr>
  </w:style>
  <w:style w:type="paragraph" w:customStyle="1" w:styleId="Pointivx3">
    <w:name w:val="Point ivx (3)"/>
    <w:basedOn w:val="Normal"/>
    <w:rsid w:val="00647D0C"/>
    <w:pPr>
      <w:numPr>
        <w:ilvl w:val="3"/>
        <w:numId w:val="51"/>
      </w:numPr>
      <w:tabs>
        <w:tab w:val="clear" w:pos="2268"/>
        <w:tab w:val="num" w:pos="360"/>
      </w:tabs>
      <w:ind w:left="0" w:firstLine="0"/>
    </w:pPr>
    <w:rPr>
      <w:lang w:eastAsia="ro-RO" w:bidi="ro-RO"/>
    </w:rPr>
  </w:style>
  <w:style w:type="paragraph" w:customStyle="1" w:styleId="Pointivx4">
    <w:name w:val="Point ivx (4)"/>
    <w:basedOn w:val="Normal"/>
    <w:rsid w:val="00647D0C"/>
    <w:pPr>
      <w:numPr>
        <w:ilvl w:val="4"/>
        <w:numId w:val="51"/>
      </w:numPr>
      <w:tabs>
        <w:tab w:val="clear" w:pos="2835"/>
        <w:tab w:val="num" w:pos="360"/>
      </w:tabs>
      <w:ind w:left="0" w:firstLine="0"/>
    </w:pPr>
    <w:rPr>
      <w:lang w:eastAsia="ro-RO" w:bidi="ro-RO"/>
    </w:rPr>
  </w:style>
  <w:style w:type="paragraph" w:customStyle="1" w:styleId="Bullet">
    <w:name w:val="Bullet"/>
    <w:basedOn w:val="Normal"/>
    <w:rsid w:val="00647D0C"/>
    <w:pPr>
      <w:numPr>
        <w:numId w:val="49"/>
      </w:numPr>
      <w:tabs>
        <w:tab w:val="clear" w:pos="567"/>
        <w:tab w:val="num" w:pos="360"/>
      </w:tabs>
      <w:ind w:left="0" w:firstLine="0"/>
    </w:pPr>
    <w:rPr>
      <w:lang w:eastAsia="ro-RO" w:bidi="ro-RO"/>
    </w:rPr>
  </w:style>
  <w:style w:type="paragraph" w:customStyle="1" w:styleId="Dash">
    <w:name w:val="Dash"/>
    <w:basedOn w:val="Normal"/>
    <w:rsid w:val="00647D0C"/>
    <w:pPr>
      <w:numPr>
        <w:numId w:val="39"/>
      </w:numPr>
      <w:tabs>
        <w:tab w:val="clear" w:pos="567"/>
      </w:tabs>
      <w:ind w:left="0" w:firstLine="0"/>
    </w:pPr>
    <w:rPr>
      <w:lang w:eastAsia="ro-RO" w:bidi="ro-RO"/>
    </w:rPr>
  </w:style>
  <w:style w:type="paragraph" w:customStyle="1" w:styleId="Dash1">
    <w:name w:val="Dash 1"/>
    <w:basedOn w:val="Normal"/>
    <w:rsid w:val="00647D0C"/>
    <w:pPr>
      <w:numPr>
        <w:numId w:val="40"/>
      </w:numPr>
      <w:tabs>
        <w:tab w:val="clear" w:pos="1134"/>
      </w:tabs>
      <w:ind w:left="0" w:firstLine="0"/>
    </w:pPr>
    <w:rPr>
      <w:lang w:eastAsia="ro-RO" w:bidi="ro-RO"/>
    </w:rPr>
  </w:style>
  <w:style w:type="paragraph" w:customStyle="1" w:styleId="Dash2">
    <w:name w:val="Dash 2"/>
    <w:basedOn w:val="Normal"/>
    <w:rsid w:val="00647D0C"/>
    <w:pPr>
      <w:numPr>
        <w:numId w:val="41"/>
      </w:numPr>
      <w:tabs>
        <w:tab w:val="clear" w:pos="1701"/>
      </w:tabs>
      <w:ind w:left="0" w:firstLine="0"/>
    </w:pPr>
    <w:rPr>
      <w:lang w:eastAsia="ro-RO" w:bidi="ro-RO"/>
    </w:rPr>
  </w:style>
  <w:style w:type="paragraph" w:customStyle="1" w:styleId="Dash3">
    <w:name w:val="Dash 3"/>
    <w:basedOn w:val="Normal"/>
    <w:rsid w:val="00647D0C"/>
    <w:pPr>
      <w:numPr>
        <w:numId w:val="42"/>
      </w:numPr>
      <w:tabs>
        <w:tab w:val="clear" w:pos="2268"/>
      </w:tabs>
      <w:ind w:left="0" w:firstLine="0"/>
    </w:pPr>
    <w:rPr>
      <w:lang w:eastAsia="ro-RO" w:bidi="ro-RO"/>
    </w:rPr>
  </w:style>
  <w:style w:type="paragraph" w:customStyle="1" w:styleId="Dash4">
    <w:name w:val="Dash 4"/>
    <w:basedOn w:val="Normal"/>
    <w:rsid w:val="00647D0C"/>
    <w:pPr>
      <w:numPr>
        <w:numId w:val="43"/>
      </w:numPr>
      <w:tabs>
        <w:tab w:val="clear" w:pos="2835"/>
      </w:tabs>
      <w:ind w:left="0" w:firstLine="0"/>
    </w:pPr>
    <w:rPr>
      <w:lang w:eastAsia="ro-RO" w:bidi="ro-RO"/>
    </w:rPr>
  </w:style>
  <w:style w:type="paragraph" w:customStyle="1" w:styleId="DashEqual">
    <w:name w:val="Dash Equal"/>
    <w:basedOn w:val="Dash"/>
    <w:rsid w:val="00647D0C"/>
    <w:pPr>
      <w:numPr>
        <w:numId w:val="44"/>
      </w:numPr>
      <w:tabs>
        <w:tab w:val="clear" w:pos="567"/>
        <w:tab w:val="num" w:pos="360"/>
      </w:tabs>
      <w:ind w:left="0" w:firstLine="0"/>
    </w:pPr>
  </w:style>
  <w:style w:type="paragraph" w:customStyle="1" w:styleId="DashEqual1">
    <w:name w:val="Dash Equal 1"/>
    <w:basedOn w:val="Dash1"/>
    <w:rsid w:val="00647D0C"/>
    <w:pPr>
      <w:numPr>
        <w:numId w:val="45"/>
      </w:numPr>
      <w:tabs>
        <w:tab w:val="clear" w:pos="1134"/>
        <w:tab w:val="num" w:pos="360"/>
      </w:tabs>
      <w:ind w:left="0" w:firstLine="0"/>
    </w:pPr>
  </w:style>
  <w:style w:type="paragraph" w:customStyle="1" w:styleId="DashEqual2">
    <w:name w:val="Dash Equal 2"/>
    <w:basedOn w:val="Dash2"/>
    <w:rsid w:val="00647D0C"/>
    <w:pPr>
      <w:numPr>
        <w:numId w:val="46"/>
      </w:numPr>
      <w:tabs>
        <w:tab w:val="clear" w:pos="1701"/>
        <w:tab w:val="num" w:pos="360"/>
      </w:tabs>
      <w:ind w:left="0" w:firstLine="0"/>
    </w:pPr>
  </w:style>
  <w:style w:type="paragraph" w:customStyle="1" w:styleId="DashEqual3">
    <w:name w:val="Dash Equal 3"/>
    <w:basedOn w:val="Dash3"/>
    <w:rsid w:val="00647D0C"/>
    <w:pPr>
      <w:numPr>
        <w:numId w:val="47"/>
      </w:numPr>
      <w:tabs>
        <w:tab w:val="clear" w:pos="2268"/>
        <w:tab w:val="num" w:pos="360"/>
      </w:tabs>
      <w:ind w:left="0" w:firstLine="0"/>
    </w:pPr>
  </w:style>
  <w:style w:type="paragraph" w:customStyle="1" w:styleId="DashEqual4">
    <w:name w:val="Dash Equal 4"/>
    <w:basedOn w:val="Dash4"/>
    <w:rsid w:val="00647D0C"/>
    <w:pPr>
      <w:numPr>
        <w:numId w:val="48"/>
      </w:numPr>
      <w:tabs>
        <w:tab w:val="clear" w:pos="2835"/>
        <w:tab w:val="num" w:pos="360"/>
      </w:tabs>
      <w:ind w:left="0" w:firstLine="0"/>
    </w:pPr>
  </w:style>
  <w:style w:type="paragraph" w:customStyle="1" w:styleId="HeadingLeft">
    <w:name w:val="Heading Left"/>
    <w:basedOn w:val="Normal"/>
    <w:next w:val="Normal"/>
    <w:rsid w:val="00647D0C"/>
    <w:pPr>
      <w:spacing w:before="360"/>
      <w:outlineLvl w:val="0"/>
    </w:pPr>
    <w:rPr>
      <w:b/>
      <w:caps/>
      <w:u w:val="single"/>
      <w:lang w:eastAsia="ro-RO" w:bidi="ro-RO"/>
    </w:rPr>
  </w:style>
  <w:style w:type="paragraph" w:customStyle="1" w:styleId="HeadingIVX">
    <w:name w:val="Heading IVX"/>
    <w:basedOn w:val="HeadingLeft"/>
    <w:next w:val="Normal"/>
    <w:rsid w:val="00647D0C"/>
    <w:pPr>
      <w:numPr>
        <w:numId w:val="54"/>
      </w:numPr>
      <w:tabs>
        <w:tab w:val="clear" w:pos="567"/>
        <w:tab w:val="num" w:pos="360"/>
      </w:tabs>
      <w:ind w:left="0" w:firstLine="0"/>
    </w:pPr>
  </w:style>
  <w:style w:type="paragraph" w:customStyle="1" w:styleId="Heading123">
    <w:name w:val="Heading 123"/>
    <w:basedOn w:val="HeadingLeft"/>
    <w:next w:val="Normal"/>
    <w:rsid w:val="00647D0C"/>
    <w:pPr>
      <w:numPr>
        <w:numId w:val="53"/>
      </w:numPr>
      <w:tabs>
        <w:tab w:val="clear" w:pos="567"/>
        <w:tab w:val="num" w:pos="360"/>
      </w:tabs>
      <w:ind w:left="0" w:firstLine="0"/>
    </w:pPr>
  </w:style>
  <w:style w:type="paragraph" w:customStyle="1" w:styleId="HeadingABC">
    <w:name w:val="Heading ABC"/>
    <w:basedOn w:val="HeadingLeft"/>
    <w:next w:val="Normal"/>
    <w:rsid w:val="00647D0C"/>
    <w:pPr>
      <w:numPr>
        <w:numId w:val="52"/>
      </w:numPr>
      <w:tabs>
        <w:tab w:val="clear" w:pos="567"/>
        <w:tab w:val="num" w:pos="360"/>
      </w:tabs>
      <w:ind w:left="0" w:firstLine="0"/>
    </w:pPr>
  </w:style>
  <w:style w:type="paragraph" w:customStyle="1" w:styleId="HeadingCentered">
    <w:name w:val="Heading Centered"/>
    <w:basedOn w:val="HeadingLeft"/>
    <w:next w:val="Normal"/>
    <w:rsid w:val="00647D0C"/>
    <w:pPr>
      <w:jc w:val="center"/>
    </w:pPr>
  </w:style>
  <w:style w:type="paragraph" w:customStyle="1" w:styleId="Jardin">
    <w:name w:val="Jardin"/>
    <w:basedOn w:val="Normal"/>
    <w:rsid w:val="00647D0C"/>
    <w:pPr>
      <w:spacing w:before="200" w:after="0" w:line="240" w:lineRule="auto"/>
      <w:jc w:val="center"/>
    </w:pPr>
    <w:rPr>
      <w:lang w:eastAsia="ro-RO" w:bidi="ro-RO"/>
    </w:rPr>
  </w:style>
  <w:style w:type="paragraph" w:customStyle="1" w:styleId="Amendment">
    <w:name w:val="Amendment"/>
    <w:basedOn w:val="Normal"/>
    <w:next w:val="Normal"/>
    <w:rsid w:val="00647D0C"/>
    <w:rPr>
      <w:i/>
      <w:u w:val="single"/>
      <w:lang w:eastAsia="ro-RO" w:bidi="ro-RO"/>
    </w:rPr>
  </w:style>
  <w:style w:type="paragraph" w:customStyle="1" w:styleId="AmendmentList">
    <w:name w:val="Amendment List"/>
    <w:basedOn w:val="Normal"/>
    <w:rsid w:val="00647D0C"/>
    <w:pPr>
      <w:ind w:left="2268" w:hanging="2268"/>
    </w:pPr>
    <w:rPr>
      <w:lang w:eastAsia="ro-RO" w:bidi="ro-RO"/>
    </w:rPr>
  </w:style>
  <w:style w:type="paragraph" w:customStyle="1" w:styleId="ReplyRE">
    <w:name w:val="Reply RE"/>
    <w:basedOn w:val="Normal"/>
    <w:next w:val="Normal"/>
    <w:rsid w:val="00647D0C"/>
    <w:pPr>
      <w:spacing w:after="480" w:line="240" w:lineRule="auto"/>
      <w:contextualSpacing/>
    </w:pPr>
    <w:rPr>
      <w:lang w:eastAsia="ro-RO" w:bidi="ro-RO"/>
    </w:rPr>
  </w:style>
  <w:style w:type="paragraph" w:customStyle="1" w:styleId="ReplyBold">
    <w:name w:val="Reply Bold"/>
    <w:basedOn w:val="ReplyRE"/>
    <w:next w:val="Normal"/>
    <w:rsid w:val="00647D0C"/>
    <w:rPr>
      <w:b/>
    </w:rPr>
  </w:style>
  <w:style w:type="paragraph" w:customStyle="1" w:styleId="Annex">
    <w:name w:val="Annex"/>
    <w:basedOn w:val="Normal"/>
    <w:next w:val="Normal"/>
    <w:rsid w:val="00647D0C"/>
    <w:pPr>
      <w:jc w:val="right"/>
    </w:pPr>
    <w:rPr>
      <w:b/>
      <w:u w:val="single"/>
      <w:lang w:eastAsia="ro-RO" w:bidi="ro-RO"/>
    </w:rPr>
  </w:style>
  <w:style w:type="paragraph" w:customStyle="1" w:styleId="Sign">
    <w:name w:val="Sign"/>
    <w:basedOn w:val="Normal"/>
    <w:rsid w:val="00647D0C"/>
    <w:pPr>
      <w:tabs>
        <w:tab w:val="center" w:pos="7087"/>
      </w:tabs>
      <w:contextualSpacing/>
    </w:pPr>
    <w:rPr>
      <w:lang w:eastAsia="ro-RO" w:bidi="ro-RO"/>
    </w:rPr>
  </w:style>
  <w:style w:type="paragraph" w:customStyle="1" w:styleId="NotDeclassified">
    <w:name w:val="Not Declassified"/>
    <w:basedOn w:val="Normal"/>
    <w:next w:val="Normal"/>
    <w:rsid w:val="00647D0C"/>
    <w:rPr>
      <w:b/>
      <w:shd w:val="clear" w:color="auto" w:fill="CCCCCC"/>
      <w:lang w:eastAsia="ro-RO" w:bidi="ro-RO"/>
    </w:rPr>
  </w:style>
  <w:style w:type="character" w:customStyle="1" w:styleId="NotDeclassifiedCharacter">
    <w:name w:val="Not Declassified Character"/>
    <w:basedOn w:val="DefaultParagraphFont"/>
    <w:rsid w:val="00647D0C"/>
    <w:rPr>
      <w:rFonts w:ascii="Times New Roman" w:hAnsi="Times New Roman" w:cs="Times New Roman"/>
      <w:b/>
      <w:sz w:val="24"/>
      <w:shd w:val="clear" w:color="auto" w:fill="CCCCCC"/>
    </w:rPr>
  </w:style>
  <w:style w:type="paragraph" w:customStyle="1" w:styleId="NormalCompact">
    <w:name w:val="Normal Compact"/>
    <w:basedOn w:val="Normal"/>
    <w:next w:val="Normal"/>
    <w:rsid w:val="00647D0C"/>
    <w:pPr>
      <w:spacing w:line="240" w:lineRule="auto"/>
    </w:pPr>
    <w:rPr>
      <w:lang w:eastAsia="ro-RO" w:bidi="ro-RO"/>
    </w:rPr>
  </w:style>
  <w:style w:type="numbering" w:customStyle="1" w:styleId="NoList12">
    <w:name w:val="No List12"/>
    <w:next w:val="NoList"/>
    <w:uiPriority w:val="99"/>
    <w:semiHidden/>
    <w:unhideWhenUsed/>
    <w:rsid w:val="00647D0C"/>
  </w:style>
  <w:style w:type="table" w:customStyle="1" w:styleId="TableGrid6">
    <w:name w:val="Table Grid6"/>
    <w:basedOn w:val="TableNormal"/>
    <w:next w:val="TableGrid"/>
    <w:uiPriority w:val="59"/>
    <w:rsid w:val="00647D0C"/>
    <w:pPr>
      <w:spacing w:before="120" w:after="120" w:line="240" w:lineRule="auto"/>
      <w:jc w:val="both"/>
    </w:pPr>
    <w:rPr>
      <w:rFonts w:ascii="Times New Roman" w:eastAsia="Times New Roman" w:hAnsi="Times New Roman" w:cs="Times New Roman"/>
      <w:sz w:val="20"/>
      <w:szCs w:val="20"/>
      <w:lang w:val="ro-RO" w:eastAsia="ro-RO"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47D0C"/>
  </w:style>
  <w:style w:type="numbering" w:customStyle="1" w:styleId="NoList21">
    <w:name w:val="No List21"/>
    <w:next w:val="NoList"/>
    <w:uiPriority w:val="99"/>
    <w:semiHidden/>
    <w:unhideWhenUsed/>
    <w:rsid w:val="00647D0C"/>
  </w:style>
  <w:style w:type="character" w:customStyle="1" w:styleId="normaltextrun">
    <w:name w:val="normaltextrun"/>
    <w:basedOn w:val="DefaultParagraphFont"/>
    <w:rsid w:val="00647D0C"/>
  </w:style>
  <w:style w:type="character" w:customStyle="1" w:styleId="Mencinsinresolver1">
    <w:name w:val="Mención sin resolver1"/>
    <w:basedOn w:val="DefaultParagraphFont"/>
    <w:uiPriority w:val="99"/>
    <w:semiHidden/>
    <w:unhideWhenUsed/>
    <w:rsid w:val="00647D0C"/>
    <w:rPr>
      <w:color w:val="605E5C"/>
      <w:shd w:val="clear" w:color="auto" w:fill="E1DFDD"/>
    </w:rPr>
  </w:style>
  <w:style w:type="numbering" w:customStyle="1" w:styleId="NoList31">
    <w:name w:val="No List31"/>
    <w:next w:val="NoList"/>
    <w:uiPriority w:val="99"/>
    <w:semiHidden/>
    <w:unhideWhenUsed/>
    <w:rsid w:val="00647D0C"/>
  </w:style>
  <w:style w:type="character" w:customStyle="1" w:styleId="CaptionChar">
    <w:name w:val="Caption Char"/>
    <w:uiPriority w:val="99"/>
    <w:rsid w:val="00647D0C"/>
  </w:style>
  <w:style w:type="table" w:customStyle="1" w:styleId="TableGridLight11">
    <w:name w:val="Table Grid Light11"/>
    <w:basedOn w:val="TableNormal"/>
    <w:uiPriority w:val="40"/>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21">
    <w:name w:val="Plain Table 21"/>
    <w:basedOn w:val="TableNormal"/>
    <w:next w:val="PlainTable2"/>
    <w:uiPriority w:val="5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next w:val="PlainTable3"/>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PlainTable41">
    <w:name w:val="Plain Table 41"/>
    <w:basedOn w:val="TableNormal"/>
    <w:next w:val="PlainTable4"/>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GridTable1Light1">
    <w:name w:val="Grid Table 1 Light1"/>
    <w:basedOn w:val="TableNormal"/>
    <w:next w:val="GridTable1Light"/>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TableNormal"/>
    <w:next w:val="GridTable2"/>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auto"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2-Accent11">
    <w:name w:val="Grid Table 2 - Accent 1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auto"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2-Accent21">
    <w:name w:val="Grid Table 2 - Accent 2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auto"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2-Accent31">
    <w:name w:val="Grid Table 2 - Accent 3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auto"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2-Accent41">
    <w:name w:val="Grid Table 2 - Accent 4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auto"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2-Accent51">
    <w:name w:val="Grid Table 2 - Accent 5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auto"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2-Accent61">
    <w:name w:val="Grid Table 2 - Accent 6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auto"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31">
    <w:name w:val="Grid Table 31"/>
    <w:basedOn w:val="TableNormal"/>
    <w:next w:val="GridTable3"/>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3-Accent11">
    <w:name w:val="Grid Table 3 - Accent 1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3-Accent21">
    <w:name w:val="Grid Table 3 - Accent 2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3-Accent31">
    <w:name w:val="Grid Table 3 - Accent 3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3-Accent41">
    <w:name w:val="Grid Table 3 - Accent 4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3-Accent51">
    <w:name w:val="Grid Table 3 - Accent 5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3-Accent61">
    <w:name w:val="Grid Table 3 - Accent 6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41">
    <w:name w:val="Grid Table 41"/>
    <w:basedOn w:val="TableNormal"/>
    <w:next w:val="GridTable4"/>
    <w:uiPriority w:val="5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4-Accent11">
    <w:name w:val="Grid Table 4 - Accent 11"/>
    <w:basedOn w:val="TableNormal"/>
    <w:uiPriority w:val="5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cPr>
    </w:tblStylePr>
    <w:tblStylePr w:type="band1Horz">
      <w:rPr>
        <w:rFonts w:ascii="Arial" w:hAnsi="Arial"/>
        <w:color w:val="404040"/>
        <w:sz w:val="22"/>
      </w:rPr>
      <w:tblPr/>
      <w:tcPr>
        <w:shd w:val="clear" w:color="auto" w:fill="DCE6F2"/>
      </w:tcPr>
    </w:tblStylePr>
  </w:style>
  <w:style w:type="table" w:customStyle="1" w:styleId="GridTable4-Accent21">
    <w:name w:val="Grid Table 4 - Accent 21"/>
    <w:basedOn w:val="TableNormal"/>
    <w:uiPriority w:val="5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4-Accent31">
    <w:name w:val="Grid Table 4 - Accent 31"/>
    <w:basedOn w:val="TableNormal"/>
    <w:uiPriority w:val="5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4-Accent41">
    <w:name w:val="Grid Table 4 - Accent 41"/>
    <w:basedOn w:val="TableNormal"/>
    <w:uiPriority w:val="5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4-Accent51">
    <w:name w:val="Grid Table 4 - Accent 51"/>
    <w:basedOn w:val="TableNormal"/>
    <w:uiPriority w:val="5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4-Accent61">
    <w:name w:val="Grid Table 4 - Accent 61"/>
    <w:basedOn w:val="TableNormal"/>
    <w:uiPriority w:val="5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5Dark1">
    <w:name w:val="Grid Table 5 Dark1"/>
    <w:basedOn w:val="TableNormal"/>
    <w:next w:val="GridTable5Dark"/>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Pr>
    <w:tblStylePr w:type="firstRow">
      <w:rPr>
        <w:rFonts w:ascii="Arial" w:hAnsi="Arial"/>
        <w:b/>
        <w:color w:val="FFFFFF"/>
        <w:sz w:val="22"/>
      </w:rPr>
      <w:tblPr/>
      <w:tcPr>
        <w:shd w:val="clear" w:color="auto" w:fill="000000"/>
      </w:tcPr>
    </w:tblStylePr>
    <w:tblStylePr w:type="lastRow">
      <w:rPr>
        <w:rFonts w:ascii="Arial" w:hAnsi="Arial"/>
        <w:b/>
        <w:color w:val="FFFFFF"/>
        <w:sz w:val="22"/>
      </w:rPr>
      <w:tblPr/>
      <w:tcPr>
        <w:tcBorders>
          <w:top w:val="single" w:sz="4" w:space="0" w:color="FFFFFF"/>
        </w:tcBorders>
        <w:shd w:val="clear" w:color="auto" w:fill="000000"/>
      </w:tcPr>
    </w:tblStylePr>
    <w:tblStylePr w:type="firstCol">
      <w:rPr>
        <w:rFonts w:ascii="Arial" w:hAnsi="Arial"/>
        <w:b/>
        <w:color w:val="FFFFFF"/>
        <w:sz w:val="22"/>
      </w:rPr>
      <w:tblPr/>
      <w:tcPr>
        <w:shd w:val="clear" w:color="auto" w:fill="000000"/>
      </w:tcPr>
    </w:tblStylePr>
    <w:tblStylePr w:type="lastCol">
      <w:rPr>
        <w:rFonts w:ascii="Arial" w:hAnsi="Arial"/>
        <w:b/>
        <w:color w:val="FFFFFF"/>
        <w:sz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
    <w:name w:val="Grid Table 5 Dark- Accent 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b/>
        <w:color w:val="FFFFFF"/>
        <w:sz w:val="22"/>
      </w:rPr>
      <w:tblPr/>
      <w:tcPr>
        <w:shd w:val="clear" w:color="auto" w:fill="4F81BD"/>
      </w:tcPr>
    </w:tblStylePr>
    <w:tblStylePr w:type="lastRow">
      <w:rPr>
        <w:rFonts w:ascii="Arial" w:hAnsi="Arial"/>
        <w:b/>
        <w:color w:val="FFFFFF"/>
        <w:sz w:val="22"/>
      </w:rPr>
      <w:tblPr/>
      <w:tcPr>
        <w:tcBorders>
          <w:top w:val="single" w:sz="4" w:space="0" w:color="FFFFFF"/>
        </w:tcBorders>
        <w:shd w:val="clear" w:color="auto" w:fill="4F81BD"/>
      </w:tcPr>
    </w:tblStylePr>
    <w:tblStylePr w:type="firstCol">
      <w:rPr>
        <w:rFonts w:ascii="Arial" w:hAnsi="Arial"/>
        <w:b/>
        <w:color w:val="FFFFFF"/>
        <w:sz w:val="22"/>
      </w:rPr>
      <w:tblPr/>
      <w:tcPr>
        <w:shd w:val="clear" w:color="auto" w:fill="4F81BD"/>
      </w:tcPr>
    </w:tblStylePr>
    <w:tblStylePr w:type="lastCol">
      <w:rPr>
        <w:rFonts w:ascii="Arial" w:hAnsi="Arial"/>
        <w:b/>
        <w:color w:val="FFFFFF"/>
        <w:sz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
    <w:name w:val="Grid Table 5 Dark - Accent 2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b/>
        <w:color w:val="FFFFFF"/>
        <w:sz w:val="22"/>
      </w:rPr>
      <w:tblPr/>
      <w:tcPr>
        <w:shd w:val="clear" w:color="auto" w:fill="C0504D"/>
      </w:tcPr>
    </w:tblStylePr>
    <w:tblStylePr w:type="lastRow">
      <w:rPr>
        <w:rFonts w:ascii="Arial" w:hAnsi="Arial"/>
        <w:b/>
        <w:color w:val="FFFFFF"/>
        <w:sz w:val="22"/>
      </w:rPr>
      <w:tblPr/>
      <w:tcPr>
        <w:tcBorders>
          <w:top w:val="single" w:sz="4" w:space="0" w:color="FFFFFF"/>
        </w:tcBorders>
        <w:shd w:val="clear" w:color="auto" w:fill="C0504D"/>
      </w:tcPr>
    </w:tblStylePr>
    <w:tblStylePr w:type="firstCol">
      <w:rPr>
        <w:rFonts w:ascii="Arial" w:hAnsi="Arial"/>
        <w:b/>
        <w:color w:val="FFFFFF"/>
        <w:sz w:val="22"/>
      </w:rPr>
      <w:tblPr/>
      <w:tcPr>
        <w:shd w:val="clear" w:color="auto" w:fill="C0504D"/>
      </w:tcPr>
    </w:tblStylePr>
    <w:tblStylePr w:type="lastCol">
      <w:rPr>
        <w:rFonts w:ascii="Arial" w:hAnsi="Arial"/>
        <w:b/>
        <w:color w:val="FFFFFF"/>
        <w:sz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
    <w:name w:val="Grid Table 5 Dark - Accent 3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b/>
        <w:color w:val="FFFFFF"/>
        <w:sz w:val="22"/>
      </w:rPr>
      <w:tblPr/>
      <w:tcPr>
        <w:shd w:val="clear" w:color="auto" w:fill="9BBB59"/>
      </w:tcPr>
    </w:tblStylePr>
    <w:tblStylePr w:type="lastRow">
      <w:rPr>
        <w:rFonts w:ascii="Arial" w:hAnsi="Arial"/>
        <w:b/>
        <w:color w:val="FFFFFF"/>
        <w:sz w:val="22"/>
      </w:rPr>
      <w:tblPr/>
      <w:tcPr>
        <w:tcBorders>
          <w:top w:val="single" w:sz="4" w:space="0" w:color="FFFFFF"/>
        </w:tcBorders>
        <w:shd w:val="clear" w:color="auto" w:fill="9BBB59"/>
      </w:tcPr>
    </w:tblStylePr>
    <w:tblStylePr w:type="firstCol">
      <w:rPr>
        <w:rFonts w:ascii="Arial" w:hAnsi="Arial"/>
        <w:b/>
        <w:color w:val="FFFFFF"/>
        <w:sz w:val="22"/>
      </w:rPr>
      <w:tblPr/>
      <w:tcPr>
        <w:shd w:val="clear" w:color="auto" w:fill="9BBB59"/>
      </w:tcPr>
    </w:tblStylePr>
    <w:tblStylePr w:type="lastCol">
      <w:rPr>
        <w:rFonts w:ascii="Arial" w:hAnsi="Arial"/>
        <w:b/>
        <w:color w:val="FFFFFF"/>
        <w:sz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
    <w:name w:val="Grid Table 5 Dark- Accent 4"/>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b/>
        <w:color w:val="FFFFFF"/>
        <w:sz w:val="22"/>
      </w:rPr>
      <w:tblPr/>
      <w:tcPr>
        <w:shd w:val="clear" w:color="auto" w:fill="8064A2"/>
      </w:tcPr>
    </w:tblStylePr>
    <w:tblStylePr w:type="lastRow">
      <w:rPr>
        <w:rFonts w:ascii="Arial" w:hAnsi="Arial"/>
        <w:b/>
        <w:color w:val="FFFFFF"/>
        <w:sz w:val="22"/>
      </w:rPr>
      <w:tblPr/>
      <w:tcPr>
        <w:tcBorders>
          <w:top w:val="single" w:sz="4" w:space="0" w:color="FFFFFF"/>
        </w:tcBorders>
        <w:shd w:val="clear" w:color="auto" w:fill="8064A2"/>
      </w:tcPr>
    </w:tblStylePr>
    <w:tblStylePr w:type="firstCol">
      <w:rPr>
        <w:rFonts w:ascii="Arial" w:hAnsi="Arial"/>
        <w:b/>
        <w:color w:val="FFFFFF"/>
        <w:sz w:val="22"/>
      </w:rPr>
      <w:tblPr/>
      <w:tcPr>
        <w:shd w:val="clear" w:color="auto" w:fill="8064A2"/>
      </w:tcPr>
    </w:tblStylePr>
    <w:tblStylePr w:type="lastCol">
      <w:rPr>
        <w:rFonts w:ascii="Arial" w:hAnsi="Arial"/>
        <w:b/>
        <w:color w:val="FFFFFF"/>
        <w:sz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
    <w:name w:val="Grid Table 5 Dark - Accent 5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b/>
        <w:color w:val="FFFFFF"/>
        <w:sz w:val="22"/>
      </w:rPr>
      <w:tblPr/>
      <w:tcPr>
        <w:shd w:val="clear" w:color="auto" w:fill="4BACC6"/>
      </w:tcPr>
    </w:tblStylePr>
    <w:tblStylePr w:type="lastRow">
      <w:rPr>
        <w:rFonts w:ascii="Arial" w:hAnsi="Arial"/>
        <w:b/>
        <w:color w:val="FFFFFF"/>
        <w:sz w:val="22"/>
      </w:rPr>
      <w:tblPr/>
      <w:tcPr>
        <w:tcBorders>
          <w:top w:val="single" w:sz="4" w:space="0" w:color="FFFFFF"/>
        </w:tcBorders>
        <w:shd w:val="clear" w:color="auto" w:fill="4BACC6"/>
      </w:tcPr>
    </w:tblStylePr>
    <w:tblStylePr w:type="firstCol">
      <w:rPr>
        <w:rFonts w:ascii="Arial" w:hAnsi="Arial"/>
        <w:b/>
        <w:color w:val="FFFFFF"/>
        <w:sz w:val="22"/>
      </w:rPr>
      <w:tblPr/>
      <w:tcPr>
        <w:shd w:val="clear" w:color="auto" w:fill="4BACC6"/>
      </w:tcPr>
    </w:tblStylePr>
    <w:tblStylePr w:type="lastCol">
      <w:rPr>
        <w:rFonts w:ascii="Arial" w:hAnsi="Arial"/>
        <w:b/>
        <w:color w:val="FFFFFF"/>
        <w:sz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
    <w:name w:val="Grid Table 5 Dark - Accent 6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b/>
        <w:color w:val="FFFFFF"/>
        <w:sz w:val="22"/>
      </w:rPr>
      <w:tblPr/>
      <w:tcPr>
        <w:shd w:val="clear" w:color="auto" w:fill="F79646"/>
      </w:tcPr>
    </w:tblStylePr>
    <w:tblStylePr w:type="lastRow">
      <w:rPr>
        <w:rFonts w:ascii="Arial" w:hAnsi="Arial"/>
        <w:b/>
        <w:color w:val="FFFFFF"/>
        <w:sz w:val="22"/>
      </w:rPr>
      <w:tblPr/>
      <w:tcPr>
        <w:tcBorders>
          <w:top w:val="single" w:sz="4" w:space="0" w:color="FFFFFF"/>
        </w:tcBorders>
        <w:shd w:val="clear" w:color="auto" w:fill="F79646"/>
      </w:tcPr>
    </w:tblStylePr>
    <w:tblStylePr w:type="firstCol">
      <w:rPr>
        <w:rFonts w:ascii="Arial" w:hAnsi="Arial"/>
        <w:b/>
        <w:color w:val="FFFFFF"/>
        <w:sz w:val="22"/>
      </w:rPr>
      <w:tblPr/>
      <w:tcPr>
        <w:shd w:val="clear" w:color="auto" w:fill="F79646"/>
      </w:tcPr>
    </w:tblStylePr>
    <w:tblStylePr w:type="lastCol">
      <w:rPr>
        <w:rFonts w:ascii="Arial" w:hAnsi="Arial"/>
        <w:b/>
        <w:color w:val="FFFFFF"/>
        <w:sz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1">
    <w:name w:val="Grid Table 6 Colorful1"/>
    <w:basedOn w:val="TableNormal"/>
    <w:next w:val="GridTable6Colorfu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olor w:val="7F7F7F"/>
        <w:sz w:val="22"/>
      </w:rPr>
      <w:tblPr/>
      <w:tcPr>
        <w:shd w:val="clear" w:color="auto" w:fill="CBCBCB"/>
      </w:tcPr>
    </w:tblStylePr>
    <w:tblStylePr w:type="band2Horz">
      <w:rPr>
        <w:rFonts w:ascii="Arial" w:hAnsi="Arial"/>
        <w:color w:val="7F7F7F"/>
        <w:sz w:val="22"/>
      </w:rPr>
    </w:tblStylePr>
  </w:style>
  <w:style w:type="table" w:customStyle="1" w:styleId="GridTable6Colorful-Accent11">
    <w:name w:val="Grid Table 6 Colorful - Accent 1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6Colorful-Accent21">
    <w:name w:val="Grid Table 6 Colorful - Accent 2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olor w:val="D99695"/>
        <w:sz w:val="22"/>
      </w:rPr>
      <w:tblPr/>
      <w:tcPr>
        <w:shd w:val="clear" w:color="auto" w:fill="F2DCDC"/>
      </w:tcPr>
    </w:tblStylePr>
    <w:tblStylePr w:type="band2Horz">
      <w:rPr>
        <w:rFonts w:ascii="Arial" w:hAnsi="Arial"/>
        <w:color w:val="D99695"/>
        <w:sz w:val="22"/>
      </w:rPr>
    </w:tblStylePr>
  </w:style>
  <w:style w:type="table" w:customStyle="1" w:styleId="GridTable6Colorful-Accent31">
    <w:name w:val="Grid Table 6 Colorful - Accent 3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olor w:val="9ABB59"/>
        <w:sz w:val="22"/>
      </w:rPr>
      <w:tblPr/>
      <w:tcPr>
        <w:shd w:val="clear" w:color="auto" w:fill="EAF1DC"/>
      </w:tcPr>
    </w:tblStylePr>
    <w:tblStylePr w:type="band2Horz">
      <w:rPr>
        <w:rFonts w:ascii="Arial" w:hAnsi="Arial"/>
        <w:color w:val="9ABB59"/>
        <w:sz w:val="22"/>
      </w:rPr>
    </w:tblStylePr>
  </w:style>
  <w:style w:type="table" w:customStyle="1" w:styleId="GridTable6Colorful-Accent41">
    <w:name w:val="Grid Table 6 Colorful - Accent 4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olor w:val="B2A1C6"/>
        <w:sz w:val="22"/>
      </w:rPr>
      <w:tblPr/>
      <w:tcPr>
        <w:shd w:val="clear" w:color="auto" w:fill="E5DFEC"/>
      </w:tcPr>
    </w:tblStylePr>
    <w:tblStylePr w:type="band2Horz">
      <w:rPr>
        <w:rFonts w:ascii="Arial" w:hAnsi="Arial"/>
        <w:color w:val="B2A1C6"/>
        <w:sz w:val="22"/>
      </w:rPr>
    </w:tblStylePr>
  </w:style>
  <w:style w:type="table" w:customStyle="1" w:styleId="GridTable6Colorful-Accent51">
    <w:name w:val="Grid Table 6 Colorful - Accent 5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olor w:val="266779"/>
        <w:sz w:val="22"/>
      </w:rPr>
      <w:tblPr/>
      <w:tcPr>
        <w:shd w:val="clear" w:color="auto" w:fill="DAEEF3"/>
      </w:tcPr>
    </w:tblStylePr>
    <w:tblStylePr w:type="band2Horz">
      <w:rPr>
        <w:rFonts w:ascii="Arial" w:hAnsi="Arial"/>
        <w:color w:val="266779"/>
        <w:sz w:val="22"/>
      </w:rPr>
    </w:tblStylePr>
  </w:style>
  <w:style w:type="table" w:customStyle="1" w:styleId="GridTable6Colorful-Accent61">
    <w:name w:val="Grid Table 6 Colorful - Accent 6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olor w:val="266779"/>
        <w:sz w:val="22"/>
      </w:rPr>
      <w:tblPr/>
      <w:tcPr>
        <w:shd w:val="clear" w:color="auto" w:fill="FDE9D8"/>
      </w:tcPr>
    </w:tblStylePr>
    <w:tblStylePr w:type="band2Horz">
      <w:rPr>
        <w:rFonts w:ascii="Arial" w:hAnsi="Arial"/>
        <w:color w:val="266779"/>
        <w:sz w:val="22"/>
      </w:rPr>
    </w:tblStylePr>
  </w:style>
  <w:style w:type="table" w:customStyle="1" w:styleId="GridTable7Colorful1">
    <w:name w:val="Grid Table 7 Colorful1"/>
    <w:basedOn w:val="TableNormal"/>
    <w:next w:val="GridTable7Colorfu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auto" w:fill="FFFFFF"/>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auto" w:fill="FFFFFF"/>
      </w:tcPr>
    </w:tblStylePr>
    <w:tblStylePr w:type="band1Vert">
      <w:tblPr/>
      <w:tcPr>
        <w:shd w:val="clear" w:color="auto" w:fill="F2F2F2"/>
      </w:tcPr>
    </w:tblStylePr>
    <w:tblStylePr w:type="band1Horz">
      <w:rPr>
        <w:rFonts w:ascii="Arial" w:hAnsi="Arial"/>
        <w:color w:val="7F7F7F"/>
        <w:sz w:val="22"/>
      </w:rPr>
      <w:tblPr/>
      <w:tcPr>
        <w:shd w:val="clear" w:color="auto" w:fill="F2F2F2"/>
      </w:tcPr>
    </w:tblStylePr>
    <w:tblStylePr w:type="band2Horz">
      <w:rPr>
        <w:rFonts w:ascii="Arial" w:hAnsi="Arial"/>
        <w:color w:val="7F7F7F"/>
        <w:sz w:val="22"/>
      </w:rPr>
    </w:tblStylePr>
  </w:style>
  <w:style w:type="table" w:customStyle="1" w:styleId="GridTable7Colorful-Accent11">
    <w:name w:val="Grid Table 7 Colorful - Accent 1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auto" w:fill="FFFFFF"/>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auto" w:fill="FFFFFF"/>
      </w:tc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7Colorful-Accent21">
    <w:name w:val="Grid Table 7 Colorful - Accent 2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auto" w:fill="FFFFFF"/>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auto" w:fill="FFFFFF"/>
      </w:tcPr>
    </w:tblStylePr>
    <w:tblStylePr w:type="band1Vert">
      <w:tblPr/>
      <w:tcPr>
        <w:shd w:val="clear" w:color="auto" w:fill="F2DCDC"/>
      </w:tcPr>
    </w:tblStylePr>
    <w:tblStylePr w:type="band1Horz">
      <w:rPr>
        <w:rFonts w:ascii="Arial" w:hAnsi="Arial"/>
        <w:color w:val="D99695"/>
        <w:sz w:val="22"/>
      </w:rPr>
      <w:tblPr/>
      <w:tcPr>
        <w:shd w:val="clear" w:color="auto" w:fill="F2DCDC"/>
      </w:tcPr>
    </w:tblStylePr>
    <w:tblStylePr w:type="band2Horz">
      <w:rPr>
        <w:rFonts w:ascii="Arial" w:hAnsi="Arial"/>
        <w:color w:val="D99695"/>
        <w:sz w:val="22"/>
      </w:rPr>
    </w:tblStylePr>
  </w:style>
  <w:style w:type="table" w:customStyle="1" w:styleId="GridTable7Colorful-Accent31">
    <w:name w:val="Grid Table 7 Colorful - Accent 3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auto" w:fill="FFFFFF"/>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auto" w:fill="FFFFFF"/>
      </w:tcPr>
    </w:tblStylePr>
    <w:tblStylePr w:type="band1Vert">
      <w:tblPr/>
      <w:tcPr>
        <w:shd w:val="clear" w:color="auto" w:fill="EAF1DC"/>
      </w:tcPr>
    </w:tblStylePr>
    <w:tblStylePr w:type="band1Horz">
      <w:rPr>
        <w:rFonts w:ascii="Arial" w:hAnsi="Arial"/>
        <w:color w:val="9ABB59"/>
        <w:sz w:val="22"/>
      </w:rPr>
      <w:tblPr/>
      <w:tcPr>
        <w:shd w:val="clear" w:color="auto" w:fill="EAF1DC"/>
      </w:tcPr>
    </w:tblStylePr>
    <w:tblStylePr w:type="band2Horz">
      <w:rPr>
        <w:rFonts w:ascii="Arial" w:hAnsi="Arial"/>
        <w:color w:val="9ABB59"/>
        <w:sz w:val="22"/>
      </w:rPr>
    </w:tblStylePr>
  </w:style>
  <w:style w:type="table" w:customStyle="1" w:styleId="GridTable7Colorful-Accent41">
    <w:name w:val="Grid Table 7 Colorful - Accent 4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auto" w:fill="FFFFFF"/>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auto" w:fill="FFFFFF"/>
      </w:tcPr>
    </w:tblStylePr>
    <w:tblStylePr w:type="band1Vert">
      <w:tblPr/>
      <w:tcPr>
        <w:shd w:val="clear" w:color="auto" w:fill="E5DFEC"/>
      </w:tcPr>
    </w:tblStylePr>
    <w:tblStylePr w:type="band1Horz">
      <w:rPr>
        <w:rFonts w:ascii="Arial" w:hAnsi="Arial"/>
        <w:color w:val="B2A1C6"/>
        <w:sz w:val="22"/>
      </w:rPr>
      <w:tblPr/>
      <w:tcPr>
        <w:shd w:val="clear" w:color="auto" w:fill="E5DFEC"/>
      </w:tcPr>
    </w:tblStylePr>
    <w:tblStylePr w:type="band2Horz">
      <w:rPr>
        <w:rFonts w:ascii="Arial" w:hAnsi="Arial"/>
        <w:color w:val="B2A1C6"/>
        <w:sz w:val="22"/>
      </w:rPr>
    </w:tblStylePr>
  </w:style>
  <w:style w:type="table" w:customStyle="1" w:styleId="GridTable7Colorful-Accent51">
    <w:name w:val="Grid Table 7 Colorful - Accent 5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auto" w:fill="FFFFFF"/>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auto" w:fill="FFFFFF"/>
      </w:tcPr>
    </w:tblStylePr>
    <w:tblStylePr w:type="band1Vert">
      <w:tblPr/>
      <w:tcPr>
        <w:shd w:val="clear" w:color="auto" w:fill="DAEEF3"/>
      </w:tcPr>
    </w:tblStylePr>
    <w:tblStylePr w:type="band1Horz">
      <w:rPr>
        <w:rFonts w:ascii="Arial" w:hAnsi="Arial"/>
        <w:color w:val="266779"/>
        <w:sz w:val="22"/>
      </w:rPr>
      <w:tblPr/>
      <w:tcPr>
        <w:shd w:val="clear" w:color="auto" w:fill="DAEEF3"/>
      </w:tcPr>
    </w:tblStylePr>
    <w:tblStylePr w:type="band2Horz">
      <w:rPr>
        <w:rFonts w:ascii="Arial" w:hAnsi="Arial"/>
        <w:color w:val="266779"/>
        <w:sz w:val="22"/>
      </w:rPr>
    </w:tblStylePr>
  </w:style>
  <w:style w:type="table" w:customStyle="1" w:styleId="GridTable7Colorful-Accent61">
    <w:name w:val="Grid Table 7 Colorful - Accent 6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auto" w:fill="FFFFFF"/>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auto" w:fill="FFFFFF"/>
      </w:tcPr>
    </w:tblStylePr>
    <w:tblStylePr w:type="band1Vert">
      <w:tblPr/>
      <w:tcPr>
        <w:shd w:val="clear" w:color="auto" w:fill="FDE9D8"/>
      </w:tcPr>
    </w:tblStylePr>
    <w:tblStylePr w:type="band1Horz">
      <w:rPr>
        <w:rFonts w:ascii="Arial" w:hAnsi="Arial"/>
        <w:color w:val="B15407"/>
        <w:sz w:val="22"/>
      </w:rPr>
      <w:tblPr/>
      <w:tcPr>
        <w:shd w:val="clear" w:color="auto" w:fill="FDE9D8"/>
      </w:tcPr>
    </w:tblStylePr>
    <w:tblStylePr w:type="band2Horz">
      <w:rPr>
        <w:rFonts w:ascii="Arial" w:hAnsi="Arial"/>
        <w:color w:val="B15407"/>
        <w:sz w:val="22"/>
      </w:rPr>
    </w:tblStylePr>
  </w:style>
  <w:style w:type="table" w:customStyle="1" w:styleId="ListTable1Light1">
    <w:name w:val="List Table 1 Light1"/>
    <w:basedOn w:val="TableNormal"/>
    <w:next w:val="ListTable1Light"/>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1">
    <w:name w:val="List Table 1 Light - Accent 1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
    <w:name w:val="List Table 1 Light - Accent 2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
    <w:name w:val="List Table 1 Light - Accent 3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
    <w:name w:val="List Table 1 Light - Accent 4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
    <w:name w:val="List Table 1 Light - Accent 5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
    <w:name w:val="List Table 1 Light - Accent 6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1">
    <w:name w:val="List Table 21"/>
    <w:basedOn w:val="TableNormal"/>
    <w:next w:val="ListTable2"/>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2-Accent11">
    <w:name w:val="List Table 2 - Accent 1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2-Accent21">
    <w:name w:val="List Table 2 - Accent 2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2-Accent31">
    <w:name w:val="List Table 2 - Accent 3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2-Accent41">
    <w:name w:val="List Table 2 - Accent 4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2-Accent51">
    <w:name w:val="List Table 2 - Accent 5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2-Accent61">
    <w:name w:val="List Table 2 - Accent 6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ListTable31">
    <w:name w:val="List Table 31"/>
    <w:basedOn w:val="TableNormal"/>
    <w:next w:val="ListTable3"/>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TableNormal"/>
    <w:next w:val="ListTable4"/>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4-Accent11">
    <w:name w:val="List Table 4 - Accent 1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4-Accent21">
    <w:name w:val="List Table 4 - Accent 2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4-Accent31">
    <w:name w:val="List Table 4 - Accent 3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4-Accent41">
    <w:name w:val="List Table 4 - Accent 4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4-Accent51">
    <w:name w:val="List Table 4 - Accent 5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4-Accent61">
    <w:name w:val="List Table 4 - Accent 6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ListTable5Dark1">
    <w:name w:val="List Table 5 Dark1"/>
    <w:basedOn w:val="TableNormal"/>
    <w:next w:val="ListTable5Dark"/>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auto" w:fill="7F7F7F"/>
    </w:tblPr>
    <w:tblStylePr w:type="firstRow">
      <w:rPr>
        <w:rFonts w:ascii="Arial" w:hAnsi="Arial"/>
        <w:b/>
        <w:color w:val="FFFFFF"/>
        <w:sz w:val="22"/>
      </w:rPr>
      <w:tblPr/>
      <w:tcPr>
        <w:tcBorders>
          <w:top w:val="single" w:sz="32" w:space="0" w:color="7F7F7F"/>
          <w:bottom w:val="single" w:sz="12" w:space="0" w:color="FFFFFF"/>
        </w:tcBorders>
        <w:shd w:val="clear" w:color="auto"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1">
    <w:name w:val="List Table 5 Dark - Accent 1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auto" w:fill="4F81BD"/>
    </w:tblPr>
    <w:tblStylePr w:type="firstRow">
      <w:rPr>
        <w:rFonts w:ascii="Arial" w:hAnsi="Arial"/>
        <w:b/>
        <w:color w:val="FFFFFF"/>
        <w:sz w:val="22"/>
      </w:rPr>
      <w:tblPr/>
      <w:tcPr>
        <w:tcBorders>
          <w:top w:val="single" w:sz="32" w:space="0" w:color="4F81BD"/>
          <w:bottom w:val="single" w:sz="12" w:space="0" w:color="FFFFFF"/>
        </w:tcBorders>
        <w:shd w:val="clear" w:color="auto"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
    <w:name w:val="List Table 5 Dark - Accent 2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auto" w:fill="D99695"/>
    </w:tblPr>
    <w:tblStylePr w:type="firstRow">
      <w:rPr>
        <w:rFonts w:ascii="Arial" w:hAnsi="Arial"/>
        <w:b/>
        <w:color w:val="FFFFFF"/>
        <w:sz w:val="22"/>
      </w:rPr>
      <w:tblPr/>
      <w:tcPr>
        <w:tcBorders>
          <w:top w:val="single" w:sz="32" w:space="0" w:color="D99695"/>
          <w:bottom w:val="single" w:sz="12" w:space="0" w:color="FFFFFF"/>
        </w:tcBorders>
        <w:shd w:val="clear" w:color="auto"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
    <w:name w:val="List Table 5 Dark - Accent 3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auto" w:fill="C3D69B"/>
    </w:tblPr>
    <w:tblStylePr w:type="firstRow">
      <w:rPr>
        <w:rFonts w:ascii="Arial" w:hAnsi="Arial"/>
        <w:b/>
        <w:color w:val="FFFFFF"/>
        <w:sz w:val="22"/>
      </w:rPr>
      <w:tblPr/>
      <w:tcPr>
        <w:tcBorders>
          <w:top w:val="single" w:sz="32" w:space="0" w:color="C3D69B"/>
          <w:bottom w:val="single" w:sz="12" w:space="0" w:color="FFFFFF"/>
        </w:tcBorders>
        <w:shd w:val="clear" w:color="auto"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
    <w:name w:val="List Table 5 Dark - Accent 4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auto" w:fill="B2A1C6"/>
    </w:tblPr>
    <w:tblStylePr w:type="firstRow">
      <w:rPr>
        <w:rFonts w:ascii="Arial" w:hAnsi="Arial"/>
        <w:b/>
        <w:color w:val="FFFFFF"/>
        <w:sz w:val="22"/>
      </w:rPr>
      <w:tblPr/>
      <w:tcPr>
        <w:tcBorders>
          <w:top w:val="single" w:sz="32" w:space="0" w:color="B2A1C6"/>
          <w:bottom w:val="single" w:sz="12" w:space="0" w:color="FFFFFF"/>
        </w:tcBorders>
        <w:shd w:val="clear" w:color="auto"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
    <w:name w:val="List Table 5 Dark - Accent 5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auto" w:fill="92CCDC"/>
    </w:tblPr>
    <w:tblStylePr w:type="firstRow">
      <w:rPr>
        <w:rFonts w:ascii="Arial" w:hAnsi="Arial"/>
        <w:b/>
        <w:color w:val="FFFFFF"/>
        <w:sz w:val="22"/>
      </w:rPr>
      <w:tblPr/>
      <w:tcPr>
        <w:tcBorders>
          <w:top w:val="single" w:sz="32" w:space="0" w:color="92CCDC"/>
          <w:bottom w:val="single" w:sz="12" w:space="0" w:color="FFFFFF"/>
        </w:tcBorders>
        <w:shd w:val="clear" w:color="auto"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
    <w:name w:val="List Table 5 Dark - Accent 6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auto" w:fill="FAC090"/>
    </w:tblPr>
    <w:tblStylePr w:type="firstRow">
      <w:rPr>
        <w:rFonts w:ascii="Arial" w:hAnsi="Arial"/>
        <w:b/>
        <w:color w:val="FFFFFF"/>
        <w:sz w:val="22"/>
      </w:rPr>
      <w:tblPr/>
      <w:tcPr>
        <w:tcBorders>
          <w:top w:val="single" w:sz="32" w:space="0" w:color="FAC090"/>
          <w:bottom w:val="single" w:sz="12" w:space="0" w:color="FFFFFF"/>
        </w:tcBorders>
        <w:shd w:val="clear" w:color="auto"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1">
    <w:name w:val="List Table 6 Colorful1"/>
    <w:basedOn w:val="TableNormal"/>
    <w:next w:val="ListTable6Colorfu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olor w:val="000000"/>
        <w:sz w:val="22"/>
      </w:rPr>
      <w:tblPr/>
      <w:tcPr>
        <w:shd w:val="clear" w:color="auto" w:fill="BFBFBF"/>
      </w:tcPr>
    </w:tblStylePr>
    <w:tblStylePr w:type="band2Horz">
      <w:rPr>
        <w:rFonts w:ascii="Arial" w:hAnsi="Arial"/>
        <w:color w:val="000000"/>
        <w:sz w:val="22"/>
      </w:rPr>
    </w:tblStylePr>
  </w:style>
  <w:style w:type="table" w:customStyle="1" w:styleId="ListTable6Colorful-Accent11">
    <w:name w:val="List Table 6 Colorful - Accent 1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olor w:val="2A4A71"/>
        <w:sz w:val="22"/>
      </w:rPr>
      <w:tblPr/>
      <w:tcPr>
        <w:shd w:val="clear" w:color="auto" w:fill="D2DFEE"/>
      </w:tcPr>
    </w:tblStylePr>
    <w:tblStylePr w:type="band2Horz">
      <w:rPr>
        <w:rFonts w:ascii="Arial" w:hAnsi="Arial"/>
        <w:color w:val="2A4A71"/>
        <w:sz w:val="22"/>
      </w:rPr>
    </w:tblStylePr>
  </w:style>
  <w:style w:type="table" w:customStyle="1" w:styleId="ListTable6Colorful-Accent21">
    <w:name w:val="List Table 6 Colorful - Accent 2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olor w:val="D99695"/>
        <w:sz w:val="22"/>
      </w:rPr>
      <w:tblPr/>
      <w:tcPr>
        <w:shd w:val="clear" w:color="auto" w:fill="EFD2D2"/>
      </w:tcPr>
    </w:tblStylePr>
    <w:tblStylePr w:type="band2Horz">
      <w:rPr>
        <w:rFonts w:ascii="Arial" w:hAnsi="Arial"/>
        <w:color w:val="D99695"/>
        <w:sz w:val="22"/>
      </w:rPr>
    </w:tblStylePr>
  </w:style>
  <w:style w:type="table" w:customStyle="1" w:styleId="ListTable6Colorful-Accent31">
    <w:name w:val="List Table 6 Colorful - Accent 3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olor w:val="C3D69B"/>
        <w:sz w:val="22"/>
      </w:rPr>
      <w:tblPr/>
      <w:tcPr>
        <w:shd w:val="clear" w:color="auto" w:fill="E5EED5"/>
      </w:tcPr>
    </w:tblStylePr>
    <w:tblStylePr w:type="band2Horz">
      <w:rPr>
        <w:rFonts w:ascii="Arial" w:hAnsi="Arial"/>
        <w:color w:val="C3D69B"/>
        <w:sz w:val="22"/>
      </w:rPr>
    </w:tblStylePr>
  </w:style>
  <w:style w:type="table" w:customStyle="1" w:styleId="ListTable6Colorful-Accent41">
    <w:name w:val="List Table 6 Colorful - Accent 4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olor w:val="B2A1C6"/>
        <w:sz w:val="22"/>
      </w:rPr>
      <w:tblPr/>
      <w:tcPr>
        <w:shd w:val="clear" w:color="auto" w:fill="DFD8E7"/>
      </w:tcPr>
    </w:tblStylePr>
    <w:tblStylePr w:type="band2Horz">
      <w:rPr>
        <w:rFonts w:ascii="Arial" w:hAnsi="Arial"/>
        <w:color w:val="B2A1C6"/>
        <w:sz w:val="22"/>
      </w:rPr>
    </w:tblStylePr>
  </w:style>
  <w:style w:type="table" w:customStyle="1" w:styleId="ListTable6Colorful-Accent51">
    <w:name w:val="List Table 6 Colorful - Accent 5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olor w:val="92CCDC"/>
        <w:sz w:val="22"/>
      </w:rPr>
      <w:tblPr/>
      <w:tcPr>
        <w:shd w:val="clear" w:color="auto" w:fill="D1EAF0"/>
      </w:tcPr>
    </w:tblStylePr>
    <w:tblStylePr w:type="band2Horz">
      <w:rPr>
        <w:rFonts w:ascii="Arial" w:hAnsi="Arial"/>
        <w:color w:val="92CCDC"/>
        <w:sz w:val="22"/>
      </w:rPr>
    </w:tblStylePr>
  </w:style>
  <w:style w:type="table" w:customStyle="1" w:styleId="ListTable6Colorful-Accent61">
    <w:name w:val="List Table 6 Colorful - Accent 6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olor w:val="FAC090"/>
        <w:sz w:val="22"/>
      </w:rPr>
      <w:tblPr/>
      <w:tcPr>
        <w:shd w:val="clear" w:color="auto" w:fill="FDE4D0"/>
      </w:tcPr>
    </w:tblStylePr>
    <w:tblStylePr w:type="band2Horz">
      <w:rPr>
        <w:rFonts w:ascii="Arial" w:hAnsi="Arial"/>
        <w:color w:val="FAC090"/>
        <w:sz w:val="22"/>
      </w:rPr>
    </w:tblStylePr>
  </w:style>
  <w:style w:type="table" w:customStyle="1" w:styleId="ListTable7Colorful1">
    <w:name w:val="List Table 7 Colorful1"/>
    <w:basedOn w:val="TableNormal"/>
    <w:next w:val="ListTable7Colorfu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auto" w:fill="FFFFFF"/>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auto" w:fill="FFFFFF"/>
      </w:tcPr>
    </w:tblStylePr>
    <w:tblStylePr w:type="band1Vert">
      <w:tblPr/>
      <w:tcPr>
        <w:shd w:val="clear" w:color="auto" w:fill="BFBFBF"/>
      </w:tcPr>
    </w:tblStylePr>
    <w:tblStylePr w:type="band1Horz">
      <w:rPr>
        <w:rFonts w:ascii="Arial" w:hAnsi="Arial"/>
        <w:color w:val="7F7F7F"/>
        <w:sz w:val="22"/>
      </w:rPr>
      <w:tblPr/>
      <w:tcPr>
        <w:shd w:val="clear" w:color="auto" w:fill="BFBFBF"/>
      </w:tcPr>
    </w:tblStylePr>
    <w:tblStylePr w:type="band2Horz">
      <w:rPr>
        <w:rFonts w:ascii="Arial" w:hAnsi="Arial"/>
        <w:color w:val="7F7F7F"/>
        <w:sz w:val="22"/>
      </w:rPr>
    </w:tblStylePr>
  </w:style>
  <w:style w:type="table" w:customStyle="1" w:styleId="ListTable7Colorful-Accent11">
    <w:name w:val="List Table 7 Colorful - Accent 1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auto" w:fill="FFFFFF"/>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auto" w:fill="FFFFFF"/>
      </w:tcPr>
    </w:tblStylePr>
    <w:tblStylePr w:type="band1Vert">
      <w:tblPr/>
      <w:tcPr>
        <w:shd w:val="clear" w:color="auto" w:fill="D2DFEE"/>
      </w:tcPr>
    </w:tblStylePr>
    <w:tblStylePr w:type="band1Horz">
      <w:rPr>
        <w:rFonts w:ascii="Arial" w:hAnsi="Arial"/>
        <w:color w:val="2A4A71"/>
        <w:sz w:val="22"/>
      </w:rPr>
      <w:tblPr/>
      <w:tcPr>
        <w:shd w:val="clear" w:color="auto" w:fill="D2DFEE"/>
      </w:tcPr>
    </w:tblStylePr>
    <w:tblStylePr w:type="band2Horz">
      <w:rPr>
        <w:rFonts w:ascii="Arial" w:hAnsi="Arial"/>
        <w:color w:val="2A4A71"/>
        <w:sz w:val="22"/>
      </w:rPr>
    </w:tblStylePr>
  </w:style>
  <w:style w:type="table" w:customStyle="1" w:styleId="ListTable7Colorful-Accent21">
    <w:name w:val="List Table 7 Colorful - Accent 2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auto" w:fill="FFFFFF"/>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auto" w:fill="FFFFFF"/>
      </w:tcPr>
    </w:tblStylePr>
    <w:tblStylePr w:type="band1Vert">
      <w:tblPr/>
      <w:tcPr>
        <w:shd w:val="clear" w:color="auto" w:fill="EFD2D2"/>
      </w:tcPr>
    </w:tblStylePr>
    <w:tblStylePr w:type="band1Horz">
      <w:rPr>
        <w:rFonts w:ascii="Arial" w:hAnsi="Arial"/>
        <w:color w:val="D99695"/>
        <w:sz w:val="22"/>
      </w:rPr>
      <w:tblPr/>
      <w:tcPr>
        <w:shd w:val="clear" w:color="auto" w:fill="EFD2D2"/>
      </w:tcPr>
    </w:tblStylePr>
    <w:tblStylePr w:type="band2Horz">
      <w:rPr>
        <w:rFonts w:ascii="Arial" w:hAnsi="Arial"/>
        <w:color w:val="D99695"/>
        <w:sz w:val="22"/>
      </w:rPr>
    </w:tblStylePr>
  </w:style>
  <w:style w:type="table" w:customStyle="1" w:styleId="ListTable7Colorful-Accent31">
    <w:name w:val="List Table 7 Colorful - Accent 3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auto" w:fill="FFFFFF"/>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auto" w:fill="FFFFFF"/>
      </w:tcPr>
    </w:tblStylePr>
    <w:tblStylePr w:type="band1Vert">
      <w:tblPr/>
      <w:tcPr>
        <w:shd w:val="clear" w:color="auto" w:fill="E5EED5"/>
      </w:tcPr>
    </w:tblStylePr>
    <w:tblStylePr w:type="band1Horz">
      <w:rPr>
        <w:rFonts w:ascii="Arial" w:hAnsi="Arial"/>
        <w:color w:val="C3D69B"/>
        <w:sz w:val="22"/>
      </w:rPr>
      <w:tblPr/>
      <w:tcPr>
        <w:shd w:val="clear" w:color="auto" w:fill="E5EED5"/>
      </w:tcPr>
    </w:tblStylePr>
    <w:tblStylePr w:type="band2Horz">
      <w:rPr>
        <w:rFonts w:ascii="Arial" w:hAnsi="Arial"/>
        <w:color w:val="C3D69B"/>
        <w:sz w:val="22"/>
      </w:rPr>
    </w:tblStylePr>
  </w:style>
  <w:style w:type="table" w:customStyle="1" w:styleId="ListTable7Colorful-Accent41">
    <w:name w:val="List Table 7 Colorful - Accent 4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auto" w:fill="FFFFFF"/>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auto" w:fill="FFFFFF"/>
      </w:tcPr>
    </w:tblStylePr>
    <w:tblStylePr w:type="band1Vert">
      <w:tblPr/>
      <w:tcPr>
        <w:shd w:val="clear" w:color="auto" w:fill="DFD8E7"/>
      </w:tcPr>
    </w:tblStylePr>
    <w:tblStylePr w:type="band1Horz">
      <w:rPr>
        <w:rFonts w:ascii="Arial" w:hAnsi="Arial"/>
        <w:color w:val="B2A1C6"/>
        <w:sz w:val="22"/>
      </w:rPr>
      <w:tblPr/>
      <w:tcPr>
        <w:shd w:val="clear" w:color="auto" w:fill="DFD8E7"/>
      </w:tcPr>
    </w:tblStylePr>
    <w:tblStylePr w:type="band2Horz">
      <w:rPr>
        <w:rFonts w:ascii="Arial" w:hAnsi="Arial"/>
        <w:color w:val="B2A1C6"/>
        <w:sz w:val="22"/>
      </w:rPr>
    </w:tblStylePr>
  </w:style>
  <w:style w:type="table" w:customStyle="1" w:styleId="ListTable7Colorful-Accent51">
    <w:name w:val="List Table 7 Colorful - Accent 5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auto" w:fill="FFFFFF"/>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auto" w:fill="FFFFFF"/>
      </w:tcPr>
    </w:tblStylePr>
    <w:tblStylePr w:type="band1Vert">
      <w:tblPr/>
      <w:tcPr>
        <w:shd w:val="clear" w:color="auto" w:fill="D1EAF0"/>
      </w:tcPr>
    </w:tblStylePr>
    <w:tblStylePr w:type="band1Horz">
      <w:rPr>
        <w:rFonts w:ascii="Arial" w:hAnsi="Arial"/>
        <w:color w:val="92CCDC"/>
        <w:sz w:val="22"/>
      </w:rPr>
      <w:tblPr/>
      <w:tcPr>
        <w:shd w:val="clear" w:color="auto" w:fill="D1EAF0"/>
      </w:tcPr>
    </w:tblStylePr>
    <w:tblStylePr w:type="band2Horz">
      <w:rPr>
        <w:rFonts w:ascii="Arial" w:hAnsi="Arial"/>
        <w:color w:val="92CCDC"/>
        <w:sz w:val="22"/>
      </w:rPr>
    </w:tblStylePr>
  </w:style>
  <w:style w:type="table" w:customStyle="1" w:styleId="ListTable7Colorful-Accent61">
    <w:name w:val="List Table 7 Colorful - Accent 6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auto" w:fill="FFFFFF"/>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auto" w:fill="FFFFFF"/>
      </w:tcPr>
    </w:tblStylePr>
    <w:tblStylePr w:type="band1Vert">
      <w:tblPr/>
      <w:tcPr>
        <w:shd w:val="clear" w:color="auto" w:fill="FDE4D0"/>
      </w:tcPr>
    </w:tblStylePr>
    <w:tblStylePr w:type="band1Horz">
      <w:rPr>
        <w:rFonts w:ascii="Arial" w:hAnsi="Arial"/>
        <w:color w:val="FAC090"/>
        <w:sz w:val="22"/>
      </w:rPr>
      <w:tblPr/>
      <w:tcPr>
        <w:shd w:val="clear" w:color="auto" w:fill="FDE4D0"/>
      </w:tcPr>
    </w:tblStylePr>
    <w:tblStylePr w:type="band2Horz">
      <w:rPr>
        <w:rFonts w:ascii="Arial" w:hAnsi="Arial"/>
        <w:color w:val="FAC090"/>
        <w:sz w:val="22"/>
      </w:rPr>
    </w:tblStylePr>
  </w:style>
  <w:style w:type="table" w:customStyle="1" w:styleId="Lined-Accent">
    <w:name w:val="Lined - Accent"/>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ro-RO" w:eastAsia="ro-RO" w:bidi="ro-RO"/>
    </w:rPr>
    <w:tblPr>
      <w:tblStyleRowBandSize w:val="1"/>
      <w:tblStyleColBandSize w:val="1"/>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ro-RO" w:eastAsia="ro-RO" w:bidi="ro-RO"/>
    </w:rPr>
    <w:tblPr>
      <w:tblStyleRowBandSize w:val="1"/>
      <w:tblStyleColBandSize w:val="1"/>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Lined-Accent2">
    <w:name w:val="Lined - Accent 2"/>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ro-RO" w:eastAsia="ro-RO" w:bidi="ro-RO"/>
    </w:rPr>
    <w:tblPr>
      <w:tblStyleRowBandSize w:val="1"/>
      <w:tblStyleColBandSize w:val="1"/>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Lined-Accent3">
    <w:name w:val="Lined - Accent 3"/>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ro-RO" w:eastAsia="ro-RO" w:bidi="ro-RO"/>
    </w:rPr>
    <w:tblPr>
      <w:tblStyleRowBandSize w:val="1"/>
      <w:tblStyleColBandSize w:val="1"/>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Lined-Accent4">
    <w:name w:val="Lined - Accent 4"/>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ro-RO" w:eastAsia="ro-RO" w:bidi="ro-RO"/>
    </w:rPr>
    <w:tblPr>
      <w:tblStyleRowBandSize w:val="1"/>
      <w:tblStyleColBandSize w:val="1"/>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ro-RO" w:eastAsia="ro-RO" w:bidi="ro-RO"/>
    </w:rPr>
    <w:tblPr>
      <w:tblStyleRowBandSize w:val="1"/>
      <w:tblStyleColBandSize w:val="1"/>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ro-RO" w:eastAsia="ro-RO" w:bidi="ro-RO"/>
    </w:rPr>
    <w:tblPr>
      <w:tblStyleRowBandSize w:val="1"/>
      <w:tblStyleColBandSize w:val="1"/>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Lined-Accent">
    <w:name w:val="Bordered &amp; Lined - Accent"/>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ro-RO" w:eastAsia="ro-RO" w:bidi="ro-RO"/>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ro-RO" w:eastAsia="ro-RO" w:bidi="ro-RO"/>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BorderedLined-Accent2">
    <w:name w:val="Bordered &amp; Lined - Accent 2"/>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ro-RO" w:eastAsia="ro-RO" w:bidi="ro-RO"/>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BorderedLined-Accent3">
    <w:name w:val="Bordered &amp; Lined - Accent 3"/>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ro-RO" w:eastAsia="ro-RO" w:bidi="ro-RO"/>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BorderedLined-Accent4">
    <w:name w:val="Bordered &amp; Lined - Accent 4"/>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ro-RO" w:eastAsia="ro-RO" w:bidi="ro-RO"/>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ro-RO" w:eastAsia="ro-RO" w:bidi="ro-RO"/>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color w:val="404040"/>
      <w:sz w:val="20"/>
      <w:szCs w:val="20"/>
      <w:lang w:val="ro-RO" w:eastAsia="ro-RO" w:bidi="ro-RO"/>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
    <w:name w:val="Bordered"/>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114">
    <w:name w:val="Table 114"/>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pPr>
    <w:rPr>
      <w:rFonts w:ascii="Trebuchet MS" w:eastAsia="Calibri" w:hAnsi="Trebuchet MS" w:cs="Calibri"/>
      <w:sz w:val="16"/>
      <w:szCs w:val="20"/>
      <w:lang w:val="ro-RO" w:eastAsia="ro-RO" w:bidi="ro-RO"/>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jc w:val="left"/>
        <w:outlineLvl w:val="9"/>
      </w:pPr>
    </w:tblStylePr>
  </w:style>
  <w:style w:type="table" w:customStyle="1" w:styleId="TableGrid13">
    <w:name w:val="Table Grid13"/>
    <w:basedOn w:val="TableNormal"/>
    <w:next w:val="TableGrid"/>
    <w:rsid w:val="00647D0C"/>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pPr>
    <w:rPr>
      <w:rFonts w:ascii="Times New Roman" w:eastAsia="Times New Roman" w:hAnsi="Times New Roman" w:cs="Times New Roman"/>
      <w:sz w:val="20"/>
      <w:szCs w:val="20"/>
      <w:lang w:val="ro-RO" w:eastAsia="ro-RO" w:bidi="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
    <w:name w:val="No List11111"/>
    <w:next w:val="NoList"/>
    <w:uiPriority w:val="99"/>
    <w:semiHidden/>
    <w:unhideWhenUsed/>
    <w:rsid w:val="00647D0C"/>
  </w:style>
  <w:style w:type="table" w:customStyle="1" w:styleId="TableGrid21">
    <w:name w:val="Table Grid21"/>
    <w:basedOn w:val="TableNormal"/>
    <w:next w:val="TableGrid"/>
    <w:rsid w:val="00647D0C"/>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pPr>
    <w:rPr>
      <w:rFonts w:ascii="Times New Roman" w:eastAsia="Times New Roman" w:hAnsi="Times New Roman" w:cs="Times New Roman"/>
      <w:sz w:val="20"/>
      <w:szCs w:val="20"/>
      <w:lang w:val="ro-RO" w:eastAsia="ro-RO" w:bidi="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1111">
    <w:name w:val="Table 111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pPr>
    <w:rPr>
      <w:rFonts w:ascii="Trebuchet MS" w:eastAsia="Calibri" w:hAnsi="Trebuchet MS" w:cs="Calibri"/>
      <w:sz w:val="16"/>
      <w:szCs w:val="20"/>
      <w:lang w:val="ro-RO" w:eastAsia="ro-RO" w:bidi="ro-RO"/>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jc w:val="left"/>
        <w:outlineLvl w:val="9"/>
      </w:pPr>
    </w:tblStylePr>
  </w:style>
  <w:style w:type="table" w:customStyle="1" w:styleId="TableGrid111">
    <w:name w:val="Table Grid111"/>
    <w:basedOn w:val="TableNormal"/>
    <w:next w:val="TableGrid"/>
    <w:rsid w:val="00647D0C"/>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pPr>
    <w:rPr>
      <w:rFonts w:ascii="Times New Roman" w:eastAsia="Times New Roman" w:hAnsi="Times New Roman" w:cs="Times New Roman"/>
      <w:sz w:val="20"/>
      <w:szCs w:val="20"/>
      <w:lang w:val="ro-RO" w:eastAsia="ro-RO" w:bidi="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8Char2">
    <w:name w:val="Heading 8 Char2"/>
    <w:basedOn w:val="DefaultParagraphFont"/>
    <w:uiPriority w:val="9"/>
    <w:rsid w:val="00647D0C"/>
    <w:rPr>
      <w:rFonts w:ascii="Cambria" w:eastAsia="Cambria" w:hAnsi="Cambria" w:cs="Cambria"/>
      <w:color w:val="272727"/>
      <w:sz w:val="21"/>
      <w:szCs w:val="21"/>
      <w:lang w:val="ro-RO" w:eastAsia="ro-RO" w:bidi="ro-RO"/>
    </w:rPr>
  </w:style>
  <w:style w:type="numbering" w:customStyle="1" w:styleId="NoList211">
    <w:name w:val="No List211"/>
    <w:next w:val="NoList"/>
    <w:uiPriority w:val="99"/>
    <w:semiHidden/>
    <w:unhideWhenUsed/>
    <w:rsid w:val="00647D0C"/>
  </w:style>
  <w:style w:type="character" w:customStyle="1" w:styleId="TitleChar2">
    <w:name w:val="Title Char2"/>
    <w:basedOn w:val="DefaultParagraphFont"/>
    <w:uiPriority w:val="10"/>
    <w:rsid w:val="00647D0C"/>
    <w:rPr>
      <w:rFonts w:ascii="Cambria" w:eastAsia="Cambria" w:hAnsi="Cambria" w:cs="Cambria"/>
      <w:spacing w:val="-10"/>
      <w:sz w:val="28"/>
      <w:szCs w:val="28"/>
      <w:lang w:val="ro-RO" w:eastAsia="ro-RO" w:bidi="ro-RO"/>
    </w:rPr>
  </w:style>
  <w:style w:type="character" w:customStyle="1" w:styleId="HeaderChar2">
    <w:name w:val="Header Char2"/>
    <w:basedOn w:val="DefaultParagraphFont"/>
    <w:uiPriority w:val="99"/>
    <w:rsid w:val="00647D0C"/>
    <w:rPr>
      <w:rFonts w:ascii="Times New Roman" w:hAnsi="Times New Roman" w:cs="Times New Roman"/>
      <w:sz w:val="24"/>
      <w:lang w:val="ro-RO" w:eastAsia="ro-RO" w:bidi="ro-RO"/>
    </w:rPr>
  </w:style>
  <w:style w:type="character" w:customStyle="1" w:styleId="FooterChar2">
    <w:name w:val="Footer Char2"/>
    <w:basedOn w:val="DefaultParagraphFont"/>
    <w:uiPriority w:val="99"/>
    <w:rsid w:val="00647D0C"/>
    <w:rPr>
      <w:rFonts w:ascii="Times New Roman" w:hAnsi="Times New Roman" w:cs="Times New Roman"/>
      <w:sz w:val="24"/>
      <w:lang w:val="ro-RO" w:eastAsia="ro-RO" w:bidi="ro-RO"/>
    </w:rPr>
  </w:style>
  <w:style w:type="character" w:customStyle="1" w:styleId="FootnoteTextChar2">
    <w:name w:val="Footnote Text Char2"/>
    <w:basedOn w:val="DefaultParagraphFont"/>
    <w:uiPriority w:val="99"/>
    <w:rsid w:val="00647D0C"/>
    <w:rPr>
      <w:rFonts w:ascii="Times New Roman" w:hAnsi="Times New Roman" w:cs="Times New Roman"/>
      <w:sz w:val="20"/>
      <w:szCs w:val="20"/>
      <w:shd w:val="clear" w:color="auto" w:fill="auto"/>
      <w:lang w:val="ro-RO" w:eastAsia="ro-RO" w:bidi="ro-RO"/>
    </w:rPr>
  </w:style>
  <w:style w:type="character" w:customStyle="1" w:styleId="Heading1Char2">
    <w:name w:val="Heading 1 Char2"/>
    <w:basedOn w:val="DefaultParagraphFont"/>
    <w:rsid w:val="00647D0C"/>
    <w:rPr>
      <w:rFonts w:ascii="Times New Roman" w:eastAsia="Cambria" w:hAnsi="Times New Roman" w:cs="Times New Roman"/>
      <w:b/>
      <w:bCs/>
      <w:smallCaps/>
      <w:sz w:val="28"/>
      <w:szCs w:val="28"/>
      <w:lang w:val="ro-RO" w:eastAsia="ro-RO" w:bidi="ro-RO"/>
    </w:rPr>
  </w:style>
  <w:style w:type="character" w:customStyle="1" w:styleId="Heading2Char2">
    <w:name w:val="Heading 2 Char2"/>
    <w:basedOn w:val="DefaultParagraphFont"/>
    <w:uiPriority w:val="9"/>
    <w:semiHidden/>
    <w:rsid w:val="00647D0C"/>
    <w:rPr>
      <w:rFonts w:ascii="Times New Roman" w:eastAsia="Cambria" w:hAnsi="Times New Roman" w:cs="Times New Roman"/>
      <w:b/>
      <w:bCs/>
      <w:sz w:val="26"/>
      <w:szCs w:val="26"/>
      <w:lang w:val="ro-RO" w:eastAsia="ro-RO" w:bidi="ro-RO"/>
    </w:rPr>
  </w:style>
  <w:style w:type="character" w:customStyle="1" w:styleId="Heading3Char2">
    <w:name w:val="Heading 3 Char2"/>
    <w:basedOn w:val="DefaultParagraphFont"/>
    <w:uiPriority w:val="9"/>
    <w:semiHidden/>
    <w:rsid w:val="00647D0C"/>
    <w:rPr>
      <w:rFonts w:ascii="Times New Roman" w:eastAsia="Cambria" w:hAnsi="Times New Roman" w:cs="Times New Roman"/>
      <w:bCs/>
      <w:i/>
      <w:sz w:val="24"/>
      <w:lang w:val="ro-RO" w:eastAsia="ro-RO" w:bidi="ro-RO"/>
    </w:rPr>
  </w:style>
  <w:style w:type="character" w:customStyle="1" w:styleId="Heading4Char2">
    <w:name w:val="Heading 4 Char2"/>
    <w:basedOn w:val="DefaultParagraphFont"/>
    <w:uiPriority w:val="9"/>
    <w:semiHidden/>
    <w:rsid w:val="00647D0C"/>
    <w:rPr>
      <w:rFonts w:ascii="Times New Roman" w:eastAsia="Cambria" w:hAnsi="Times New Roman" w:cs="Times New Roman"/>
      <w:bCs/>
      <w:iCs/>
      <w:sz w:val="24"/>
      <w:lang w:val="ro-RO" w:eastAsia="ro-RO" w:bidi="ro-RO"/>
    </w:rPr>
  </w:style>
  <w:style w:type="character" w:customStyle="1" w:styleId="Heading5Char2">
    <w:name w:val="Heading 5 Char2"/>
    <w:basedOn w:val="DefaultParagraphFont"/>
    <w:semiHidden/>
    <w:rsid w:val="00647D0C"/>
    <w:rPr>
      <w:rFonts w:ascii="Times New Roman" w:eastAsia="Cambria" w:hAnsi="Times New Roman" w:cs="Times New Roman"/>
      <w:sz w:val="24"/>
      <w:lang w:val="ro-RO" w:eastAsia="ro-RO" w:bidi="ro-RO"/>
    </w:rPr>
  </w:style>
  <w:style w:type="character" w:customStyle="1" w:styleId="Heading6Char2">
    <w:name w:val="Heading 6 Char2"/>
    <w:basedOn w:val="DefaultParagraphFont"/>
    <w:semiHidden/>
    <w:rsid w:val="00647D0C"/>
    <w:rPr>
      <w:rFonts w:ascii="Times New Roman" w:eastAsia="Cambria" w:hAnsi="Times New Roman" w:cs="Times New Roman"/>
      <w:iCs/>
      <w:sz w:val="24"/>
      <w:lang w:val="ro-RO" w:eastAsia="ro-RO" w:bidi="ro-RO"/>
    </w:rPr>
  </w:style>
  <w:style w:type="character" w:customStyle="1" w:styleId="Heading7Char2">
    <w:name w:val="Heading 7 Char2"/>
    <w:basedOn w:val="DefaultParagraphFont"/>
    <w:semiHidden/>
    <w:rsid w:val="00647D0C"/>
    <w:rPr>
      <w:rFonts w:ascii="Times New Roman" w:eastAsia="Cambria" w:hAnsi="Times New Roman" w:cs="Times New Roman"/>
      <w:iCs/>
      <w:sz w:val="24"/>
      <w:lang w:val="ro-RO" w:eastAsia="ro-RO" w:bidi="ro-RO"/>
    </w:rPr>
  </w:style>
  <w:style w:type="character" w:customStyle="1" w:styleId="Heading9Char2">
    <w:name w:val="Heading 9 Char2"/>
    <w:basedOn w:val="DefaultParagraphFont"/>
    <w:uiPriority w:val="9"/>
    <w:rsid w:val="00647D0C"/>
    <w:rPr>
      <w:rFonts w:ascii="Arial" w:eastAsia="Times New Roman" w:hAnsi="Arial" w:cs="Arial"/>
      <w:i/>
      <w:iCs/>
      <w:sz w:val="18"/>
      <w:szCs w:val="18"/>
      <w:lang w:val="ro-RO" w:eastAsia="ro-RO" w:bidi="ro-RO"/>
    </w:rPr>
  </w:style>
  <w:style w:type="table" w:customStyle="1" w:styleId="PlainTable111">
    <w:name w:val="Plain Table 111"/>
    <w:basedOn w:val="TableNormal"/>
    <w:next w:val="PlainTable1"/>
    <w:uiPriority w:val="41"/>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2">
    <w:name w:val="Table Grid Light2"/>
    <w:basedOn w:val="TableNormal"/>
    <w:next w:val="TableGridLight"/>
    <w:uiPriority w:val="40"/>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1">
    <w:name w:val="Plain Table 511"/>
    <w:basedOn w:val="TableNormal"/>
    <w:next w:val="PlainTable5"/>
    <w:uiPriority w:val="45"/>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Calibri"/>
      <w:lang w:val="ro-RO" w:eastAsia="ro-RO" w:bidi="ro-RO"/>
    </w:rPr>
    <w:tblPr>
      <w:tblStyleRowBandSize w:val="1"/>
      <w:tblStyleColBandSize w:val="1"/>
    </w:tblPr>
    <w:tblStylePr w:type="firstRow">
      <w:rPr>
        <w:rFonts w:ascii="Cambria" w:eastAsia="Cambria" w:hAnsi="Cambria" w:cs="Cambria"/>
        <w:i/>
        <w:iCs/>
        <w:sz w:val="26"/>
      </w:rPr>
      <w:tblPr/>
      <w:tcPr>
        <w:tcBorders>
          <w:bottom w:val="single" w:sz="4" w:space="0" w:color="7F7F7F"/>
        </w:tcBorders>
        <w:shd w:val="clear" w:color="auto" w:fill="FFFFFF"/>
      </w:tcPr>
    </w:tblStylePr>
    <w:tblStylePr w:type="lastRow">
      <w:rPr>
        <w:rFonts w:ascii="Cambria" w:eastAsia="Cambria" w:hAnsi="Cambria" w:cs="Cambria"/>
        <w:i/>
        <w:iCs/>
        <w:sz w:val="26"/>
      </w:rPr>
      <w:tblPr/>
      <w:tcPr>
        <w:tcBorders>
          <w:top w:val="single" w:sz="4" w:space="0" w:color="7F7F7F"/>
        </w:tcBorders>
        <w:shd w:val="clear" w:color="auto" w:fill="FFFFFF"/>
      </w:tcPr>
    </w:tblStylePr>
    <w:tblStylePr w:type="firstCol">
      <w:pPr>
        <w:jc w:val="right"/>
      </w:pPr>
      <w:rPr>
        <w:rFonts w:ascii="Cambria" w:eastAsia="Cambria" w:hAnsi="Cambria" w:cs="Cambria"/>
        <w:i/>
        <w:iCs/>
        <w:sz w:val="26"/>
      </w:rPr>
      <w:tblPr/>
      <w:tcPr>
        <w:tcBorders>
          <w:right w:val="single" w:sz="4" w:space="0" w:color="7F7F7F"/>
        </w:tcBorders>
        <w:shd w:val="clear" w:color="auto" w:fill="FFFFFF"/>
      </w:tcPr>
    </w:tblStylePr>
    <w:tblStylePr w:type="lastCol">
      <w:rPr>
        <w:rFonts w:ascii="Cambria" w:eastAsia="Cambria" w:hAnsi="Cambria" w:cs="Cambria"/>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table" w:customStyle="1" w:styleId="TableGrid31">
    <w:name w:val="Table Grid31"/>
    <w:basedOn w:val="TableNormal"/>
    <w:next w:val="TableGrid"/>
    <w:rsid w:val="00647D0C"/>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pPr>
    <w:rPr>
      <w:rFonts w:ascii="Times New Roman" w:eastAsia="Times New Roman" w:hAnsi="Times New Roman" w:cs="Times New Roman"/>
      <w:sz w:val="20"/>
      <w:szCs w:val="20"/>
      <w:lang w:val="ro-RO" w:eastAsia="ro-RO" w:bidi="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1121">
    <w:name w:val="Table 112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pPr>
    <w:rPr>
      <w:rFonts w:ascii="Trebuchet MS" w:eastAsia="Calibri" w:hAnsi="Trebuchet MS" w:cs="Calibri"/>
      <w:sz w:val="16"/>
      <w:szCs w:val="20"/>
      <w:lang w:val="ro-RO" w:eastAsia="ro-RO" w:bidi="ro-RO"/>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jc w:val="left"/>
        <w:outlineLvl w:val="9"/>
      </w:pPr>
    </w:tblStylePr>
  </w:style>
  <w:style w:type="table" w:customStyle="1" w:styleId="TableGrid41">
    <w:name w:val="Table Grid41"/>
    <w:basedOn w:val="TableNormal"/>
    <w:next w:val="TableGrid"/>
    <w:rsid w:val="00647D0C"/>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pPr>
    <w:rPr>
      <w:rFonts w:ascii="Times New Roman" w:eastAsia="Times New Roman" w:hAnsi="Times New Roman" w:cs="Times New Roman"/>
      <w:sz w:val="20"/>
      <w:szCs w:val="20"/>
      <w:lang w:val="ro-RO" w:eastAsia="ro-RO" w:bidi="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1131">
    <w:name w:val="Table 1131"/>
    <w:basedOn w:val="TableNormal"/>
    <w:uiPriority w:val="99"/>
    <w:rsid w:val="00647D0C"/>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pPr>
    <w:rPr>
      <w:rFonts w:ascii="Trebuchet MS" w:eastAsia="Calibri" w:hAnsi="Trebuchet MS" w:cs="Calibri"/>
      <w:sz w:val="16"/>
      <w:szCs w:val="20"/>
      <w:lang w:val="ro-RO" w:eastAsia="ro-RO" w:bidi="ro-RO"/>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jc w:val="left"/>
        <w:outlineLvl w:val="9"/>
      </w:pPr>
    </w:tblStylePr>
  </w:style>
  <w:style w:type="table" w:customStyle="1" w:styleId="TableGrid121">
    <w:name w:val="Table Grid121"/>
    <w:basedOn w:val="TableNormal"/>
    <w:next w:val="TableGrid"/>
    <w:rsid w:val="00647D0C"/>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jc w:val="both"/>
    </w:pPr>
    <w:rPr>
      <w:rFonts w:ascii="Times New Roman" w:eastAsia="Times New Roman" w:hAnsi="Times New Roman" w:cs="Times New Roman"/>
      <w:sz w:val="20"/>
      <w:szCs w:val="20"/>
      <w:lang w:val="ro-RO" w:eastAsia="ro-RO" w:bidi="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ndnoteTextChar2">
    <w:name w:val="Endnote Text Char2"/>
    <w:basedOn w:val="DefaultParagraphFont"/>
    <w:uiPriority w:val="99"/>
    <w:semiHidden/>
    <w:rsid w:val="00647D0C"/>
    <w:rPr>
      <w:rFonts w:ascii="Times New Roman" w:eastAsia="Times New Roman" w:hAnsi="Times New Roman" w:cs="Times New Roman"/>
      <w:sz w:val="24"/>
      <w:szCs w:val="24"/>
      <w:lang w:val="ro-RO" w:eastAsia="ro-RO" w:bidi="ro-RO"/>
    </w:rPr>
  </w:style>
  <w:style w:type="character" w:customStyle="1" w:styleId="SubtitleChar2">
    <w:name w:val="Subtitle Char2"/>
    <w:basedOn w:val="DefaultParagraphFont"/>
    <w:uiPriority w:val="11"/>
    <w:rsid w:val="00647D0C"/>
    <w:rPr>
      <w:rFonts w:ascii="Arial" w:eastAsia="Times New Roman" w:hAnsi="Arial" w:cs="Arial"/>
      <w:sz w:val="24"/>
      <w:szCs w:val="24"/>
      <w:lang w:val="ro-RO" w:eastAsia="ro-RO" w:bidi="ro-RO"/>
    </w:rPr>
  </w:style>
  <w:style w:type="character" w:customStyle="1" w:styleId="FootnoteTextChar1">
    <w:name w:val="Footnote Text Char1"/>
    <w:basedOn w:val="DefaultParagraphFont"/>
    <w:uiPriority w:val="99"/>
    <w:rsid w:val="00647D0C"/>
    <w:rPr>
      <w:rFonts w:ascii="Times New Roman" w:hAnsi="Times New Roman" w:cs="Times New Roman"/>
      <w:sz w:val="20"/>
      <w:szCs w:val="20"/>
      <w:shd w:val="clear" w:color="auto" w:fill="auto"/>
      <w:lang w:val="ro-RO" w:eastAsia="ro-RO" w:bidi="ro-RO"/>
    </w:rPr>
  </w:style>
  <w:style w:type="character" w:customStyle="1" w:styleId="UnresolvedMention4">
    <w:name w:val="Unresolved Mention4"/>
    <w:basedOn w:val="DefaultParagraphFont"/>
    <w:uiPriority w:val="99"/>
    <w:semiHidden/>
    <w:unhideWhenUsed/>
    <w:rsid w:val="00647D0C"/>
    <w:rPr>
      <w:color w:val="605E5C"/>
      <w:shd w:val="clear" w:color="auto" w:fill="E1DFDD"/>
    </w:rPr>
  </w:style>
  <w:style w:type="table" w:customStyle="1" w:styleId="PlainTable22">
    <w:name w:val="Plain Table 22"/>
    <w:basedOn w:val="TableNormal"/>
    <w:next w:val="PlainTable2"/>
    <w:uiPriority w:val="42"/>
    <w:rsid w:val="00647D0C"/>
    <w:pPr>
      <w:spacing w:after="0" w:line="240" w:lineRule="auto"/>
    </w:pPr>
    <w:rPr>
      <w:lang w:val="ro-RO" w:eastAsia="ro-RO" w:bidi="ro-RO"/>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2">
    <w:name w:val="Plain Table 32"/>
    <w:basedOn w:val="TableNormal"/>
    <w:next w:val="PlainTable3"/>
    <w:uiPriority w:val="43"/>
    <w:rsid w:val="00647D0C"/>
    <w:pPr>
      <w:spacing w:after="0" w:line="240" w:lineRule="auto"/>
    </w:pPr>
    <w:rPr>
      <w:lang w:val="ro-RO" w:eastAsia="ro-RO" w:bidi="ro-RO"/>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next w:val="PlainTable4"/>
    <w:uiPriority w:val="44"/>
    <w:rsid w:val="00647D0C"/>
    <w:pPr>
      <w:spacing w:after="0" w:line="240" w:lineRule="auto"/>
    </w:pPr>
    <w:rPr>
      <w:lang w:val="ro-RO" w:eastAsia="ro-RO" w:bidi="ro-R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2">
    <w:name w:val="Grid Table 1 Light2"/>
    <w:basedOn w:val="TableNormal"/>
    <w:next w:val="GridTable1Light"/>
    <w:uiPriority w:val="46"/>
    <w:rsid w:val="00647D0C"/>
    <w:pPr>
      <w:spacing w:after="0" w:line="240" w:lineRule="auto"/>
    </w:pPr>
    <w:rPr>
      <w:lang w:val="ro-RO" w:eastAsia="ro-RO" w:bidi="ro-R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22">
    <w:name w:val="Grid Table 22"/>
    <w:basedOn w:val="TableNormal"/>
    <w:next w:val="GridTable2"/>
    <w:uiPriority w:val="47"/>
    <w:rsid w:val="00647D0C"/>
    <w:pPr>
      <w:spacing w:after="0" w:line="240" w:lineRule="auto"/>
    </w:pPr>
    <w:rPr>
      <w:lang w:val="ro-RO" w:eastAsia="ro-RO" w:bidi="ro-RO"/>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32">
    <w:name w:val="Grid Table 32"/>
    <w:basedOn w:val="TableNormal"/>
    <w:next w:val="GridTable3"/>
    <w:uiPriority w:val="48"/>
    <w:rsid w:val="00647D0C"/>
    <w:pPr>
      <w:spacing w:after="0" w:line="240" w:lineRule="auto"/>
    </w:pPr>
    <w:rPr>
      <w:lang w:val="ro-RO" w:eastAsia="ro-RO" w:bidi="ro-RO"/>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42">
    <w:name w:val="Grid Table 42"/>
    <w:basedOn w:val="TableNormal"/>
    <w:next w:val="GridTable4"/>
    <w:uiPriority w:val="49"/>
    <w:rsid w:val="00647D0C"/>
    <w:pPr>
      <w:spacing w:after="0" w:line="240" w:lineRule="auto"/>
    </w:pPr>
    <w:rPr>
      <w:lang w:val="ro-RO" w:eastAsia="ro-RO" w:bidi="ro-RO"/>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2">
    <w:name w:val="Grid Table 5 Dark2"/>
    <w:basedOn w:val="TableNormal"/>
    <w:next w:val="GridTable5Dark"/>
    <w:uiPriority w:val="50"/>
    <w:rsid w:val="00647D0C"/>
    <w:pPr>
      <w:spacing w:after="0" w:line="240" w:lineRule="auto"/>
    </w:pPr>
    <w:rPr>
      <w:lang w:val="ro-RO" w:eastAsia="ro-RO" w:bidi="ro-R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6Colorful2">
    <w:name w:val="Grid Table 6 Colorful2"/>
    <w:basedOn w:val="TableNormal"/>
    <w:next w:val="GridTable6Colorful"/>
    <w:uiPriority w:val="51"/>
    <w:rsid w:val="00647D0C"/>
    <w:pPr>
      <w:spacing w:after="0" w:line="240" w:lineRule="auto"/>
    </w:pPr>
    <w:rPr>
      <w:color w:val="000000"/>
      <w:lang w:val="ro-RO" w:eastAsia="ro-RO" w:bidi="ro-RO"/>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7Colorful2">
    <w:name w:val="Grid Table 7 Colorful2"/>
    <w:basedOn w:val="TableNormal"/>
    <w:next w:val="GridTable7Colorful"/>
    <w:uiPriority w:val="52"/>
    <w:rsid w:val="00647D0C"/>
    <w:pPr>
      <w:spacing w:after="0" w:line="240" w:lineRule="auto"/>
    </w:pPr>
    <w:rPr>
      <w:color w:val="000000"/>
      <w:lang w:val="ro-RO" w:eastAsia="ro-RO" w:bidi="ro-RO"/>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ListTable1Light2">
    <w:name w:val="List Table 1 Light2"/>
    <w:basedOn w:val="TableNormal"/>
    <w:next w:val="ListTable1Light"/>
    <w:uiPriority w:val="46"/>
    <w:rsid w:val="00647D0C"/>
    <w:pPr>
      <w:spacing w:after="0" w:line="240" w:lineRule="auto"/>
    </w:pPr>
    <w:rPr>
      <w:lang w:val="ro-RO" w:eastAsia="ro-RO" w:bidi="ro-RO"/>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2">
    <w:name w:val="List Table 22"/>
    <w:basedOn w:val="TableNormal"/>
    <w:next w:val="ListTable2"/>
    <w:uiPriority w:val="47"/>
    <w:rsid w:val="00647D0C"/>
    <w:pPr>
      <w:spacing w:after="0" w:line="240" w:lineRule="auto"/>
    </w:pPr>
    <w:rPr>
      <w:lang w:val="ro-RO" w:eastAsia="ro-RO" w:bidi="ro-RO"/>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32">
    <w:name w:val="List Table 32"/>
    <w:basedOn w:val="TableNormal"/>
    <w:next w:val="ListTable3"/>
    <w:uiPriority w:val="48"/>
    <w:rsid w:val="00647D0C"/>
    <w:pPr>
      <w:spacing w:after="0" w:line="240" w:lineRule="auto"/>
    </w:pPr>
    <w:rPr>
      <w:lang w:val="ro-RO" w:eastAsia="ro-RO" w:bidi="ro-RO"/>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42">
    <w:name w:val="List Table 42"/>
    <w:basedOn w:val="TableNormal"/>
    <w:next w:val="ListTable4"/>
    <w:uiPriority w:val="49"/>
    <w:rsid w:val="00647D0C"/>
    <w:pPr>
      <w:spacing w:after="0" w:line="240" w:lineRule="auto"/>
    </w:pPr>
    <w:rPr>
      <w:lang w:val="ro-RO" w:eastAsia="ro-RO" w:bidi="ro-RO"/>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5Dark2">
    <w:name w:val="List Table 5 Dark2"/>
    <w:basedOn w:val="TableNormal"/>
    <w:next w:val="ListTable5Dark"/>
    <w:uiPriority w:val="50"/>
    <w:rsid w:val="00647D0C"/>
    <w:pPr>
      <w:spacing w:after="0" w:line="240" w:lineRule="auto"/>
    </w:pPr>
    <w:rPr>
      <w:color w:val="FFFFFF"/>
      <w:lang w:val="ro-RO" w:eastAsia="ro-RO" w:bidi="ro-RO"/>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2">
    <w:name w:val="List Table 6 Colorful2"/>
    <w:basedOn w:val="TableNormal"/>
    <w:next w:val="ListTable6Colorful"/>
    <w:uiPriority w:val="51"/>
    <w:rsid w:val="00647D0C"/>
    <w:pPr>
      <w:spacing w:after="0" w:line="240" w:lineRule="auto"/>
    </w:pPr>
    <w:rPr>
      <w:color w:val="000000"/>
      <w:lang w:val="ro-RO" w:eastAsia="ro-RO" w:bidi="ro-RO"/>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7Colorful2">
    <w:name w:val="List Table 7 Colorful2"/>
    <w:basedOn w:val="TableNormal"/>
    <w:next w:val="ListTable7Colorful"/>
    <w:uiPriority w:val="52"/>
    <w:rsid w:val="00647D0C"/>
    <w:pPr>
      <w:spacing w:after="0" w:line="240" w:lineRule="auto"/>
    </w:pPr>
    <w:rPr>
      <w:color w:val="000000"/>
      <w:lang w:val="ro-RO" w:eastAsia="ro-RO" w:bidi="ro-RO"/>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ormale">
    <w:name w:val="Normale"/>
    <w:rsid w:val="00647D0C"/>
    <w:pPr>
      <w:widowControl w:val="0"/>
      <w:spacing w:before="120" w:after="120" w:line="360" w:lineRule="auto"/>
    </w:pPr>
    <w:rPr>
      <w:rFonts w:ascii="Times New Roman" w:eastAsia="Times New Roman" w:hAnsi="Times New Roman" w:cs="Times New Roman"/>
      <w:sz w:val="24"/>
      <w:szCs w:val="20"/>
      <w:lang w:val="ro-RO" w:eastAsia="ro-RO" w:bidi="ro-RO"/>
    </w:rPr>
  </w:style>
  <w:style w:type="paragraph" w:customStyle="1" w:styleId="SignaturePersonne">
    <w:name w:val="Signature Personne"/>
    <w:basedOn w:val="Normal"/>
    <w:rsid w:val="00647D0C"/>
    <w:pPr>
      <w:tabs>
        <w:tab w:val="left" w:pos="4252"/>
      </w:tabs>
      <w:spacing w:before="0" w:after="0"/>
    </w:pPr>
    <w:rPr>
      <w:rFonts w:eastAsia="Times New Roman"/>
      <w:i/>
      <w:szCs w:val="24"/>
      <w:lang w:eastAsia="ro-RO" w:bidi="ro-RO"/>
    </w:rPr>
  </w:style>
  <w:style w:type="paragraph" w:customStyle="1" w:styleId="FootnoteTextForceStyle">
    <w:name w:val="Footnote Text ForceStyle"/>
    <w:rsid w:val="00647D0C"/>
    <w:pPr>
      <w:keepLines/>
      <w:widowControl w:val="0"/>
      <w:spacing w:after="0" w:line="240" w:lineRule="auto"/>
      <w:ind w:left="850" w:hanging="850"/>
    </w:pPr>
    <w:rPr>
      <w:rFonts w:ascii="Times New Roman" w:eastAsia="Times New Roman" w:hAnsi="Times New Roman" w:cs="Times New Roman"/>
      <w:sz w:val="24"/>
      <w:szCs w:val="20"/>
      <w:lang w:val="ro-RO" w:eastAsia="ro-RO" w:bidi="ro-RO"/>
    </w:rPr>
  </w:style>
  <w:style w:type="character" w:customStyle="1" w:styleId="Footer2">
    <w:name w:val="Footer2"/>
    <w:rsid w:val="00647D0C"/>
    <w:rPr>
      <w:rFonts w:ascii="Arial" w:hAnsi="Arial"/>
      <w:b/>
      <w:sz w:val="48"/>
    </w:rPr>
  </w:style>
  <w:style w:type="paragraph" w:customStyle="1" w:styleId="Footer1">
    <w:name w:val="Footer1"/>
    <w:basedOn w:val="Normal"/>
    <w:rsid w:val="00647D0C"/>
    <w:pPr>
      <w:tabs>
        <w:tab w:val="center" w:pos="4150"/>
        <w:tab w:val="right" w:pos="8306"/>
        <w:tab w:val="right" w:pos="9638"/>
      </w:tabs>
      <w:spacing w:before="0" w:after="0"/>
    </w:pPr>
    <w:rPr>
      <w:rFonts w:eastAsia="Times New Roman"/>
      <w:szCs w:val="24"/>
      <w:lang w:eastAsia="ro-RO" w:bidi="ro-RO"/>
    </w:rPr>
  </w:style>
  <w:style w:type="paragraph" w:customStyle="1" w:styleId="SignatureInstitution">
    <w:name w:val="Signature Institution"/>
    <w:basedOn w:val="Normal"/>
    <w:rsid w:val="00647D0C"/>
    <w:pPr>
      <w:keepNext/>
      <w:tabs>
        <w:tab w:val="left" w:pos="4252"/>
      </w:tabs>
      <w:spacing w:before="720" w:after="100"/>
      <w:jc w:val="both"/>
    </w:pPr>
    <w:rPr>
      <w:rFonts w:eastAsia="Times New Roman"/>
      <w:i/>
      <w:szCs w:val="24"/>
      <w:lang w:eastAsia="ro-RO" w:bidi="ro-RO"/>
    </w:rPr>
  </w:style>
  <w:style w:type="character" w:customStyle="1" w:styleId="CMissingStyle">
    <w:name w:val="C_MissingStyle"/>
    <w:rsid w:val="00647D0C"/>
    <w:rPr>
      <w:color w:val="FFFFFF"/>
      <w:sz w:val="22"/>
      <w:shd w:val="clear" w:color="000000" w:fill="000000"/>
    </w:rPr>
  </w:style>
  <w:style w:type="paragraph" w:customStyle="1" w:styleId="PMissingStyle">
    <w:name w:val="P_MissingStyle"/>
    <w:basedOn w:val="Normal"/>
    <w:rsid w:val="00647D0C"/>
    <w:pPr>
      <w:widowControl w:val="0"/>
    </w:pPr>
    <w:rPr>
      <w:rFonts w:eastAsia="Times New Roman"/>
      <w:color w:val="FFFFFF"/>
      <w:szCs w:val="24"/>
      <w:shd w:val="clear" w:color="000000" w:fill="000000"/>
      <w:lang w:eastAsia="ro-RO" w:bidi="ro-RO"/>
    </w:rPr>
  </w:style>
  <w:style w:type="paragraph" w:customStyle="1" w:styleId="Heading11">
    <w:name w:val="Heading 11"/>
    <w:basedOn w:val="Normal"/>
    <w:next w:val="Text1"/>
    <w:uiPriority w:val="9"/>
    <w:qFormat/>
    <w:rsid w:val="00647D0C"/>
    <w:pPr>
      <w:keepNext/>
      <w:tabs>
        <w:tab w:val="num" w:pos="850"/>
      </w:tabs>
      <w:spacing w:before="360" w:line="240" w:lineRule="auto"/>
      <w:ind w:left="850" w:hanging="850"/>
      <w:jc w:val="both"/>
      <w:outlineLvl w:val="0"/>
    </w:pPr>
    <w:rPr>
      <w:rFonts w:eastAsia="Times New Roman"/>
      <w:b/>
      <w:smallCaps/>
      <w:szCs w:val="20"/>
      <w:lang w:eastAsia="ro-RO" w:bidi="ro-RO"/>
    </w:rPr>
  </w:style>
  <w:style w:type="paragraph" w:customStyle="1" w:styleId="Heading21">
    <w:name w:val="Heading 21"/>
    <w:basedOn w:val="Normal"/>
    <w:next w:val="Text1"/>
    <w:uiPriority w:val="9"/>
    <w:semiHidden/>
    <w:unhideWhenUsed/>
    <w:qFormat/>
    <w:rsid w:val="00647D0C"/>
    <w:pPr>
      <w:keepNext/>
      <w:tabs>
        <w:tab w:val="num" w:pos="850"/>
      </w:tabs>
      <w:spacing w:line="240" w:lineRule="auto"/>
      <w:ind w:left="850" w:hanging="850"/>
      <w:jc w:val="both"/>
      <w:outlineLvl w:val="1"/>
    </w:pPr>
    <w:rPr>
      <w:rFonts w:eastAsia="Times New Roman"/>
      <w:b/>
      <w:szCs w:val="20"/>
      <w:lang w:eastAsia="ro-RO" w:bidi="ro-RO"/>
    </w:rPr>
  </w:style>
  <w:style w:type="paragraph" w:customStyle="1" w:styleId="Heading31">
    <w:name w:val="Heading 31"/>
    <w:basedOn w:val="Normal"/>
    <w:next w:val="Text1"/>
    <w:uiPriority w:val="9"/>
    <w:semiHidden/>
    <w:unhideWhenUsed/>
    <w:qFormat/>
    <w:rsid w:val="00647D0C"/>
    <w:pPr>
      <w:keepNext/>
      <w:tabs>
        <w:tab w:val="num" w:pos="850"/>
      </w:tabs>
      <w:spacing w:line="240" w:lineRule="auto"/>
      <w:ind w:left="850" w:hanging="850"/>
      <w:jc w:val="both"/>
      <w:outlineLvl w:val="2"/>
    </w:pPr>
    <w:rPr>
      <w:rFonts w:eastAsia="Times New Roman"/>
      <w:i/>
      <w:szCs w:val="20"/>
      <w:lang w:eastAsia="ro-RO" w:bidi="ro-RO"/>
    </w:rPr>
  </w:style>
  <w:style w:type="paragraph" w:customStyle="1" w:styleId="Heading41">
    <w:name w:val="Heading 41"/>
    <w:basedOn w:val="Normal"/>
    <w:next w:val="Text1"/>
    <w:uiPriority w:val="9"/>
    <w:semiHidden/>
    <w:unhideWhenUsed/>
    <w:qFormat/>
    <w:rsid w:val="00647D0C"/>
    <w:pPr>
      <w:keepNext/>
      <w:tabs>
        <w:tab w:val="num" w:pos="850"/>
      </w:tabs>
      <w:spacing w:line="240" w:lineRule="auto"/>
      <w:ind w:left="850" w:hanging="850"/>
      <w:jc w:val="both"/>
      <w:outlineLvl w:val="3"/>
    </w:pPr>
    <w:rPr>
      <w:rFonts w:eastAsia="Times New Roman"/>
      <w:szCs w:val="20"/>
      <w:lang w:eastAsia="ro-RO" w:bidi="ro-RO"/>
    </w:rPr>
  </w:style>
  <w:style w:type="paragraph" w:customStyle="1" w:styleId="Heading51">
    <w:name w:val="Heading 51"/>
    <w:basedOn w:val="Normal"/>
    <w:next w:val="Text2"/>
    <w:uiPriority w:val="9"/>
    <w:semiHidden/>
    <w:unhideWhenUsed/>
    <w:qFormat/>
    <w:rsid w:val="00647D0C"/>
    <w:pPr>
      <w:keepNext/>
      <w:tabs>
        <w:tab w:val="num" w:pos="1417"/>
      </w:tabs>
      <w:spacing w:line="240" w:lineRule="auto"/>
      <w:ind w:left="1417" w:hanging="1417"/>
      <w:jc w:val="both"/>
      <w:outlineLvl w:val="4"/>
    </w:pPr>
    <w:rPr>
      <w:rFonts w:eastAsia="Times New Roman"/>
      <w:lang w:eastAsia="ro-RO" w:bidi="ro-RO"/>
    </w:rPr>
  </w:style>
  <w:style w:type="paragraph" w:customStyle="1" w:styleId="Heading61">
    <w:name w:val="Heading 61"/>
    <w:basedOn w:val="Normal"/>
    <w:next w:val="Text2"/>
    <w:uiPriority w:val="9"/>
    <w:semiHidden/>
    <w:unhideWhenUsed/>
    <w:qFormat/>
    <w:rsid w:val="00647D0C"/>
    <w:pPr>
      <w:keepNext/>
      <w:tabs>
        <w:tab w:val="num" w:pos="1417"/>
      </w:tabs>
      <w:spacing w:line="240" w:lineRule="auto"/>
      <w:ind w:left="1417" w:hanging="1417"/>
      <w:jc w:val="both"/>
      <w:outlineLvl w:val="5"/>
    </w:pPr>
    <w:rPr>
      <w:rFonts w:eastAsia="Times New Roman"/>
      <w:iCs/>
      <w:szCs w:val="20"/>
      <w:lang w:eastAsia="ro-RO" w:bidi="ro-RO"/>
    </w:rPr>
  </w:style>
  <w:style w:type="paragraph" w:customStyle="1" w:styleId="Heading71">
    <w:name w:val="Heading 71"/>
    <w:basedOn w:val="Normal"/>
    <w:next w:val="Text2"/>
    <w:uiPriority w:val="9"/>
    <w:semiHidden/>
    <w:unhideWhenUsed/>
    <w:qFormat/>
    <w:rsid w:val="00647D0C"/>
    <w:pPr>
      <w:keepNext/>
      <w:tabs>
        <w:tab w:val="num" w:pos="1417"/>
      </w:tabs>
      <w:spacing w:line="240" w:lineRule="auto"/>
      <w:ind w:left="1417" w:hanging="1417"/>
      <w:jc w:val="both"/>
      <w:outlineLvl w:val="6"/>
    </w:pPr>
    <w:rPr>
      <w:rFonts w:eastAsia="Times New Roman"/>
      <w:iCs/>
      <w:lang w:eastAsia="ro-RO" w:bidi="ro-RO"/>
    </w:rPr>
  </w:style>
  <w:style w:type="paragraph" w:styleId="CommentSubject">
    <w:name w:val="annotation subject"/>
    <w:basedOn w:val="CommentText"/>
    <w:next w:val="CommentText"/>
    <w:link w:val="CommentSubjectChar"/>
    <w:uiPriority w:val="99"/>
    <w:semiHidden/>
    <w:unhideWhenUsed/>
    <w:rsid w:val="00647D0C"/>
    <w:pPr>
      <w:jc w:val="left"/>
    </w:pPr>
    <w:rPr>
      <w:b/>
      <w:bCs/>
    </w:rPr>
  </w:style>
  <w:style w:type="character" w:customStyle="1" w:styleId="CommentSubjectChar2">
    <w:name w:val="Comment Subject Char2"/>
    <w:basedOn w:val="CommentTextChar"/>
    <w:uiPriority w:val="99"/>
    <w:semiHidden/>
    <w:rsid w:val="00647D0C"/>
    <w:rPr>
      <w:rFonts w:ascii="Times New Roman" w:eastAsia="Times New Roman" w:hAnsi="Times New Roman" w:cs="Times New Roman"/>
      <w:b/>
      <w:bCs/>
      <w:sz w:val="20"/>
      <w:szCs w:val="20"/>
      <w:lang w:val="ro-RO" w:eastAsia="ro-RO" w:bidi="ro-RO"/>
    </w:rPr>
  </w:style>
  <w:style w:type="table" w:styleId="PlainTable1">
    <w:name w:val="Plain Table 1"/>
    <w:basedOn w:val="TableNormal"/>
    <w:uiPriority w:val="41"/>
    <w:rsid w:val="00647D0C"/>
    <w:pPr>
      <w:spacing w:after="0" w:line="240" w:lineRule="auto"/>
    </w:pPr>
    <w:rPr>
      <w:lang w:val="ro-RO" w:eastAsia="ro-RO" w:bidi="ro-R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647D0C"/>
    <w:pPr>
      <w:spacing w:after="0" w:line="240" w:lineRule="auto"/>
    </w:pPr>
    <w:rPr>
      <w:lang w:val="ro-RO" w:eastAsia="ro-RO" w:bidi="ro-R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647D0C"/>
    <w:pPr>
      <w:spacing w:after="0" w:line="240" w:lineRule="auto"/>
    </w:pPr>
    <w:rPr>
      <w:lang w:val="ro-RO" w:eastAsia="ro-RO" w:bidi="ro-R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647D0C"/>
    <w:pPr>
      <w:spacing w:after="0" w:line="240" w:lineRule="auto"/>
    </w:pPr>
    <w:rPr>
      <w:lang w:val="ro-RO" w:eastAsia="ro-RO" w:bidi="ro-R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47D0C"/>
    <w:pPr>
      <w:spacing w:after="0" w:line="240" w:lineRule="auto"/>
    </w:pPr>
    <w:rPr>
      <w:lang w:val="ro-RO" w:eastAsia="ro-RO" w:bidi="ro-R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47D0C"/>
    <w:pPr>
      <w:spacing w:after="0" w:line="240" w:lineRule="auto"/>
    </w:pPr>
    <w:rPr>
      <w:lang w:val="ro-RO" w:eastAsia="ro-RO" w:bidi="ro-R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647D0C"/>
    <w:pPr>
      <w:spacing w:after="0" w:line="240" w:lineRule="auto"/>
    </w:pPr>
    <w:rPr>
      <w:lang w:val="ro-RO" w:eastAsia="ro-RO" w:bidi="ro-R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647D0C"/>
    <w:pPr>
      <w:spacing w:after="0" w:line="240" w:lineRule="auto"/>
    </w:pPr>
    <w:rPr>
      <w:lang w:val="ro-RO" w:eastAsia="ro-RO" w:bidi="ro-R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647D0C"/>
    <w:pPr>
      <w:spacing w:after="0" w:line="240" w:lineRule="auto"/>
    </w:pPr>
    <w:rPr>
      <w:lang w:val="ro-RO" w:eastAsia="ro-RO" w:bidi="ro-R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49"/>
    <w:rsid w:val="00647D0C"/>
    <w:pPr>
      <w:spacing w:after="0" w:line="240" w:lineRule="auto"/>
    </w:pPr>
    <w:rPr>
      <w:lang w:val="ro-RO" w:eastAsia="ro-RO" w:bidi="ro-R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647D0C"/>
    <w:pPr>
      <w:spacing w:after="0" w:line="240" w:lineRule="auto"/>
    </w:pPr>
    <w:rPr>
      <w:lang w:val="ro-RO" w:eastAsia="ro-RO" w:bidi="ro-R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6Colorful">
    <w:name w:val="Grid Table 6 Colorful"/>
    <w:basedOn w:val="TableNormal"/>
    <w:uiPriority w:val="51"/>
    <w:rsid w:val="00647D0C"/>
    <w:pPr>
      <w:spacing w:after="0" w:line="240" w:lineRule="auto"/>
    </w:pPr>
    <w:rPr>
      <w:color w:val="000000" w:themeColor="text1"/>
      <w:lang w:val="ro-RO" w:eastAsia="ro-RO" w:bidi="ro-R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52"/>
    <w:rsid w:val="00647D0C"/>
    <w:pPr>
      <w:spacing w:after="0" w:line="240" w:lineRule="auto"/>
    </w:pPr>
    <w:rPr>
      <w:color w:val="000000" w:themeColor="text1"/>
      <w:lang w:val="ro-RO" w:eastAsia="ro-RO" w:bidi="ro-R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1Light">
    <w:name w:val="List Table 1 Light"/>
    <w:basedOn w:val="TableNormal"/>
    <w:uiPriority w:val="46"/>
    <w:rsid w:val="00647D0C"/>
    <w:pPr>
      <w:spacing w:after="0" w:line="240" w:lineRule="auto"/>
    </w:pPr>
    <w:rPr>
      <w:lang w:val="ro-RO" w:eastAsia="ro-RO" w:bidi="ro-R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647D0C"/>
    <w:pPr>
      <w:spacing w:after="0" w:line="240" w:lineRule="auto"/>
    </w:pPr>
    <w:rPr>
      <w:lang w:val="ro-RO" w:eastAsia="ro-RO" w:bidi="ro-R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647D0C"/>
    <w:pPr>
      <w:spacing w:after="0" w:line="240" w:lineRule="auto"/>
    </w:pPr>
    <w:rPr>
      <w:lang w:val="ro-RO" w:eastAsia="ro-RO" w:bidi="ro-R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
    <w:name w:val="List Table 4"/>
    <w:basedOn w:val="TableNormal"/>
    <w:uiPriority w:val="49"/>
    <w:rsid w:val="00647D0C"/>
    <w:pPr>
      <w:spacing w:after="0" w:line="240" w:lineRule="auto"/>
    </w:pPr>
    <w:rPr>
      <w:lang w:val="ro-RO" w:eastAsia="ro-RO" w:bidi="ro-R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
    <w:name w:val="List Table 5 Dark"/>
    <w:basedOn w:val="TableNormal"/>
    <w:uiPriority w:val="50"/>
    <w:rsid w:val="00647D0C"/>
    <w:pPr>
      <w:spacing w:after="0" w:line="240" w:lineRule="auto"/>
    </w:pPr>
    <w:rPr>
      <w:color w:val="FFFFFF" w:themeColor="background1"/>
      <w:lang w:val="ro-RO" w:eastAsia="ro-RO" w:bidi="ro-RO"/>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47D0C"/>
    <w:pPr>
      <w:spacing w:after="0" w:line="240" w:lineRule="auto"/>
    </w:pPr>
    <w:rPr>
      <w:color w:val="000000" w:themeColor="text1"/>
      <w:lang w:val="ro-RO" w:eastAsia="ro-RO" w:bidi="ro-RO"/>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
    <w:name w:val="List Table 7 Colorful"/>
    <w:basedOn w:val="TableNormal"/>
    <w:uiPriority w:val="52"/>
    <w:rsid w:val="00647D0C"/>
    <w:pPr>
      <w:spacing w:after="0" w:line="240" w:lineRule="auto"/>
    </w:pPr>
    <w:rPr>
      <w:color w:val="000000" w:themeColor="text1"/>
      <w:lang w:val="ro-RO" w:eastAsia="ro-RO" w:bidi="ro-R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nresolvedMention5">
    <w:name w:val="Unresolved Mention5"/>
    <w:basedOn w:val="DefaultParagraphFont"/>
    <w:uiPriority w:val="99"/>
    <w:semiHidden/>
    <w:unhideWhenUsed/>
    <w:rsid w:val="00647D0C"/>
    <w:rPr>
      <w:color w:val="605E5C"/>
      <w:shd w:val="clear" w:color="auto" w:fill="E1DFDD"/>
    </w:rPr>
  </w:style>
  <w:style w:type="character" w:styleId="UnresolvedMention">
    <w:name w:val="Unresolved Mention"/>
    <w:basedOn w:val="DefaultParagraphFont"/>
    <w:uiPriority w:val="99"/>
    <w:semiHidden/>
    <w:unhideWhenUsed/>
    <w:rsid w:val="00647D0C"/>
    <w:rPr>
      <w:color w:val="605E5C"/>
      <w:shd w:val="clear" w:color="auto" w:fill="E1DFDD"/>
    </w:rPr>
  </w:style>
  <w:style w:type="paragraph" w:customStyle="1" w:styleId="TBDistrbMarkers">
    <w:name w:val="TBDistrbMarkers"/>
    <w:basedOn w:val="TBEntRefer"/>
    <w:qFormat/>
    <w:rsid w:val="00B35CF3"/>
    <w:pPr>
      <w:tabs>
        <w:tab w:val="left" w:pos="2262"/>
      </w:tabs>
    </w:pPr>
    <w:rPr>
      <w:i/>
      <w:iCs/>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data.europa.eu/eli/dir/1991/676/oj" TargetMode="External"/><Relationship Id="rId21" Type="http://schemas.openxmlformats.org/officeDocument/2006/relationships/hyperlink" Target="http://data.europa.eu/eli/dir/2003/4/oj" TargetMode="External"/><Relationship Id="rId42" Type="http://schemas.openxmlformats.org/officeDocument/2006/relationships/hyperlink" Target="http://data.europa.eu/eli/reg/2006/1907/oj" TargetMode="External"/><Relationship Id="rId47" Type="http://schemas.openxmlformats.org/officeDocument/2006/relationships/hyperlink" Target="http://data.europa.eu/eli/dir/2010/75/oj" TargetMode="External"/><Relationship Id="rId63" Type="http://schemas.openxmlformats.org/officeDocument/2006/relationships/footer" Target="footer4.xml"/><Relationship Id="rId68" Type="http://schemas.openxmlformats.org/officeDocument/2006/relationships/footer" Target="footer6.xml"/><Relationship Id="rId84" Type="http://schemas.openxmlformats.org/officeDocument/2006/relationships/footer" Target="footer14.xml"/><Relationship Id="rId89" Type="http://schemas.openxmlformats.org/officeDocument/2006/relationships/footer" Target="footer17.xml"/><Relationship Id="rId16" Type="http://schemas.openxmlformats.org/officeDocument/2006/relationships/header" Target="header3.xml"/><Relationship Id="rId11" Type="http://schemas.openxmlformats.org/officeDocument/2006/relationships/image" Target="media/image1.bin"/><Relationship Id="rId32" Type="http://schemas.openxmlformats.org/officeDocument/2006/relationships/hyperlink" Target="http://data.europa.eu/eli/reg/2006/1907/oj" TargetMode="External"/><Relationship Id="rId37" Type="http://schemas.openxmlformats.org/officeDocument/2006/relationships/hyperlink" Target="http://data.europa.eu/eli/reg/2011/182/oj" TargetMode="External"/><Relationship Id="rId53" Type="http://schemas.openxmlformats.org/officeDocument/2006/relationships/hyperlink" Target="http://data.europa.eu/eli/dir/2009/128/oj" TargetMode="External"/><Relationship Id="rId58" Type="http://schemas.openxmlformats.org/officeDocument/2006/relationships/hyperlink" Target="http://data.europa.eu/eli/reg/2008/1272/oj" TargetMode="External"/><Relationship Id="rId74" Type="http://schemas.openxmlformats.org/officeDocument/2006/relationships/header" Target="header11.xml"/><Relationship Id="rId79" Type="http://schemas.openxmlformats.org/officeDocument/2006/relationships/footer" Target="footer12.xml"/><Relationship Id="rId102" Type="http://schemas.openxmlformats.org/officeDocument/2006/relationships/footer" Target="footer23.xml"/><Relationship Id="rId5" Type="http://schemas.openxmlformats.org/officeDocument/2006/relationships/numbering" Target="numbering.xml"/><Relationship Id="rId90" Type="http://schemas.openxmlformats.org/officeDocument/2006/relationships/header" Target="header19.xml"/><Relationship Id="rId95" Type="http://schemas.openxmlformats.org/officeDocument/2006/relationships/header" Target="header21.xml"/><Relationship Id="rId22" Type="http://schemas.openxmlformats.org/officeDocument/2006/relationships/hyperlink" Target="http://data.europa.eu/eli/dir/2007/2/oj" TargetMode="External"/><Relationship Id="rId27" Type="http://schemas.openxmlformats.org/officeDocument/2006/relationships/hyperlink" Target="http://data.europa.eu/eli/dir/2009/128/oj" TargetMode="External"/><Relationship Id="rId43" Type="http://schemas.openxmlformats.org/officeDocument/2006/relationships/hyperlink" Target="http://data.europa.eu/eli/dir/2009/128/oj" TargetMode="External"/><Relationship Id="rId48" Type="http://schemas.openxmlformats.org/officeDocument/2006/relationships/hyperlink" Target="http://data.europa.eu/eli/reg/2011/182/oj" TargetMode="External"/><Relationship Id="rId64" Type="http://schemas.openxmlformats.org/officeDocument/2006/relationships/header" Target="header6.xml"/><Relationship Id="rId69" Type="http://schemas.openxmlformats.org/officeDocument/2006/relationships/footer" Target="footer7.xml"/><Relationship Id="rId80" Type="http://schemas.openxmlformats.org/officeDocument/2006/relationships/header" Target="header14.xml"/><Relationship Id="rId85" Type="http://schemas.openxmlformats.org/officeDocument/2006/relationships/footer" Target="footer15.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hyperlink" Target="http://data.europa.eu/eli/reg/2009/1107/oj" TargetMode="External"/><Relationship Id="rId38" Type="http://schemas.openxmlformats.org/officeDocument/2006/relationships/hyperlink" Target="http://data.europa.eu/eli/reg/2009/1107/oj" TargetMode="External"/><Relationship Id="rId59" Type="http://schemas.openxmlformats.org/officeDocument/2006/relationships/hyperlink" Target="http://data.europa.eu/eli/reg/2022/2379/oj" TargetMode="External"/><Relationship Id="rId103" Type="http://schemas.openxmlformats.org/officeDocument/2006/relationships/header" Target="header25.xml"/><Relationship Id="rId20" Type="http://schemas.openxmlformats.org/officeDocument/2006/relationships/hyperlink" Target="http://data.europa.eu/eli/dir/2006/118/oj" TargetMode="External"/><Relationship Id="rId41" Type="http://schemas.openxmlformats.org/officeDocument/2006/relationships/hyperlink" Target="http://data.europa.eu/eli/dir/2001/83/oj" TargetMode="External"/><Relationship Id="rId54" Type="http://schemas.openxmlformats.org/officeDocument/2006/relationships/hyperlink" Target="http://data.europa.eu/eli/dir/2010/75/oj" TargetMode="External"/><Relationship Id="rId62" Type="http://schemas.openxmlformats.org/officeDocument/2006/relationships/header" Target="header5.xml"/><Relationship Id="rId70" Type="http://schemas.openxmlformats.org/officeDocument/2006/relationships/header" Target="header9.xml"/><Relationship Id="rId75" Type="http://schemas.openxmlformats.org/officeDocument/2006/relationships/footer" Target="footer10.xml"/><Relationship Id="rId83" Type="http://schemas.openxmlformats.org/officeDocument/2006/relationships/header" Target="header16.xml"/><Relationship Id="rId88" Type="http://schemas.openxmlformats.org/officeDocument/2006/relationships/header" Target="header18.xml"/><Relationship Id="rId91" Type="http://schemas.openxmlformats.org/officeDocument/2006/relationships/footer" Target="footer18.xml"/><Relationship Id="rId96" Type="http://schemas.openxmlformats.org/officeDocument/2006/relationships/footer" Target="footer20.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data.europa.eu/eli/dir/2019/1024/oj" TargetMode="External"/><Relationship Id="rId28" Type="http://schemas.openxmlformats.org/officeDocument/2006/relationships/hyperlink" Target="http://data.europa.eu/eli/dir/2010/75/oj" TargetMode="External"/><Relationship Id="rId36" Type="http://schemas.openxmlformats.org/officeDocument/2006/relationships/hyperlink" Target="http://data.europa.eu/eli/reg/2008/1272/oj" TargetMode="External"/><Relationship Id="rId49" Type="http://schemas.openxmlformats.org/officeDocument/2006/relationships/hyperlink" Target="http://data.europa.eu/eli/reg/2024/1244/oj" TargetMode="External"/><Relationship Id="rId57" Type="http://schemas.openxmlformats.org/officeDocument/2006/relationships/hyperlink" Target="http://data.europa.eu/eli/dir/2006/118/oj" TargetMode="External"/><Relationship Id="rId106"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data.europa.eu/eli/dir/2001/83/oj" TargetMode="External"/><Relationship Id="rId44" Type="http://schemas.openxmlformats.org/officeDocument/2006/relationships/hyperlink" Target="http://data.europa.eu/eli/reg/2019/6/oj" TargetMode="External"/><Relationship Id="rId52" Type="http://schemas.openxmlformats.org/officeDocument/2006/relationships/hyperlink" Target="http://data.europa.eu/eli/reg/2009/1107/oj" TargetMode="External"/><Relationship Id="rId60" Type="http://schemas.openxmlformats.org/officeDocument/2006/relationships/hyperlink" Target="http://data.europa.eu/eli/dir/2009/90/oj" TargetMode="External"/><Relationship Id="rId65" Type="http://schemas.openxmlformats.org/officeDocument/2006/relationships/footer" Target="footer5.xml"/><Relationship Id="rId73" Type="http://schemas.openxmlformats.org/officeDocument/2006/relationships/footer" Target="footer9.xml"/><Relationship Id="rId78" Type="http://schemas.openxmlformats.org/officeDocument/2006/relationships/header" Target="header13.xml"/><Relationship Id="rId81" Type="http://schemas.openxmlformats.org/officeDocument/2006/relationships/footer" Target="footer13.xml"/><Relationship Id="rId86" Type="http://schemas.openxmlformats.org/officeDocument/2006/relationships/header" Target="header17.xml"/><Relationship Id="rId94" Type="http://schemas.openxmlformats.org/officeDocument/2006/relationships/hyperlink" Target="http://data.europa.eu/eli/reg/2023/915/oj" TargetMode="External"/><Relationship Id="rId99" Type="http://schemas.openxmlformats.org/officeDocument/2006/relationships/header" Target="header23.xml"/><Relationship Id="rId101" Type="http://schemas.openxmlformats.org/officeDocument/2006/relationships/header" Target="header2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data.europa.eu/eli/dir/2008/105/oj" TargetMode="External"/><Relationship Id="rId39" Type="http://schemas.openxmlformats.org/officeDocument/2006/relationships/hyperlink" Target="http://data.europa.eu/eli/reg/2012/528/oj" TargetMode="External"/><Relationship Id="rId34" Type="http://schemas.openxmlformats.org/officeDocument/2006/relationships/hyperlink" Target="http://data.europa.eu/eli/reg/2012/528/oj" TargetMode="External"/><Relationship Id="rId50" Type="http://schemas.openxmlformats.org/officeDocument/2006/relationships/hyperlink" Target="http://data.europa.eu/eli/dir/2001/83/oj" TargetMode="External"/><Relationship Id="rId55" Type="http://schemas.openxmlformats.org/officeDocument/2006/relationships/hyperlink" Target="http://data.europa.eu/eli/reg/2012/528/oj" TargetMode="External"/><Relationship Id="rId76" Type="http://schemas.openxmlformats.org/officeDocument/2006/relationships/header" Target="header12.xml"/><Relationship Id="rId97" Type="http://schemas.openxmlformats.org/officeDocument/2006/relationships/header" Target="header22.xml"/><Relationship Id="rId104" Type="http://schemas.openxmlformats.org/officeDocument/2006/relationships/footer" Target="footer24.xml"/><Relationship Id="rId7" Type="http://schemas.openxmlformats.org/officeDocument/2006/relationships/settings" Target="settings.xml"/><Relationship Id="rId71" Type="http://schemas.openxmlformats.org/officeDocument/2006/relationships/footer" Target="footer8.xml"/><Relationship Id="rId92" Type="http://schemas.openxmlformats.org/officeDocument/2006/relationships/header" Target="header20.xml"/><Relationship Id="rId2" Type="http://schemas.openxmlformats.org/officeDocument/2006/relationships/customXml" Target="../customXml/item2.xml"/><Relationship Id="rId29" Type="http://schemas.openxmlformats.org/officeDocument/2006/relationships/hyperlink" Target="http://data.europa.eu/eli/dir/2024/3019/oj" TargetMode="External"/><Relationship Id="rId24" Type="http://schemas.openxmlformats.org/officeDocument/2006/relationships/hyperlink" Target="http://data.europa.eu/eli/reg/2009/401/oj" TargetMode="External"/><Relationship Id="rId40" Type="http://schemas.openxmlformats.org/officeDocument/2006/relationships/hyperlink" Target="http://data.europa.eu/eli/dir/2008/105/oj" TargetMode="External"/><Relationship Id="rId45" Type="http://schemas.openxmlformats.org/officeDocument/2006/relationships/hyperlink" Target="http://data.europa.eu/eli/reg/2022/2379/oj" TargetMode="External"/><Relationship Id="rId66" Type="http://schemas.openxmlformats.org/officeDocument/2006/relationships/header" Target="header7.xml"/><Relationship Id="rId87" Type="http://schemas.openxmlformats.org/officeDocument/2006/relationships/footer" Target="footer16.xml"/><Relationship Id="rId61" Type="http://schemas.openxmlformats.org/officeDocument/2006/relationships/header" Target="header4.xml"/><Relationship Id="rId82" Type="http://schemas.openxmlformats.org/officeDocument/2006/relationships/header" Target="header15.xml"/><Relationship Id="rId19" Type="http://schemas.openxmlformats.org/officeDocument/2006/relationships/hyperlink" Target="http://data.europa.eu/eli/dir/2020/2184/oj" TargetMode="External"/><Relationship Id="rId14" Type="http://schemas.openxmlformats.org/officeDocument/2006/relationships/footer" Target="footer1.xml"/><Relationship Id="rId30" Type="http://schemas.openxmlformats.org/officeDocument/2006/relationships/hyperlink" Target="http://data.europa.eu/eli/convention/2005/370/oj" TargetMode="External"/><Relationship Id="rId35" Type="http://schemas.openxmlformats.org/officeDocument/2006/relationships/hyperlink" Target="http://data.europa.eu/eli/reg/2019/6/oj" TargetMode="External"/><Relationship Id="rId56" Type="http://schemas.openxmlformats.org/officeDocument/2006/relationships/hyperlink" Target="http://data.europa.eu/eli/reg/2019/6/oj" TargetMode="External"/><Relationship Id="rId77" Type="http://schemas.openxmlformats.org/officeDocument/2006/relationships/footer" Target="footer11.xml"/><Relationship Id="rId100" Type="http://schemas.openxmlformats.org/officeDocument/2006/relationships/footer" Target="footer22.xml"/><Relationship Id="rId105"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data.europa.eu/eli/reg/2006/1907/oj" TargetMode="External"/><Relationship Id="rId72" Type="http://schemas.openxmlformats.org/officeDocument/2006/relationships/header" Target="header10.xml"/><Relationship Id="rId93" Type="http://schemas.openxmlformats.org/officeDocument/2006/relationships/footer" Target="footer19.xml"/><Relationship Id="rId98" Type="http://schemas.openxmlformats.org/officeDocument/2006/relationships/footer" Target="footer21.xml"/><Relationship Id="rId3" Type="http://schemas.openxmlformats.org/officeDocument/2006/relationships/customXml" Target="../customXml/item3.xml"/><Relationship Id="rId25" Type="http://schemas.openxmlformats.org/officeDocument/2006/relationships/hyperlink" Target="http://data.europa.eu/eli/dir/2008/105/oj" TargetMode="External"/><Relationship Id="rId46" Type="http://schemas.openxmlformats.org/officeDocument/2006/relationships/hyperlink" Target="http://data.europa.eu/eli/reg/2024/1244/oj" TargetMode="External"/><Relationship Id="rId67" Type="http://schemas.openxmlformats.org/officeDocument/2006/relationships/header" Target="header8.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3/oj" TargetMode="External"/><Relationship Id="rId13" Type="http://schemas.openxmlformats.org/officeDocument/2006/relationships/hyperlink" Target="http://data.europa.eu/eli/reg/2012/528/oj" TargetMode="External"/><Relationship Id="rId18" Type="http://schemas.openxmlformats.org/officeDocument/2006/relationships/hyperlink" Target="http://data.europa.eu/eli/dir/2019/1024/oj" TargetMode="External"/><Relationship Id="rId3" Type="http://schemas.openxmlformats.org/officeDocument/2006/relationships/hyperlink" Target="http://data.europa.eu/eli/dir/2024/3019/oj" TargetMode="External"/><Relationship Id="rId21" Type="http://schemas.openxmlformats.org/officeDocument/2006/relationships/hyperlink" Target="http://data.europa.eu/eli/agree_interinstit/2016/512/oj" TargetMode="External"/><Relationship Id="rId7" Type="http://schemas.openxmlformats.org/officeDocument/2006/relationships/hyperlink" Target="http://data.europa.eu/eli/dec/2001/2455/oj" TargetMode="External"/><Relationship Id="rId12" Type="http://schemas.openxmlformats.org/officeDocument/2006/relationships/hyperlink" Target="http://data.europa.eu/eli/dir/2010/75/oj" TargetMode="External"/><Relationship Id="rId17" Type="http://schemas.openxmlformats.org/officeDocument/2006/relationships/hyperlink" Target="http://data.europa.eu/eli/dir/2007/2/oj" TargetMode="External"/><Relationship Id="rId2" Type="http://schemas.openxmlformats.org/officeDocument/2006/relationships/hyperlink" Target="http://data.europa.eu/eli/dir/2020/2184/oj" TargetMode="External"/><Relationship Id="rId16" Type="http://schemas.openxmlformats.org/officeDocument/2006/relationships/hyperlink" Target="http://data.europa.eu/eli/reg/2019/1021/oj" TargetMode="External"/><Relationship Id="rId20" Type="http://schemas.openxmlformats.org/officeDocument/2006/relationships/hyperlink" Target="http://data.europa.eu/eli/treaty/lis/sign" TargetMode="External"/><Relationship Id="rId1" Type="http://schemas.openxmlformats.org/officeDocument/2006/relationships/hyperlink" Target="http://data.europa.eu/eli/dir/2000/60/oj" TargetMode="External"/><Relationship Id="rId6" Type="http://schemas.openxmlformats.org/officeDocument/2006/relationships/hyperlink" Target="http://data.europa.eu/eli/dir/2008/105/oj" TargetMode="External"/><Relationship Id="rId11" Type="http://schemas.openxmlformats.org/officeDocument/2006/relationships/hyperlink" Target="http://data.europa.eu/eli/dir/2009/128/oj" TargetMode="External"/><Relationship Id="rId24" Type="http://schemas.openxmlformats.org/officeDocument/2006/relationships/hyperlink" Target="http://data.europa.eu/eli/dec/2013/1313/oj" TargetMode="External"/><Relationship Id="rId5" Type="http://schemas.openxmlformats.org/officeDocument/2006/relationships/hyperlink" Target="http://data.europa.eu/eli/dir/2007/60/oj" TargetMode="External"/><Relationship Id="rId15" Type="http://schemas.openxmlformats.org/officeDocument/2006/relationships/hyperlink" Target="http://data.europa.eu/eli/convention/2006/507/oj" TargetMode="External"/><Relationship Id="rId23" Type="http://schemas.openxmlformats.org/officeDocument/2006/relationships/hyperlink" Target="http://data.europa.eu/eli/convention/2005/370/oj" TargetMode="External"/><Relationship Id="rId10" Type="http://schemas.openxmlformats.org/officeDocument/2006/relationships/hyperlink" Target="http://data.europa.eu/eli/reg/2009/1107/oj" TargetMode="External"/><Relationship Id="rId19" Type="http://schemas.openxmlformats.org/officeDocument/2006/relationships/hyperlink" Target="http://data.europa.eu/eli/reg/2024/1244/oj" TargetMode="External"/><Relationship Id="rId4" Type="http://schemas.openxmlformats.org/officeDocument/2006/relationships/hyperlink" Target="http://data.europa.eu/eli/dir/2006/118/oj" TargetMode="External"/><Relationship Id="rId9" Type="http://schemas.openxmlformats.org/officeDocument/2006/relationships/hyperlink" Target="http://data.europa.eu/eli/reg/2006/1907/oj" TargetMode="External"/><Relationship Id="rId14" Type="http://schemas.openxmlformats.org/officeDocument/2006/relationships/hyperlink" Target="http://data.europa.eu/eli/reg/2019/6/oj" TargetMode="External"/><Relationship Id="rId22" Type="http://schemas.openxmlformats.org/officeDocument/2006/relationships/hyperlink" Target="http://data.europa.eu/eli/reg/2011/18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3CB88-3600-4DCF-AEAF-45082B55E495}">
  <ds:schemaRefs>
    <ds:schemaRef ds:uri="http://schemas.microsoft.com/sharepoint/v3/contenttype/forms"/>
  </ds:schemaRefs>
</ds:datastoreItem>
</file>

<file path=customXml/itemProps2.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DW_LEGACTS.dotm</Template>
  <TotalTime>2</TotalTime>
  <Pages>210</Pages>
  <Words>36162</Words>
  <Characters>206124</Characters>
  <Application>Microsoft Office Word</Application>
  <DocSecurity>0</DocSecurity>
  <Lines>1717</Lines>
  <Paragraphs>483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NEGOITA Amalia</dc:creator>
  <cp:keywords/>
  <dc:description/>
  <cp:lastModifiedBy>NEGOITA Amalia</cp:lastModifiedBy>
  <cp:revision>4</cp:revision>
  <dcterms:created xsi:type="dcterms:W3CDTF">2026-02-17T14:36:00Z</dcterms:created>
  <dcterms:modified xsi:type="dcterms:W3CDTF">2026-02-17T14:39:00Z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4.13.1, Build 20250723</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2026-02-17T14:36:51Z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