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b w:val="0"/>
          <w:sz w:val="24"/>
          <w:szCs w:val="20"/>
          <w:lang w:eastAsia="ro-RO" w:bidi="ro-RO"/>
        </w:rPr>
        <w:alias w:val="TechnicalBlock"/>
        <w:tag w:val="LCK:TechnicalBlock"/>
        <w:id w:val="62762349"/>
        <w:lock w:val="contentLocked"/>
      </w:sdtPr>
      <w:sdtEndPr>
        <w:rPr>
          <w:szCs w:val="22"/>
        </w:rPr>
      </w:sdtEndPr>
      <w:sdtContent>
        <w:tbl>
          <w:tblPr>
            <w:tblW w:w="11344" w:type="dxa"/>
            <w:jc w:val="center"/>
            <w:tblLayout w:type="fixed"/>
            <w:tblCellMar>
              <w:left w:w="0" w:type="dxa"/>
              <w:right w:w="0" w:type="dxa"/>
            </w:tblCellMar>
            <w:tblLook w:val="0000" w:firstRow="0" w:lastRow="0" w:firstColumn="0" w:lastColumn="0" w:noHBand="0" w:noVBand="0"/>
          </w:tblPr>
          <w:tblGrid>
            <w:gridCol w:w="850"/>
            <w:gridCol w:w="970"/>
            <w:gridCol w:w="2862"/>
            <w:gridCol w:w="1696"/>
            <w:gridCol w:w="147"/>
            <w:gridCol w:w="4819"/>
          </w:tblGrid>
          <w:tr w:rsidR="002669D7" w:rsidRPr="005F5A6B" w14:paraId="00940B62" w14:textId="77777777" w:rsidTr="00EE7DE6">
            <w:trPr>
              <w:cantSplit/>
              <w:trHeight w:val="510"/>
              <w:jc w:val="center"/>
            </w:trPr>
            <w:tc>
              <w:tcPr>
                <w:tcW w:w="11344" w:type="dxa"/>
                <w:gridSpan w:val="6"/>
                <w:vAlign w:val="bottom"/>
              </w:tcPr>
              <w:p w14:paraId="43326D33" w14:textId="77777777" w:rsidR="002669D7" w:rsidRPr="005F5A6B" w:rsidRDefault="002669D7" w:rsidP="00EE7DE6">
                <w:pPr>
                  <w:pStyle w:val="TBNormalTechnicalBlock"/>
                  <w:jc w:val="right"/>
                  <w:rPr>
                    <w:b w:val="0"/>
                    <w:bCs/>
                  </w:rPr>
                </w:pPr>
              </w:p>
            </w:tc>
          </w:tr>
          <w:tr w:rsidR="002669D7" w:rsidRPr="006720F9" w14:paraId="261B0B76" w14:textId="77777777" w:rsidTr="00296074">
            <w:trPr>
              <w:cantSplit/>
              <w:trHeight w:val="567"/>
              <w:jc w:val="center"/>
            </w:trPr>
            <w:tc>
              <w:tcPr>
                <w:tcW w:w="1820" w:type="dxa"/>
                <w:gridSpan w:val="2"/>
                <w:vAlign w:val="bottom"/>
              </w:tcPr>
              <w:p w14:paraId="4A855783" w14:textId="77777777" w:rsidR="002669D7" w:rsidRPr="006C5D93" w:rsidRDefault="002669D7" w:rsidP="003C6CD1">
                <w:pPr>
                  <w:pStyle w:val="TBEntInstit"/>
                </w:pPr>
                <w:r w:rsidRPr="006C5D93">
                  <w:rPr>
                    <w:noProof/>
                  </w:rPr>
                  <w:drawing>
                    <wp:inline distT="0" distB="0" distL="0" distR="0" wp14:anchorId="749950EA" wp14:editId="38C223BC">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14:paraId="787B1D2C" w14:textId="77777777" w:rsidR="002669D7" w:rsidRPr="008414C3" w:rsidRDefault="002669D7" w:rsidP="005125B1">
                <w:pPr>
                  <w:pStyle w:val="TBInstitution"/>
                </w:pPr>
                <w:r>
                  <w:t>Consiliul</w:t>
                </w:r>
                <w:r>
                  <w:br/>
                  <w:t>Uniunii Europene</w:t>
                </w:r>
              </w:p>
            </w:tc>
          </w:tr>
          <w:tr w:rsidR="002669D7" w:rsidRPr="006720F9" w14:paraId="745C3711" w14:textId="77777777" w:rsidTr="00D5364D">
            <w:trPr>
              <w:gridBefore w:val="2"/>
              <w:wBefore w:w="1820" w:type="dxa"/>
              <w:cantSplit/>
              <w:trHeight w:val="1191"/>
              <w:jc w:val="center"/>
            </w:trPr>
            <w:tc>
              <w:tcPr>
                <w:tcW w:w="4558" w:type="dxa"/>
                <w:gridSpan w:val="2"/>
                <w:tcMar>
                  <w:top w:w="28" w:type="dxa"/>
                  <w:left w:w="85" w:type="dxa"/>
                </w:tcMar>
              </w:tcPr>
              <w:p w14:paraId="769365B0" w14:textId="77777777" w:rsidR="002669D7" w:rsidRPr="00327887" w:rsidRDefault="002669D7" w:rsidP="00762DBC">
                <w:pPr>
                  <w:pStyle w:val="TBInstitutionSubwordmark"/>
                </w:pPr>
              </w:p>
            </w:tc>
            <w:tc>
              <w:tcPr>
                <w:tcW w:w="147" w:type="dxa"/>
                <w:vAlign w:val="bottom"/>
              </w:tcPr>
              <w:p w14:paraId="0FB0F725" w14:textId="77777777" w:rsidR="002669D7" w:rsidRPr="00093255" w:rsidRDefault="002669D7" w:rsidP="00D5364D">
                <w:pPr>
                  <w:pStyle w:val="TBNormalTechnicalBlock"/>
                  <w:jc w:val="right"/>
                  <w:rPr>
                    <w:b w:val="0"/>
                    <w:bCs/>
                  </w:rPr>
                </w:pPr>
              </w:p>
            </w:tc>
            <w:tc>
              <w:tcPr>
                <w:tcW w:w="4819" w:type="dxa"/>
                <w:vMerge w:val="restart"/>
                <w:tcMar>
                  <w:top w:w="0" w:type="dxa"/>
                </w:tcMar>
              </w:tcPr>
              <w:p w14:paraId="1305F0A1" w14:textId="77777777" w:rsidR="002669D7" w:rsidRPr="0012121B" w:rsidRDefault="002669D7" w:rsidP="001A5B8F">
                <w:pPr>
                  <w:pStyle w:val="TBNormalTechnicalBlock"/>
                </w:pPr>
                <w:r>
                  <w:t>Bruxelles, 19 februarie 2026</w:t>
                </w:r>
              </w:p>
              <w:p w14:paraId="65ED0E14" w14:textId="77777777" w:rsidR="002669D7" w:rsidRPr="00871A20" w:rsidRDefault="002669D7" w:rsidP="009024D2">
                <w:pPr>
                  <w:pStyle w:val="TBNormalTechnicalBlock"/>
                  <w:rPr>
                    <w:bCs/>
                  </w:rPr>
                </w:pPr>
                <w:r w:rsidRPr="00E60683">
                  <w:rPr>
                    <w:bCs/>
                  </w:rPr>
                  <w:t xml:space="preserve">(OR. </w:t>
                </w:r>
                <w:r>
                  <w:rPr>
                    <w:bCs/>
                  </w:rPr>
                  <w:t>en</w:t>
                </w:r>
                <w:r w:rsidRPr="00871A20">
                  <w:rPr>
                    <w:bCs/>
                  </w:rPr>
                  <w:t>)</w:t>
                </w:r>
              </w:p>
              <w:p w14:paraId="5241FAF1" w14:textId="77777777" w:rsidR="002669D7" w:rsidRPr="00871A20" w:rsidRDefault="002669D7" w:rsidP="00871A20">
                <w:pPr>
                  <w:pStyle w:val="TBNormalTechnicalBlock"/>
                  <w:jc w:val="right"/>
                </w:pPr>
              </w:p>
              <w:p w14:paraId="4844DC0C" w14:textId="77777777" w:rsidR="002669D7" w:rsidRPr="00871A20" w:rsidRDefault="002669D7" w:rsidP="00871A20">
                <w:pPr>
                  <w:pStyle w:val="TBNormalTechnicalBlock"/>
                  <w:jc w:val="right"/>
                </w:pPr>
              </w:p>
              <w:p w14:paraId="14BA92CD" w14:textId="77777777" w:rsidR="002669D7" w:rsidRPr="00F65A71" w:rsidRDefault="002669D7" w:rsidP="009024D2">
                <w:pPr>
                  <w:pStyle w:val="TBNormalTechnicalBlock"/>
                  <w:rPr>
                    <w:bCs/>
                    <w:lang w:val="en-US"/>
                  </w:rPr>
                </w:pPr>
                <w:r>
                  <w:rPr>
                    <w:bCs/>
                    <w:lang w:val="en-US"/>
                  </w:rPr>
                  <w:t>14144/1</w:t>
                </w:r>
                <w:r w:rsidRPr="00F65A71">
                  <w:rPr>
                    <w:bCs/>
                    <w:lang w:val="en-US"/>
                  </w:rPr>
                  <w:t>/</w:t>
                </w:r>
                <w:r>
                  <w:rPr>
                    <w:bCs/>
                    <w:lang w:val="en-US"/>
                  </w:rPr>
                  <w:t>25</w:t>
                </w:r>
              </w:p>
              <w:p w14:paraId="549E7F2A" w14:textId="77777777" w:rsidR="002669D7" w:rsidRPr="00F65A71" w:rsidRDefault="002669D7" w:rsidP="009024D2">
                <w:pPr>
                  <w:pStyle w:val="TBNormalTechnicalBlock"/>
                  <w:rPr>
                    <w:lang w:val="en-US"/>
                  </w:rPr>
                </w:pPr>
                <w:r>
                  <w:rPr>
                    <w:lang w:val="en-US"/>
                  </w:rPr>
                  <w:t>REV 1 ADD 1</w:t>
                </w:r>
              </w:p>
              <w:p w14:paraId="5F814D0A" w14:textId="77777777" w:rsidR="002669D7" w:rsidRPr="00F65A71" w:rsidRDefault="002669D7" w:rsidP="00871A20">
                <w:pPr>
                  <w:pStyle w:val="TBNormalTechnicalBlock"/>
                  <w:jc w:val="right"/>
                  <w:rPr>
                    <w:lang w:val="en-US"/>
                  </w:rPr>
                </w:pPr>
              </w:p>
              <w:p w14:paraId="7E757037" w14:textId="77777777" w:rsidR="002669D7" w:rsidRDefault="002669D7" w:rsidP="009024D2">
                <w:pPr>
                  <w:pStyle w:val="TBNormalTechnicalBlock"/>
                </w:pPr>
              </w:p>
              <w:p w14:paraId="7A5EEA49" w14:textId="77777777" w:rsidR="002669D7" w:rsidRDefault="002669D7" w:rsidP="00871A20">
                <w:pPr>
                  <w:pStyle w:val="TBNormalTechnicalBlock"/>
                  <w:jc w:val="right"/>
                </w:pPr>
              </w:p>
              <w:p w14:paraId="264ED98C" w14:textId="77777777" w:rsidR="002669D7" w:rsidRDefault="002669D7">
                <w:pPr>
                  <w:pStyle w:val="TBEntRefer"/>
                  <w:tabs>
                    <w:tab w:val="left" w:pos="2265"/>
                  </w:tabs>
                </w:pPr>
                <w:r>
                  <w:t>ENV 1039</w:t>
                </w:r>
              </w:p>
              <w:p w14:paraId="39FCA068" w14:textId="77777777" w:rsidR="002669D7" w:rsidRDefault="002669D7">
                <w:pPr>
                  <w:pStyle w:val="TBEntRefer"/>
                  <w:tabs>
                    <w:tab w:val="left" w:pos="2265"/>
                  </w:tabs>
                </w:pPr>
                <w:r>
                  <w:t>CLIMA 445</w:t>
                </w:r>
              </w:p>
              <w:p w14:paraId="2BA299BD" w14:textId="77777777" w:rsidR="002669D7" w:rsidRDefault="002669D7">
                <w:pPr>
                  <w:pStyle w:val="TBEntRefer"/>
                  <w:tabs>
                    <w:tab w:val="left" w:pos="2265"/>
                  </w:tabs>
                </w:pPr>
                <w:r>
                  <w:t>AGRI 499</w:t>
                </w:r>
              </w:p>
              <w:p w14:paraId="17F0A6FA" w14:textId="77777777" w:rsidR="002669D7" w:rsidRDefault="002669D7">
                <w:pPr>
                  <w:pStyle w:val="TBEntRefer"/>
                  <w:tabs>
                    <w:tab w:val="left" w:pos="2265"/>
                  </w:tabs>
                </w:pPr>
                <w:r>
                  <w:t>FORETS 89</w:t>
                </w:r>
              </w:p>
              <w:p w14:paraId="06428AF5" w14:textId="77777777" w:rsidR="002669D7" w:rsidRDefault="002669D7">
                <w:pPr>
                  <w:pStyle w:val="TBEntRefer"/>
                  <w:tabs>
                    <w:tab w:val="left" w:pos="2265"/>
                  </w:tabs>
                </w:pPr>
                <w:r>
                  <w:t>ENER 534</w:t>
                </w:r>
              </w:p>
              <w:p w14:paraId="41D98D14" w14:textId="77777777" w:rsidR="002669D7" w:rsidRDefault="002669D7">
                <w:pPr>
                  <w:pStyle w:val="TBEntRefer"/>
                  <w:tabs>
                    <w:tab w:val="left" w:pos="2265"/>
                  </w:tabs>
                </w:pPr>
                <w:r>
                  <w:t>TRANS 474</w:t>
                </w:r>
              </w:p>
              <w:p w14:paraId="52061B52" w14:textId="77777777" w:rsidR="002669D7" w:rsidRDefault="002669D7">
                <w:pPr>
                  <w:pStyle w:val="TBEntRefer"/>
                  <w:tabs>
                    <w:tab w:val="left" w:pos="2265"/>
                  </w:tabs>
                </w:pPr>
                <w:r>
                  <w:t>CODEC 1560</w:t>
                </w:r>
              </w:p>
              <w:p w14:paraId="4F52F793" w14:textId="77777777" w:rsidR="002669D7" w:rsidRPr="00073AB8" w:rsidRDefault="002669D7" w:rsidP="00DF51D5">
                <w:pPr>
                  <w:pStyle w:val="TBEntRefer"/>
                  <w:tabs>
                    <w:tab w:val="left" w:pos="2262"/>
                  </w:tabs>
                  <w:rPr>
                    <w:sz w:val="4"/>
                    <w:szCs w:val="4"/>
                  </w:rPr>
                </w:pPr>
              </w:p>
              <w:p w14:paraId="3CF093A0" w14:textId="77777777" w:rsidR="002669D7" w:rsidRPr="00AF13E4" w:rsidRDefault="002669D7" w:rsidP="00AF13E4">
                <w:pPr>
                  <w:pStyle w:val="TBDistrbMarkers"/>
                </w:pPr>
                <w:r>
                  <w:t>PARLNAT</w:t>
                </w:r>
              </w:p>
            </w:tc>
          </w:tr>
          <w:tr w:rsidR="002669D7" w:rsidRPr="006720F9" w14:paraId="6EC0F8F1" w14:textId="77777777" w:rsidTr="00EE7DE6">
            <w:trPr>
              <w:gridBefore w:val="1"/>
              <w:wBefore w:w="850" w:type="dxa"/>
              <w:cantSplit/>
              <w:trHeight w:val="837"/>
              <w:jc w:val="center"/>
            </w:trPr>
            <w:tc>
              <w:tcPr>
                <w:tcW w:w="3832" w:type="dxa"/>
                <w:gridSpan w:val="2"/>
                <w:vAlign w:val="center"/>
              </w:tcPr>
              <w:p w14:paraId="10B96E21" w14:textId="77777777" w:rsidR="002669D7" w:rsidRDefault="002669D7">
                <w:pPr>
                  <w:pStyle w:val="TBEntReferNew"/>
                  <w:pBdr>
                    <w:top w:val="double" w:sz="6" w:space="2" w:color="auto"/>
                    <w:bottom w:val="double" w:sz="6" w:space="2" w:color="auto"/>
                  </w:pBdr>
                  <w:rPr>
                    <w:sz w:val="23"/>
                    <w:szCs w:val="23"/>
                  </w:rPr>
                </w:pPr>
                <w:r>
                  <w:rPr>
                    <w:sz w:val="23"/>
                    <w:szCs w:val="23"/>
                  </w:rPr>
                  <w:t>Dosar interinstituțional:</w:t>
                </w:r>
              </w:p>
              <w:p w14:paraId="34C2B1A5" w14:textId="77777777" w:rsidR="002669D7" w:rsidRDefault="002669D7">
                <w:pPr>
                  <w:pStyle w:val="TBEntReferNew"/>
                  <w:pBdr>
                    <w:top w:val="double" w:sz="6" w:space="2" w:color="auto"/>
                    <w:bottom w:val="double" w:sz="6" w:space="2" w:color="auto"/>
                  </w:pBdr>
                  <w:rPr>
                    <w:sz w:val="23"/>
                    <w:szCs w:val="23"/>
                  </w:rPr>
                </w:pPr>
                <w:r>
                  <w:rPr>
                    <w:sz w:val="23"/>
                    <w:szCs w:val="23"/>
                  </w:rPr>
                  <w:t>2022/0344 (COD)</w:t>
                </w:r>
              </w:p>
            </w:tc>
            <w:tc>
              <w:tcPr>
                <w:tcW w:w="1843" w:type="dxa"/>
                <w:gridSpan w:val="2"/>
                <w:vMerge w:val="restart"/>
                <w:vAlign w:val="bottom"/>
              </w:tcPr>
              <w:p w14:paraId="2C25CFA0" w14:textId="77777777" w:rsidR="002669D7" w:rsidRPr="008F6E25" w:rsidRDefault="002669D7" w:rsidP="00EE7DE6">
                <w:pPr>
                  <w:pStyle w:val="TBNormalTechnicalBlock"/>
                  <w:jc w:val="right"/>
                  <w:rPr>
                    <w:b w:val="0"/>
                    <w:bCs/>
                  </w:rPr>
                </w:pPr>
              </w:p>
            </w:tc>
            <w:tc>
              <w:tcPr>
                <w:tcW w:w="4819" w:type="dxa"/>
                <w:vMerge/>
              </w:tcPr>
              <w:p w14:paraId="419AE7F2" w14:textId="77777777" w:rsidR="002669D7" w:rsidRPr="00F26BF3" w:rsidRDefault="002669D7">
                <w:pPr>
                  <w:pStyle w:val="TBEntRefer"/>
                  <w:rPr>
                    <w:szCs w:val="23"/>
                  </w:rPr>
                </w:pPr>
              </w:p>
            </w:tc>
          </w:tr>
          <w:tr w:rsidR="002669D7" w:rsidRPr="007D65B2" w14:paraId="3EC9E22B" w14:textId="77777777" w:rsidTr="00327887">
            <w:trPr>
              <w:gridBefore w:val="1"/>
              <w:wBefore w:w="850" w:type="dxa"/>
              <w:cantSplit/>
              <w:trHeight w:val="998"/>
              <w:jc w:val="center"/>
            </w:trPr>
            <w:tc>
              <w:tcPr>
                <w:tcW w:w="3832" w:type="dxa"/>
                <w:gridSpan w:val="2"/>
                <w:vAlign w:val="center"/>
              </w:tcPr>
              <w:p w14:paraId="7C1B2112" w14:textId="77777777" w:rsidR="002669D7" w:rsidRPr="007D65B2" w:rsidRDefault="002669D7" w:rsidP="0058695F">
                <w:pPr>
                  <w:pStyle w:val="TBSousEmbargo"/>
                </w:pPr>
              </w:p>
            </w:tc>
            <w:tc>
              <w:tcPr>
                <w:tcW w:w="1843" w:type="dxa"/>
                <w:gridSpan w:val="2"/>
                <w:vMerge/>
                <w:vAlign w:val="center"/>
              </w:tcPr>
              <w:p w14:paraId="37D0A28E" w14:textId="77777777" w:rsidR="002669D7" w:rsidRPr="008F6E25" w:rsidRDefault="002669D7" w:rsidP="008F6E25">
                <w:pPr>
                  <w:pStyle w:val="TBNormalTechnicalBlock"/>
                  <w:rPr>
                    <w:b w:val="0"/>
                    <w:bCs/>
                  </w:rPr>
                </w:pPr>
              </w:p>
            </w:tc>
            <w:tc>
              <w:tcPr>
                <w:tcW w:w="4819" w:type="dxa"/>
                <w:vMerge/>
              </w:tcPr>
              <w:p w14:paraId="59F8F488" w14:textId="77777777" w:rsidR="002669D7" w:rsidRPr="007D65B2" w:rsidRDefault="002669D7">
                <w:pPr>
                  <w:pStyle w:val="TBEntRefer"/>
                  <w:rPr>
                    <w:szCs w:val="23"/>
                  </w:rPr>
                </w:pPr>
              </w:p>
            </w:tc>
          </w:tr>
        </w:tbl>
        <w:p w14:paraId="61F66083" w14:textId="77777777" w:rsidR="002669D7" w:rsidRPr="007D65B2" w:rsidRDefault="002669D7" w:rsidP="00DF1147">
          <w:pPr>
            <w:pStyle w:val="TBEntRefer"/>
            <w:rPr>
              <w:sz w:val="2"/>
              <w:szCs w:val="2"/>
            </w:rPr>
          </w:pPr>
        </w:p>
        <w:tbl>
          <w:tblPr>
            <w:tblW w:w="9640" w:type="dxa"/>
            <w:jc w:val="center"/>
            <w:tblLayout w:type="fixed"/>
            <w:tblCellMar>
              <w:left w:w="0" w:type="dxa"/>
              <w:right w:w="0" w:type="dxa"/>
            </w:tblCellMar>
            <w:tblLook w:val="0000" w:firstRow="0" w:lastRow="0" w:firstColumn="0" w:lastColumn="0" w:noHBand="0" w:noVBand="0"/>
          </w:tblPr>
          <w:tblGrid>
            <w:gridCol w:w="1984"/>
            <w:gridCol w:w="7656"/>
          </w:tblGrid>
          <w:tr w:rsidR="002669D7" w:rsidRPr="008C093D" w14:paraId="3C1507BD" w14:textId="77777777" w:rsidTr="000E0DFC">
            <w:trPr>
              <w:jc w:val="center"/>
            </w:trPr>
            <w:tc>
              <w:tcPr>
                <w:tcW w:w="9640" w:type="dxa"/>
                <w:gridSpan w:val="2"/>
              </w:tcPr>
              <w:p w14:paraId="43E17A13" w14:textId="77777777" w:rsidR="002669D7" w:rsidRPr="008C093D" w:rsidRDefault="002669D7" w:rsidP="004F2640">
                <w:pPr>
                  <w:pStyle w:val="TBHeadingTable"/>
                </w:pPr>
                <w:r>
                  <w:t>EXPUNERE DE MOTIVE A CONSILIULUI</w:t>
                </w:r>
              </w:p>
            </w:tc>
          </w:tr>
          <w:tr w:rsidR="002669D7" w:rsidRPr="00F13D39" w14:paraId="336B60A0" w14:textId="77777777" w:rsidTr="00B511A2">
            <w:trPr>
              <w:jc w:val="center"/>
            </w:trPr>
            <w:tc>
              <w:tcPr>
                <w:tcW w:w="1985" w:type="dxa"/>
                <w:tcBorders>
                  <w:top w:val="single" w:sz="4" w:space="0" w:color="auto"/>
                  <w:bottom w:val="single" w:sz="4" w:space="0" w:color="auto"/>
                </w:tcBorders>
              </w:tcPr>
              <w:p w14:paraId="0DD6B987" w14:textId="77777777" w:rsidR="002669D7" w:rsidRPr="00F13D39" w:rsidRDefault="002669D7" w:rsidP="00F13D39">
                <w:pPr>
                  <w:pStyle w:val="TBSubjectTable"/>
                </w:pPr>
                <w:r>
                  <w:t>Subiect:</w:t>
                </w:r>
              </w:p>
            </w:tc>
            <w:tc>
              <w:tcPr>
                <w:tcW w:w="7660" w:type="dxa"/>
                <w:tcBorders>
                  <w:top w:val="single" w:sz="4" w:space="0" w:color="auto"/>
                  <w:bottom w:val="single" w:sz="4" w:space="0" w:color="auto"/>
                </w:tcBorders>
              </w:tcPr>
              <w:p w14:paraId="019817AF" w14:textId="77777777" w:rsidR="002669D7" w:rsidRDefault="002669D7">
                <w:pPr>
                  <w:pStyle w:val="TBSubjectText"/>
                </w:pPr>
                <w:bookmarkStart w:id="0" w:name="SplitParasInCell_1"/>
                <w:bookmarkEnd w:id="0"/>
                <w:r>
                  <w:t>Poziția în primă lectură a Consiliului în vederea adoptării unei DIRECTIVE A PARLAMENTULUI EUROPEAN ȘI A CONSILIULUI de modificare a Directivei 2000/60/CE de stabilire a unui cadru de politică comunitară în domeniul apei, a Directivei 2006/118/CE privind protecția apelor subterane împotriva poluării și a deteriorării și a Directivei 2008/105/CE privind standardele de calitate a mediului în domeniul apei</w:t>
                </w:r>
              </w:p>
              <w:p w14:paraId="42D14B6C" w14:textId="77777777" w:rsidR="002669D7" w:rsidRDefault="002669D7">
                <w:pPr>
                  <w:pStyle w:val="TBSubjectText"/>
                </w:pPr>
                <w:r>
                  <w:t>– Expunere de motive a Consiliului</w:t>
                </w:r>
              </w:p>
              <w:p w14:paraId="72474693" w14:textId="77777777" w:rsidR="002669D7" w:rsidRDefault="002669D7">
                <w:pPr>
                  <w:pStyle w:val="TBSubjectText"/>
                </w:pPr>
                <w:r>
                  <w:t>– Adoptată de Consiliu la 17 februarie 2026</w:t>
                </w:r>
              </w:p>
            </w:tc>
          </w:tr>
        </w:tbl>
        <w:p w14:paraId="3966B144" w14:textId="77777777" w:rsidR="002669D7" w:rsidRPr="00F751C6" w:rsidRDefault="00060117" w:rsidP="00F751C6">
          <w:pPr>
            <w:spacing w:before="20" w:after="240" w:line="20" w:lineRule="exact"/>
            <w:rPr>
              <w:sz w:val="2"/>
              <w:szCs w:val="2"/>
            </w:rPr>
          </w:pPr>
        </w:p>
      </w:sdtContent>
    </w:sdt>
    <w:p w14:paraId="33AB610F" w14:textId="77777777" w:rsidR="004C743B" w:rsidRPr="002669D7" w:rsidRDefault="004C743B">
      <w:pPr>
        <w:spacing w:before="0" w:after="200" w:line="276" w:lineRule="auto"/>
      </w:pPr>
      <w:bookmarkStart w:id="1" w:name="DQC_RangeToBeChecked"/>
      <w:r w:rsidRPr="002669D7">
        <w:br w:type="page"/>
      </w:r>
    </w:p>
    <w:p w14:paraId="50B750BE" w14:textId="77777777" w:rsidR="004C743B" w:rsidRPr="002669D7" w:rsidRDefault="004C743B" w:rsidP="004573BA">
      <w:pPr>
        <w:pStyle w:val="HeadingIVX"/>
      </w:pPr>
      <w:r w:rsidRPr="002669D7">
        <w:lastRenderedPageBreak/>
        <w:t>INTRODUCERE</w:t>
      </w:r>
    </w:p>
    <w:p w14:paraId="23A17020" w14:textId="77777777" w:rsidR="004C743B" w:rsidRPr="002669D7" w:rsidRDefault="004C743B" w:rsidP="004573BA">
      <w:pPr>
        <w:spacing w:before="100" w:beforeAutospacing="1" w:after="100" w:afterAutospacing="1"/>
        <w:ind w:left="567" w:hanging="567"/>
        <w:rPr>
          <w:rFonts w:eastAsia="Calibri" w:cs="Arial"/>
        </w:rPr>
      </w:pPr>
      <w:r w:rsidRPr="002669D7">
        <w:t>1.</w:t>
      </w:r>
      <w:r w:rsidRPr="002669D7">
        <w:tab/>
        <w:t>La 22 iunie 2022, Comisia a adoptat o propunere de directivă de modificare a Directivei 2000/60/CE de stabilire a unui cadru de politică comunitară în domeniul apei (DCA), a Directivei 2006/118/CE privind protecția apelor subterane împotriva poluării și a deteriorării (DAS) și a Directivei 2008/105/CE privind standardele de calitate a mediului în domeniul apei (DSCM)</w:t>
      </w:r>
      <w:r w:rsidRPr="002669D7">
        <w:rPr>
          <w:rStyle w:val="FootnoteReference"/>
          <w:rFonts w:eastAsia="Calibri" w:cs="Arial"/>
        </w:rPr>
        <w:footnoteReference w:id="1"/>
      </w:r>
      <w:r w:rsidRPr="002669D7">
        <w:t>.</w:t>
      </w:r>
    </w:p>
    <w:p w14:paraId="03575312" w14:textId="77777777" w:rsidR="004C743B" w:rsidRPr="002669D7" w:rsidRDefault="004C743B" w:rsidP="004573BA">
      <w:pPr>
        <w:spacing w:before="100" w:beforeAutospacing="1" w:after="100" w:afterAutospacing="1"/>
        <w:ind w:left="567" w:hanging="567"/>
        <w:rPr>
          <w:rFonts w:eastAsia="Calibri"/>
        </w:rPr>
      </w:pPr>
      <w:r w:rsidRPr="002669D7">
        <w:t>2.</w:t>
      </w:r>
      <w:r w:rsidRPr="002669D7">
        <w:tab/>
        <w:t>La 24 ianuarie 2023, au fost consultate Comitetul Regiunilor și Comitetul Economic și Social. Comitetul Economic și Social și-a adoptat avizul privind această propunere la 22 februarie 2023</w:t>
      </w:r>
      <w:r w:rsidRPr="002669D7">
        <w:rPr>
          <w:rStyle w:val="FootnoteReference"/>
          <w:rFonts w:eastAsia="Calibri"/>
        </w:rPr>
        <w:footnoteReference w:id="2"/>
      </w:r>
      <w:r w:rsidRPr="002669D7">
        <w:t>.</w:t>
      </w:r>
    </w:p>
    <w:p w14:paraId="481A8C0A" w14:textId="77777777" w:rsidR="004C743B" w:rsidRPr="002669D7" w:rsidRDefault="004C743B" w:rsidP="004573BA">
      <w:pPr>
        <w:spacing w:before="100" w:beforeAutospacing="1" w:after="100" w:afterAutospacing="1"/>
        <w:ind w:left="567" w:hanging="567"/>
        <w:rPr>
          <w:rFonts w:eastAsia="Calibri"/>
        </w:rPr>
      </w:pPr>
      <w:r w:rsidRPr="002669D7">
        <w:t>3.</w:t>
      </w:r>
      <w:r w:rsidRPr="002669D7">
        <w:tab/>
        <w:t>La 19 iunie 2024, Coreperul a adoptat un mandat de negociere cu Parlamentul European</w:t>
      </w:r>
      <w:r w:rsidRPr="002669D7">
        <w:rPr>
          <w:rStyle w:val="FootnoteReference"/>
          <w:rFonts w:eastAsia="Calibri"/>
        </w:rPr>
        <w:footnoteReference w:id="3"/>
      </w:r>
      <w:r w:rsidRPr="002669D7">
        <w:t>.</w:t>
      </w:r>
    </w:p>
    <w:p w14:paraId="3D7B45CF" w14:textId="77777777" w:rsidR="004C743B" w:rsidRPr="002669D7" w:rsidRDefault="004C743B" w:rsidP="004573BA">
      <w:pPr>
        <w:spacing w:before="100" w:beforeAutospacing="1" w:after="100" w:afterAutospacing="1"/>
        <w:ind w:left="567" w:hanging="567"/>
        <w:rPr>
          <w:rFonts w:eastAsia="Calibri" w:cs="Arial"/>
          <w:iCs/>
          <w:noProof/>
        </w:rPr>
      </w:pPr>
      <w:r w:rsidRPr="002669D7">
        <w:t>4.</w:t>
      </w:r>
      <w:r w:rsidRPr="002669D7">
        <w:tab/>
        <w:t>Parlamentul European și-a adoptat poziția în primă lectură pe 24 aprilie 2024, cu 452 de voturi pentru, 43 de voturi împotrivă și 83 de abțineri</w:t>
      </w:r>
      <w:r w:rsidRPr="002669D7">
        <w:rPr>
          <w:rStyle w:val="FootnoteReference"/>
          <w:rFonts w:eastAsia="Calibri" w:cs="Arial"/>
          <w:iCs/>
          <w:noProof/>
        </w:rPr>
        <w:footnoteReference w:id="4"/>
      </w:r>
      <w:r w:rsidRPr="002669D7">
        <w:t>.</w:t>
      </w:r>
    </w:p>
    <w:p w14:paraId="3D31D870" w14:textId="77777777" w:rsidR="004C743B" w:rsidRPr="002669D7" w:rsidRDefault="004C743B" w:rsidP="004573BA">
      <w:pPr>
        <w:spacing w:before="100" w:beforeAutospacing="1" w:after="100" w:afterAutospacing="1"/>
        <w:ind w:left="567" w:hanging="567"/>
        <w:rPr>
          <w:rFonts w:eastAsia="Calibri"/>
        </w:rPr>
      </w:pPr>
      <w:r w:rsidRPr="002669D7">
        <w:t>5.</w:t>
      </w:r>
      <w:r w:rsidRPr="002669D7">
        <w:tab/>
        <w:t>Au avut loc patru triloguri, la 28 ianuarie, 20 mai, 17 iunie și 23 septembrie 2025. Președinția a propus Coreperului mandate revizuite în cadrul reuniunilor sale din 14 mai, 13 iunie și 17 septembrie 2025. Pe lângă trilogurile politice, au avut loc 34 de reuniuni tehnice.</w:t>
      </w:r>
    </w:p>
    <w:p w14:paraId="3C490A0B" w14:textId="77777777" w:rsidR="004C743B" w:rsidRPr="002669D7" w:rsidRDefault="004C743B" w:rsidP="004573BA">
      <w:pPr>
        <w:spacing w:before="100" w:beforeAutospacing="1" w:after="100" w:afterAutospacing="1"/>
        <w:ind w:left="567"/>
        <w:rPr>
          <w:rFonts w:eastAsia="Calibri"/>
        </w:rPr>
      </w:pPr>
    </w:p>
    <w:p w14:paraId="59131B2A" w14:textId="77777777" w:rsidR="004C743B" w:rsidRPr="002669D7" w:rsidRDefault="004C743B" w:rsidP="004573BA">
      <w:pPr>
        <w:spacing w:before="100" w:beforeAutospacing="1" w:after="100" w:afterAutospacing="1"/>
        <w:rPr>
          <w:rFonts w:eastAsia="Calibri"/>
        </w:rPr>
      </w:pPr>
      <w:r w:rsidRPr="002669D7">
        <w:br w:type="page"/>
      </w:r>
    </w:p>
    <w:p w14:paraId="4D060BEC" w14:textId="77777777" w:rsidR="004C743B" w:rsidRPr="002669D7" w:rsidRDefault="004C743B" w:rsidP="004573BA">
      <w:pPr>
        <w:spacing w:before="100" w:beforeAutospacing="1" w:after="100" w:afterAutospacing="1"/>
        <w:ind w:left="567" w:hanging="567"/>
        <w:rPr>
          <w:rFonts w:eastAsia="Calibri"/>
        </w:rPr>
      </w:pPr>
      <w:r w:rsidRPr="002669D7">
        <w:lastRenderedPageBreak/>
        <w:t>6.</w:t>
      </w:r>
      <w:r w:rsidRPr="002669D7">
        <w:tab/>
        <w:t>La 8 octombrie 2025, Comitetul Reprezentanților Permanenți a analizat textul în vederea unui acord și a aprobat compromisul final rezultat în urma trilogurilor</w:t>
      </w:r>
      <w:r w:rsidRPr="002669D7">
        <w:rPr>
          <w:rFonts w:cstheme="minorBidi"/>
          <w:b/>
          <w:bCs/>
          <w:vertAlign w:val="superscript"/>
        </w:rPr>
        <w:footnoteReference w:id="5"/>
      </w:r>
      <w:r w:rsidRPr="002669D7">
        <w:t xml:space="preserve">. Textul aprobat a fost distribuit ca </w:t>
      </w:r>
      <w:r w:rsidRPr="002669D7">
        <w:rPr>
          <w:u w:val="single"/>
        </w:rPr>
        <w:t>anexă</w:t>
      </w:r>
      <w:r w:rsidRPr="002669D7">
        <w:t xml:space="preserve"> la documentul 13706/25.</w:t>
      </w:r>
    </w:p>
    <w:p w14:paraId="7C044BA0" w14:textId="77777777" w:rsidR="004C743B" w:rsidRPr="002669D7" w:rsidRDefault="004C743B" w:rsidP="004573BA">
      <w:pPr>
        <w:spacing w:before="100" w:beforeAutospacing="1" w:after="100" w:afterAutospacing="1"/>
        <w:ind w:left="567" w:hanging="567"/>
        <w:rPr>
          <w:rFonts w:cstheme="minorBidi"/>
        </w:rPr>
      </w:pPr>
      <w:r w:rsidRPr="002669D7">
        <w:t>7.</w:t>
      </w:r>
      <w:r w:rsidRPr="002669D7">
        <w:tab/>
        <w:t>La 21 octombrie 2025, Comisia ENVI a Parlamentului European a aprobat textul. Ulterior, în aceeași zi, președintele Comisiei ENVI a trimis o scrisoare președintelui Comitetului Reprezentanților Permanenți în care preciza că urma să recomande Comisiei ENVI și plenului să adopte poziția Consiliului fără amendamente, sub rezerva verificării de către experții juriști-lingviști.</w:t>
      </w:r>
    </w:p>
    <w:p w14:paraId="4BD632BC" w14:textId="77777777" w:rsidR="004C743B" w:rsidRPr="002669D7" w:rsidRDefault="004C743B" w:rsidP="004573BA">
      <w:pPr>
        <w:tabs>
          <w:tab w:val="num" w:pos="567"/>
        </w:tabs>
        <w:spacing w:before="100" w:beforeAutospacing="1" w:after="100" w:afterAutospacing="1"/>
        <w:ind w:left="567" w:hanging="567"/>
        <w:outlineLvl w:val="0"/>
        <w:rPr>
          <w:b/>
          <w:caps/>
          <w:u w:val="single"/>
        </w:rPr>
      </w:pPr>
      <w:r w:rsidRPr="002669D7">
        <w:rPr>
          <w:b/>
          <w:caps/>
        </w:rPr>
        <w:t>II.</w:t>
      </w:r>
      <w:r w:rsidRPr="002669D7">
        <w:rPr>
          <w:b/>
          <w:caps/>
        </w:rPr>
        <w:tab/>
      </w:r>
      <w:r w:rsidRPr="002669D7">
        <w:rPr>
          <w:b/>
          <w:caps/>
          <w:u w:val="single"/>
        </w:rPr>
        <w:t>OBIECTIV</w:t>
      </w:r>
    </w:p>
    <w:p w14:paraId="736528A4" w14:textId="77777777" w:rsidR="004C743B" w:rsidRPr="002669D7" w:rsidRDefault="004C743B" w:rsidP="004573BA">
      <w:pPr>
        <w:spacing w:before="100" w:beforeAutospacing="1" w:after="100" w:afterAutospacing="1"/>
        <w:ind w:left="567" w:hanging="567"/>
        <w:outlineLvl w:val="0"/>
        <w:rPr>
          <w:bCs/>
        </w:rPr>
      </w:pPr>
      <w:r w:rsidRPr="002669D7">
        <w:t>8.</w:t>
      </w:r>
      <w:r w:rsidRPr="002669D7">
        <w:tab/>
        <w:t>În 2019, Comisia a efectuat o verificare a adecvării legislației UE în domeniul apei, care este alcătuită din Directiva-cadru privind apa, Directiva privind standardele de calitate a mediului, Directiva privind apele subterane și Directiva privind inundațiile</w:t>
      </w:r>
      <w:r w:rsidRPr="002669D7">
        <w:rPr>
          <w:rStyle w:val="FootnoteReference"/>
          <w:bCs/>
        </w:rPr>
        <w:footnoteReference w:id="6"/>
      </w:r>
      <w:r w:rsidRPr="002669D7">
        <w:t>. Concluzia verificării adecvării a fost că, deși legislația este în linii mari adecvată scopului, se mai pot aduce îmbunătățiri în ceea ce privește combaterea poluării chimice.</w:t>
      </w:r>
    </w:p>
    <w:p w14:paraId="0AD50D53" w14:textId="77777777" w:rsidR="004C743B" w:rsidRPr="002669D7" w:rsidRDefault="004C743B" w:rsidP="004573BA">
      <w:pPr>
        <w:spacing w:before="100" w:beforeAutospacing="1" w:after="100" w:afterAutospacing="1"/>
        <w:ind w:left="567" w:hanging="567"/>
        <w:outlineLvl w:val="0"/>
        <w:rPr>
          <w:bCs/>
        </w:rPr>
      </w:pPr>
      <w:r w:rsidRPr="002669D7">
        <w:t>9.</w:t>
      </w:r>
      <w:r w:rsidRPr="002669D7">
        <w:tab/>
        <w:t>Această propunere de modificare a DCA, a DAS și a DSCM urmărește să actualizeze anexele la aceste directive care conțin listele de poluanți și standardele de calitate, să îmbunătățească monitorizarea amestecurilor de substanțe chimice, să raționalizeze viitoarele actualizări în funcție de constatările științifice, să îmbunătățească accesul la date, transparența și reutilizarea acestora și să stabilească noi standarde pentru o serie de substanțe care generează preocupări noi.</w:t>
      </w:r>
    </w:p>
    <w:p w14:paraId="2A6CD271" w14:textId="77777777" w:rsidR="004C743B" w:rsidRPr="002669D7" w:rsidRDefault="004C743B" w:rsidP="004573BA">
      <w:pPr>
        <w:spacing w:before="100" w:beforeAutospacing="1" w:after="100" w:afterAutospacing="1"/>
        <w:ind w:left="567" w:hanging="567"/>
        <w:outlineLvl w:val="0"/>
        <w:rPr>
          <w:bCs/>
          <w:highlight w:val="yellow"/>
        </w:rPr>
      </w:pPr>
    </w:p>
    <w:p w14:paraId="2BD1EFC0" w14:textId="77777777" w:rsidR="004C743B" w:rsidRPr="002669D7" w:rsidRDefault="004C743B" w:rsidP="004573BA">
      <w:pPr>
        <w:spacing w:before="100" w:beforeAutospacing="1" w:after="100" w:afterAutospacing="1"/>
        <w:rPr>
          <w:b/>
          <w:caps/>
        </w:rPr>
      </w:pPr>
      <w:r w:rsidRPr="002669D7">
        <w:br w:type="page"/>
      </w:r>
    </w:p>
    <w:p w14:paraId="2FE76328" w14:textId="77777777" w:rsidR="004C743B" w:rsidRPr="002669D7" w:rsidRDefault="004C743B" w:rsidP="00420D39">
      <w:pPr>
        <w:tabs>
          <w:tab w:val="left" w:pos="567"/>
        </w:tabs>
        <w:spacing w:before="100" w:beforeAutospacing="1" w:after="100" w:afterAutospacing="1"/>
        <w:rPr>
          <w:b/>
          <w:caps/>
          <w:u w:val="single"/>
        </w:rPr>
      </w:pPr>
      <w:r w:rsidRPr="002669D7">
        <w:rPr>
          <w:b/>
          <w:caps/>
        </w:rPr>
        <w:lastRenderedPageBreak/>
        <w:t>III.</w:t>
      </w:r>
      <w:r w:rsidRPr="002669D7">
        <w:rPr>
          <w:b/>
          <w:caps/>
        </w:rPr>
        <w:tab/>
      </w:r>
      <w:r w:rsidRPr="002669D7">
        <w:rPr>
          <w:b/>
          <w:caps/>
          <w:u w:val="single"/>
        </w:rPr>
        <w:t>ANALIZA POZIȚIEI ÎN PRIMĂ LECTURĂ A CONSILIULUI</w:t>
      </w:r>
    </w:p>
    <w:p w14:paraId="5AD3B72B" w14:textId="77777777" w:rsidR="004C743B" w:rsidRPr="002669D7" w:rsidRDefault="004C743B" w:rsidP="004573BA">
      <w:pPr>
        <w:spacing w:before="100" w:beforeAutospacing="1" w:after="100" w:afterAutospacing="1"/>
        <w:ind w:left="567" w:hanging="567"/>
      </w:pPr>
      <w:r w:rsidRPr="002669D7">
        <w:t>10.</w:t>
      </w:r>
      <w:r w:rsidRPr="002669D7">
        <w:tab/>
        <w:t>Pe baza propunerii Comisiei, Parlamentul și Consiliul au desfășurat negocieri în vederea încheierii unui acord în etapa poziției Consiliului în primă lectură. Textul proiectului de poziție a Consiliului reflectă pe deplin compromisul la care au ajuns cei doi colegiuitori.</w:t>
      </w:r>
    </w:p>
    <w:p w14:paraId="0726CAF6" w14:textId="77777777" w:rsidR="004C743B" w:rsidRPr="002669D7" w:rsidRDefault="004C743B" w:rsidP="004573BA">
      <w:pPr>
        <w:spacing w:before="100" w:beforeAutospacing="1" w:after="100" w:afterAutospacing="1"/>
        <w:ind w:left="567" w:hanging="567"/>
      </w:pPr>
      <w:r w:rsidRPr="002669D7">
        <w:t>11.</w:t>
      </w:r>
      <w:r w:rsidRPr="002669D7">
        <w:tab/>
        <w:t xml:space="preserve">Pentru a facilita negocierile, chestiunile politice au fost grupate în cinci grupuri tematice: a) listele de supraveghere, b) monitorizarea, c) raportarea, d) substanțele și e) aspectele orizontale. Acordul la care s-a ajuns în cadrul trilogului din 23 septembrie 2025, reflectat în poziția Consiliului în primă lectură, conține următoarele </w:t>
      </w:r>
      <w:r w:rsidRPr="002669D7">
        <w:rPr>
          <w:b/>
        </w:rPr>
        <w:t>aspecte esențiale de politică</w:t>
      </w:r>
      <w:r w:rsidRPr="002669D7">
        <w:t>:</w:t>
      </w:r>
    </w:p>
    <w:p w14:paraId="7644E6C7" w14:textId="77777777" w:rsidR="004C743B" w:rsidRPr="002669D7" w:rsidRDefault="004C743B" w:rsidP="004573BA">
      <w:pPr>
        <w:spacing w:before="100" w:beforeAutospacing="1" w:after="100" w:afterAutospacing="1"/>
        <w:ind w:left="567" w:hanging="567"/>
        <w:rPr>
          <w:b/>
          <w:bCs/>
        </w:rPr>
      </w:pPr>
      <w:r w:rsidRPr="002669D7">
        <w:rPr>
          <w:b/>
        </w:rPr>
        <w:t>a)</w:t>
      </w:r>
      <w:r w:rsidRPr="002669D7">
        <w:rPr>
          <w:b/>
        </w:rPr>
        <w:tab/>
        <w:t>Grupul tematic privind listele de supraveghere</w:t>
      </w:r>
    </w:p>
    <w:p w14:paraId="4C564EF6" w14:textId="77777777" w:rsidR="004C743B" w:rsidRPr="002669D7" w:rsidRDefault="004C743B" w:rsidP="004573BA">
      <w:pPr>
        <w:spacing w:before="100" w:beforeAutospacing="1" w:after="100" w:afterAutospacing="1"/>
        <w:ind w:left="567" w:hanging="567"/>
      </w:pPr>
      <w:r w:rsidRPr="002669D7">
        <w:t>12.</w:t>
      </w:r>
      <w:r w:rsidRPr="002669D7">
        <w:tab/>
        <w:t>Listele de supraveghere atât pentru apele subterane, cât și pentru apele de suprafață trebuie stabilite printr-un act de punere în aplicare în termen de doi ani, iar apoi trebuie revizuite din trei în trei ani. Statele membre trebuie să monitorizeze fiecare substanță sau grup de substanțe din lista de supraveghere la stații de monitorizare reprezentative selectate, pentru o perioadă de 24 de luni. Perioada de monitorizare începe în termen de șase luni de la stabilirea listelor de supraveghere, dar nu este necesar să se inițieze prelevarea și analiza la începutul perioadei respective. Substanțele din lista pentru apele subterane trebuie monitorizate cel puțin o dată pe an. Substanțele din lista pentru apele de suprafață ar trebui monitorizate de cel puțin două ori pe an și cel puțin o dată pe an pentru biotă și sedimente.</w:t>
      </w:r>
    </w:p>
    <w:p w14:paraId="26201826" w14:textId="77777777" w:rsidR="004C743B" w:rsidRPr="002669D7" w:rsidRDefault="004C743B" w:rsidP="004573BA">
      <w:pPr>
        <w:spacing w:before="100" w:beforeAutospacing="1" w:after="100" w:afterAutospacing="1"/>
        <w:ind w:left="567" w:hanging="567"/>
      </w:pPr>
    </w:p>
    <w:p w14:paraId="384B290C" w14:textId="77777777" w:rsidR="004C743B" w:rsidRPr="002669D7" w:rsidRDefault="004C743B" w:rsidP="004573BA">
      <w:pPr>
        <w:spacing w:before="100" w:beforeAutospacing="1" w:after="100" w:afterAutospacing="1"/>
      </w:pPr>
      <w:r w:rsidRPr="002669D7">
        <w:br w:type="page"/>
      </w:r>
    </w:p>
    <w:p w14:paraId="36727086" w14:textId="77777777" w:rsidR="004C743B" w:rsidRPr="002669D7" w:rsidRDefault="004C743B" w:rsidP="004573BA">
      <w:pPr>
        <w:spacing w:before="100" w:beforeAutospacing="1" w:after="100" w:afterAutospacing="1"/>
        <w:ind w:left="567" w:hanging="567"/>
      </w:pPr>
      <w:r w:rsidRPr="002669D7">
        <w:t>13.</w:t>
      </w:r>
      <w:r w:rsidRPr="002669D7">
        <w:tab/>
      </w:r>
      <w:r w:rsidRPr="002669D7">
        <w:rPr>
          <w:b/>
          <w:bCs/>
        </w:rPr>
        <w:t>Listele de supraveghere sunt plafonate</w:t>
      </w:r>
      <w:r w:rsidRPr="002669D7">
        <w:t xml:space="preserve"> la maximum cinci substanțe sau grupuri de substanțe pentru apele subterane și la zece substanțe sau grupuri de substanțe pentru apele de suprafață. Microplasticele și indicatorii rezistenței la antimicrobiene vor fi incluse numai dacă vor exista metode fiabile de eșantionare și analiză. Comisia are sarcina de a elabora astfel de metode în termen de 18 luni.</w:t>
      </w:r>
    </w:p>
    <w:p w14:paraId="5F53A33D" w14:textId="77777777" w:rsidR="004C743B" w:rsidRPr="002669D7" w:rsidRDefault="004C743B" w:rsidP="004573BA">
      <w:pPr>
        <w:spacing w:before="100" w:beforeAutospacing="1" w:after="100" w:afterAutospacing="1"/>
        <w:ind w:left="567" w:hanging="567"/>
      </w:pPr>
      <w:r w:rsidRPr="002669D7">
        <w:t>14.</w:t>
      </w:r>
      <w:r w:rsidRPr="002669D7">
        <w:tab/>
        <w:t>ECHA trebuie să întocmească rapoarte științifice pentru a ajuta Comisia să selecteze substanțele de inclus pe lista de supraveghere, ținând seama de o varietate de informații științifice, inclusiv de recomandările cuprinse în Strategia comună de punere în aplicare a DCA.</w:t>
      </w:r>
    </w:p>
    <w:p w14:paraId="26AA3DD8" w14:textId="77777777" w:rsidR="004C743B" w:rsidRPr="002669D7" w:rsidRDefault="004C743B" w:rsidP="004573BA">
      <w:pPr>
        <w:spacing w:before="100" w:beforeAutospacing="1" w:after="100" w:afterAutospacing="1"/>
        <w:ind w:left="567" w:hanging="567"/>
        <w:rPr>
          <w:b/>
          <w:bCs/>
        </w:rPr>
      </w:pPr>
      <w:r w:rsidRPr="002669D7">
        <w:rPr>
          <w:b/>
        </w:rPr>
        <w:t>b)</w:t>
      </w:r>
      <w:r w:rsidRPr="002669D7">
        <w:rPr>
          <w:b/>
        </w:rPr>
        <w:tab/>
        <w:t>Grupul tematic privind monitorizarea</w:t>
      </w:r>
    </w:p>
    <w:p w14:paraId="6C134369" w14:textId="77777777" w:rsidR="004C743B" w:rsidRPr="002669D7" w:rsidRDefault="004C743B" w:rsidP="004573BA">
      <w:pPr>
        <w:spacing w:before="100" w:beforeAutospacing="1" w:after="100" w:afterAutospacing="1"/>
        <w:ind w:left="567" w:hanging="567"/>
      </w:pPr>
      <w:r w:rsidRPr="002669D7">
        <w:t>15.</w:t>
      </w:r>
      <w:r w:rsidRPr="002669D7">
        <w:tab/>
        <w:t xml:space="preserve">În ceea ce privește </w:t>
      </w:r>
      <w:r w:rsidRPr="002669D7">
        <w:rPr>
          <w:b/>
          <w:bCs/>
        </w:rPr>
        <w:t>frecvența monitorizării</w:t>
      </w:r>
      <w:r w:rsidRPr="002669D7">
        <w:t xml:space="preserve"> substanțelor care se comportă ca substanțe PBT omniprezente, statele membre pot monitoriza aceste substanțe mai puțin frecvent decât este necesar pentru substanțele prioritare, dar o astfel de monitorizare ar trebui să aibă loc cel puțin o dată la trei ani, cu excepția cazului în care utilizarea sau emisia substanței ori cunoștințele tehnice și opinia experților justifică un alt interval.</w:t>
      </w:r>
    </w:p>
    <w:p w14:paraId="3A0DF8F9" w14:textId="77777777" w:rsidR="004C743B" w:rsidRPr="002669D7" w:rsidRDefault="004C743B" w:rsidP="004573BA">
      <w:pPr>
        <w:spacing w:before="100" w:beforeAutospacing="1" w:after="100" w:afterAutospacing="1"/>
        <w:ind w:left="567" w:hanging="567"/>
      </w:pPr>
      <w:r w:rsidRPr="002669D7">
        <w:t>16.</w:t>
      </w:r>
      <w:r w:rsidRPr="002669D7">
        <w:tab/>
        <w:t xml:space="preserve">În ceea ce privește </w:t>
      </w:r>
      <w:r w:rsidRPr="002669D7">
        <w:rPr>
          <w:b/>
          <w:bCs/>
        </w:rPr>
        <w:t>variațiile sezoniere</w:t>
      </w:r>
      <w:r w:rsidRPr="002669D7">
        <w:t xml:space="preserve"> ale monitorizării, statele membre trebuie să ia în considerare vârfurile de utilizare a substanțelor atunci când își planifică monitorizarea. De asemenea, se prevede încurajarea digitalizării monitorizării, în mod opțional.</w:t>
      </w:r>
    </w:p>
    <w:p w14:paraId="45153C9A" w14:textId="77777777" w:rsidR="004C743B" w:rsidRPr="002669D7" w:rsidRDefault="004C743B" w:rsidP="004573BA">
      <w:pPr>
        <w:spacing w:before="100" w:beforeAutospacing="1" w:after="100" w:afterAutospacing="1"/>
      </w:pPr>
    </w:p>
    <w:p w14:paraId="5AC2B91C" w14:textId="77777777" w:rsidR="004C743B" w:rsidRPr="002669D7" w:rsidRDefault="004C743B" w:rsidP="004573BA">
      <w:pPr>
        <w:spacing w:before="100" w:beforeAutospacing="1" w:after="100" w:afterAutospacing="1"/>
      </w:pPr>
      <w:r w:rsidRPr="002669D7">
        <w:br w:type="page"/>
      </w:r>
    </w:p>
    <w:p w14:paraId="7B4446DA" w14:textId="77777777" w:rsidR="004C743B" w:rsidRPr="002669D7" w:rsidRDefault="004C743B" w:rsidP="004573BA">
      <w:pPr>
        <w:spacing w:before="100" w:beforeAutospacing="1" w:after="100" w:afterAutospacing="1"/>
        <w:ind w:left="567" w:hanging="567"/>
      </w:pPr>
      <w:r w:rsidRPr="002669D7">
        <w:t>17.</w:t>
      </w:r>
      <w:r w:rsidRPr="002669D7">
        <w:tab/>
      </w:r>
      <w:r w:rsidRPr="002669D7">
        <w:rPr>
          <w:b/>
          <w:bCs/>
        </w:rPr>
        <w:t>Monitorizarea bazată pe efecte</w:t>
      </w:r>
      <w:r w:rsidRPr="002669D7">
        <w:t xml:space="preserve"> este obligatorie pentru substanțele estrogene din apele de suprafață pe o perioadă de doi ani, pentru a-i permite Comisiei să culeagă date. Comisia stabilește specificațiile tehnice pentru această monitorizare printr-un act de punere în aplicare. Pentru a garanta că statele membre dispun de suficient timp pentru pregătiri, numărul siturilor de control este limitat, iar datele culese prin această metodă sunt excluse din evaluarea stării la sfârșitul ciclului de șase ani, în cursul căruia va avea loc această monitorizare pe o perioadă de doi ani.</w:t>
      </w:r>
    </w:p>
    <w:p w14:paraId="055F17AE" w14:textId="77777777" w:rsidR="004C743B" w:rsidRPr="002669D7" w:rsidRDefault="004C743B" w:rsidP="004573BA">
      <w:pPr>
        <w:spacing w:before="100" w:beforeAutospacing="1" w:after="100" w:afterAutospacing="1"/>
        <w:ind w:left="567" w:hanging="567"/>
      </w:pPr>
      <w:r w:rsidRPr="002669D7">
        <w:t>18.</w:t>
      </w:r>
      <w:r w:rsidRPr="002669D7">
        <w:tab/>
        <w:t xml:space="preserve">În ceea ce privește </w:t>
      </w:r>
      <w:r w:rsidRPr="002669D7">
        <w:rPr>
          <w:b/>
          <w:bCs/>
        </w:rPr>
        <w:t>instalația comună de monitorizare</w:t>
      </w:r>
      <w:r w:rsidRPr="002669D7">
        <w:t>, în DCA este inclusă o dispoziție care urmează o abordare treptată, și anume faptul că mai întâi Comisia trebuie să evalueze fezabilitatea, iar apoi posibila înființare a instalației. Utilizarea instalației de către statele membre este opțională.</w:t>
      </w:r>
    </w:p>
    <w:p w14:paraId="2C1C12B4" w14:textId="77777777" w:rsidR="004C743B" w:rsidRPr="002669D7" w:rsidRDefault="004C743B" w:rsidP="004573BA">
      <w:pPr>
        <w:spacing w:before="100" w:beforeAutospacing="1" w:after="100" w:afterAutospacing="1"/>
        <w:ind w:left="567" w:hanging="567"/>
        <w:rPr>
          <w:b/>
          <w:bCs/>
        </w:rPr>
      </w:pPr>
      <w:r w:rsidRPr="002669D7">
        <w:rPr>
          <w:b/>
        </w:rPr>
        <w:t>c)</w:t>
      </w:r>
      <w:r w:rsidRPr="002669D7">
        <w:rPr>
          <w:b/>
        </w:rPr>
        <w:tab/>
        <w:t>Grupul tematic privind raportarea</w:t>
      </w:r>
    </w:p>
    <w:p w14:paraId="4C064879" w14:textId="77777777" w:rsidR="004C743B" w:rsidRPr="002669D7" w:rsidRDefault="004C743B" w:rsidP="004573BA">
      <w:pPr>
        <w:spacing w:before="100" w:beforeAutospacing="1" w:after="100" w:afterAutospacing="1"/>
        <w:ind w:left="567" w:hanging="567"/>
      </w:pPr>
      <w:r w:rsidRPr="002669D7">
        <w:t>19.</w:t>
      </w:r>
      <w:r w:rsidRPr="002669D7">
        <w:tab/>
        <w:t>În ceea ce privește raportarea, poziția în primă lectură a Consiliului conține următoarele elemente:</w:t>
      </w:r>
    </w:p>
    <w:p w14:paraId="281735EE" w14:textId="77777777" w:rsidR="004C743B" w:rsidRPr="002669D7" w:rsidRDefault="004C743B" w:rsidP="004573BA">
      <w:pPr>
        <w:pStyle w:val="ListParagraph"/>
        <w:numPr>
          <w:ilvl w:val="0"/>
          <w:numId w:val="21"/>
        </w:numPr>
        <w:spacing w:before="100" w:beforeAutospacing="1" w:after="100" w:afterAutospacing="1" w:line="360" w:lineRule="auto"/>
        <w:ind w:left="1134" w:hanging="567"/>
        <w:contextualSpacing w:val="0"/>
        <w:rPr>
          <w:rFonts w:asciiTheme="majorBidi" w:hAnsiTheme="majorBidi" w:cstheme="majorBidi"/>
          <w:sz w:val="24"/>
          <w:szCs w:val="24"/>
        </w:rPr>
      </w:pPr>
      <w:r w:rsidRPr="002669D7">
        <w:rPr>
          <w:rFonts w:asciiTheme="majorBidi" w:hAnsiTheme="majorBidi"/>
          <w:sz w:val="24"/>
        </w:rPr>
        <w:t>raportarea stării va continua să aibă loc în cadrul planurilor de gestionare a bazinelor hidrografice întocmite o dată la șase ani;</w:t>
      </w:r>
    </w:p>
    <w:p w14:paraId="1D7CBB7D" w14:textId="77777777" w:rsidR="004C743B" w:rsidRPr="002669D7" w:rsidRDefault="004C743B" w:rsidP="004573BA">
      <w:pPr>
        <w:pStyle w:val="ListParagraph"/>
        <w:numPr>
          <w:ilvl w:val="0"/>
          <w:numId w:val="21"/>
        </w:numPr>
        <w:spacing w:before="100" w:beforeAutospacing="1" w:after="100" w:afterAutospacing="1" w:line="360" w:lineRule="auto"/>
        <w:ind w:left="1134" w:hanging="567"/>
        <w:contextualSpacing w:val="0"/>
        <w:rPr>
          <w:rFonts w:asciiTheme="majorBidi" w:hAnsiTheme="majorBidi" w:cstheme="majorBidi"/>
          <w:sz w:val="24"/>
          <w:szCs w:val="24"/>
        </w:rPr>
      </w:pPr>
      <w:r w:rsidRPr="002669D7">
        <w:rPr>
          <w:rFonts w:asciiTheme="majorBidi" w:hAnsiTheme="majorBidi"/>
          <w:sz w:val="24"/>
        </w:rPr>
        <w:t>se elimină dispoziția actuală referitoare la raportul interimar privind programul de măsuri;</w:t>
      </w:r>
    </w:p>
    <w:p w14:paraId="55315D96" w14:textId="77777777" w:rsidR="004C743B" w:rsidRPr="002669D7" w:rsidRDefault="004C743B" w:rsidP="004573BA">
      <w:pPr>
        <w:pStyle w:val="ListParagraph"/>
        <w:numPr>
          <w:ilvl w:val="0"/>
          <w:numId w:val="21"/>
        </w:numPr>
        <w:spacing w:before="100" w:beforeAutospacing="1" w:after="100" w:afterAutospacing="1" w:line="360" w:lineRule="auto"/>
        <w:ind w:left="1134" w:hanging="567"/>
        <w:contextualSpacing w:val="0"/>
        <w:rPr>
          <w:rFonts w:asciiTheme="majorBidi" w:hAnsiTheme="majorBidi" w:cstheme="majorBidi"/>
          <w:sz w:val="24"/>
          <w:szCs w:val="24"/>
        </w:rPr>
      </w:pPr>
      <w:r w:rsidRPr="002669D7">
        <w:rPr>
          <w:rFonts w:asciiTheme="majorBidi" w:hAnsiTheme="majorBidi"/>
          <w:sz w:val="24"/>
        </w:rPr>
        <w:t>datele de monitorizare referitoare la elementele calitative biologice din apele de suprafață trebuie raportate o dată la trei ani;</w:t>
      </w:r>
    </w:p>
    <w:p w14:paraId="61E01FA7" w14:textId="77777777" w:rsidR="004C743B" w:rsidRPr="002669D7" w:rsidRDefault="004C743B" w:rsidP="004573BA">
      <w:pPr>
        <w:pStyle w:val="ListParagraph"/>
        <w:numPr>
          <w:ilvl w:val="0"/>
          <w:numId w:val="21"/>
        </w:numPr>
        <w:spacing w:before="100" w:beforeAutospacing="1" w:after="100" w:afterAutospacing="1" w:line="360" w:lineRule="auto"/>
        <w:ind w:left="1134" w:hanging="567"/>
        <w:contextualSpacing w:val="0"/>
        <w:rPr>
          <w:rFonts w:asciiTheme="majorBidi" w:hAnsiTheme="majorBidi" w:cstheme="majorBidi"/>
          <w:sz w:val="24"/>
          <w:szCs w:val="24"/>
        </w:rPr>
      </w:pPr>
      <w:r w:rsidRPr="002669D7">
        <w:rPr>
          <w:rFonts w:asciiTheme="majorBidi" w:hAnsiTheme="majorBidi"/>
          <w:sz w:val="24"/>
        </w:rPr>
        <w:t>datele de monitorizare referitoare la elementele calitative chimice din apele de suprafață și din apele subterane trebuie raportate o dată la doi ani; statele membre sunt încurajate să raporteze anual în acest sens, în mod voluntar;</w:t>
      </w:r>
    </w:p>
    <w:p w14:paraId="6E2B338A" w14:textId="77777777" w:rsidR="004C743B" w:rsidRPr="002669D7" w:rsidRDefault="004C743B" w:rsidP="004573BA">
      <w:pPr>
        <w:pStyle w:val="ListParagraph"/>
        <w:numPr>
          <w:ilvl w:val="0"/>
          <w:numId w:val="21"/>
        </w:numPr>
        <w:spacing w:before="100" w:beforeAutospacing="1" w:after="100" w:afterAutospacing="1" w:line="360" w:lineRule="auto"/>
        <w:ind w:left="1134" w:hanging="567"/>
        <w:contextualSpacing w:val="0"/>
        <w:rPr>
          <w:rFonts w:asciiTheme="majorBidi" w:hAnsiTheme="majorBidi" w:cstheme="majorBidi"/>
          <w:sz w:val="24"/>
          <w:szCs w:val="24"/>
        </w:rPr>
      </w:pPr>
      <w:r w:rsidRPr="002669D7">
        <w:rPr>
          <w:rFonts w:asciiTheme="majorBidi" w:hAnsiTheme="majorBidi"/>
          <w:sz w:val="24"/>
        </w:rPr>
        <w:t>noile obligații de raportare ar trebui să fie pe deplin aliniate la mecanismele existente de transmitere electronică a datelor;</w:t>
      </w:r>
    </w:p>
    <w:p w14:paraId="0A65283A" w14:textId="77777777" w:rsidR="004C743B" w:rsidRPr="002669D7" w:rsidRDefault="004C743B" w:rsidP="004573BA">
      <w:pPr>
        <w:pStyle w:val="ListParagraph"/>
        <w:numPr>
          <w:ilvl w:val="0"/>
          <w:numId w:val="21"/>
        </w:numPr>
        <w:spacing w:before="100" w:beforeAutospacing="1" w:after="100" w:afterAutospacing="1" w:line="360" w:lineRule="auto"/>
        <w:ind w:left="1134" w:hanging="567"/>
        <w:contextualSpacing w:val="0"/>
        <w:rPr>
          <w:rFonts w:asciiTheme="majorBidi" w:hAnsiTheme="majorBidi" w:cstheme="majorBidi"/>
          <w:sz w:val="24"/>
          <w:szCs w:val="24"/>
        </w:rPr>
      </w:pPr>
      <w:r w:rsidRPr="002669D7">
        <w:rPr>
          <w:rFonts w:asciiTheme="majorBidi" w:hAnsiTheme="majorBidi"/>
          <w:sz w:val="24"/>
        </w:rPr>
        <w:t>Statele membre pot furniza hărți suplimentare care prezintă informații privind starea.</w:t>
      </w:r>
    </w:p>
    <w:p w14:paraId="65C4EC8B" w14:textId="77777777" w:rsidR="004C743B" w:rsidRPr="002669D7" w:rsidRDefault="004C743B" w:rsidP="004573BA">
      <w:pPr>
        <w:spacing w:before="100" w:beforeAutospacing="1" w:after="100" w:afterAutospacing="1"/>
        <w:ind w:left="567" w:hanging="567"/>
        <w:rPr>
          <w:u w:val="single"/>
        </w:rPr>
      </w:pPr>
    </w:p>
    <w:p w14:paraId="4EB38888" w14:textId="77777777" w:rsidR="004C743B" w:rsidRPr="002669D7" w:rsidRDefault="004C743B" w:rsidP="004573BA">
      <w:pPr>
        <w:spacing w:before="100" w:beforeAutospacing="1" w:after="100" w:afterAutospacing="1"/>
        <w:rPr>
          <w:b/>
          <w:bCs/>
        </w:rPr>
      </w:pPr>
      <w:r w:rsidRPr="002669D7">
        <w:br w:type="page"/>
      </w:r>
    </w:p>
    <w:p w14:paraId="5889A2CB" w14:textId="77777777" w:rsidR="004C743B" w:rsidRPr="002669D7" w:rsidRDefault="004C743B" w:rsidP="004573BA">
      <w:pPr>
        <w:spacing w:before="100" w:beforeAutospacing="1" w:after="100" w:afterAutospacing="1"/>
        <w:ind w:left="567" w:hanging="567"/>
        <w:rPr>
          <w:rFonts w:asciiTheme="majorBidi" w:hAnsiTheme="majorBidi" w:cstheme="majorBidi"/>
          <w:b/>
          <w:bCs/>
          <w:szCs w:val="24"/>
        </w:rPr>
      </w:pPr>
      <w:r w:rsidRPr="002669D7">
        <w:rPr>
          <w:rFonts w:asciiTheme="majorBidi" w:hAnsiTheme="majorBidi"/>
          <w:b/>
        </w:rPr>
        <w:t>d)</w:t>
      </w:r>
      <w:r w:rsidRPr="002669D7">
        <w:rPr>
          <w:rFonts w:asciiTheme="majorBidi" w:hAnsiTheme="majorBidi"/>
          <w:b/>
        </w:rPr>
        <w:tab/>
        <w:t>Grupul tematic privind substanțele</w:t>
      </w:r>
    </w:p>
    <w:p w14:paraId="33373A56" w14:textId="77777777" w:rsidR="004C743B" w:rsidRPr="002669D7" w:rsidRDefault="004C743B" w:rsidP="004573BA">
      <w:pPr>
        <w:spacing w:before="100" w:beforeAutospacing="1" w:after="100" w:afterAutospacing="1"/>
        <w:ind w:left="567" w:hanging="567"/>
        <w:rPr>
          <w:rFonts w:asciiTheme="majorBidi" w:hAnsiTheme="majorBidi" w:cstheme="majorBidi"/>
          <w:szCs w:val="24"/>
        </w:rPr>
      </w:pPr>
      <w:r w:rsidRPr="002669D7">
        <w:rPr>
          <w:rFonts w:asciiTheme="majorBidi" w:hAnsiTheme="majorBidi"/>
        </w:rPr>
        <w:t>20.</w:t>
      </w:r>
      <w:r w:rsidRPr="002669D7">
        <w:rPr>
          <w:rFonts w:asciiTheme="majorBidi" w:hAnsiTheme="majorBidi"/>
        </w:rPr>
        <w:tab/>
        <w:t xml:space="preserve">În ceea ce privește </w:t>
      </w:r>
      <w:r w:rsidRPr="002669D7">
        <w:rPr>
          <w:rFonts w:asciiTheme="majorBidi" w:hAnsiTheme="majorBidi"/>
          <w:b/>
          <w:bCs/>
        </w:rPr>
        <w:t>substanțele</w:t>
      </w:r>
      <w:r w:rsidRPr="002669D7">
        <w:rPr>
          <w:rFonts w:asciiTheme="majorBidi" w:hAnsiTheme="majorBidi"/>
        </w:rPr>
        <w:t>, poziția în primă lectură a Consiliului conține următoarele elemente:</w:t>
      </w:r>
    </w:p>
    <w:p w14:paraId="68C5C0FE" w14:textId="77777777" w:rsidR="004C743B" w:rsidRPr="002669D7" w:rsidRDefault="004C743B" w:rsidP="004573BA">
      <w:pPr>
        <w:pStyle w:val="ListParagraph"/>
        <w:numPr>
          <w:ilvl w:val="0"/>
          <w:numId w:val="21"/>
        </w:numPr>
        <w:spacing w:before="100" w:beforeAutospacing="1" w:after="100" w:afterAutospacing="1" w:line="360" w:lineRule="auto"/>
        <w:ind w:left="1134" w:hanging="567"/>
        <w:contextualSpacing w:val="0"/>
        <w:rPr>
          <w:rFonts w:asciiTheme="majorBidi" w:hAnsiTheme="majorBidi" w:cstheme="majorBidi"/>
          <w:sz w:val="24"/>
          <w:szCs w:val="24"/>
        </w:rPr>
      </w:pPr>
      <w:r w:rsidRPr="002669D7">
        <w:rPr>
          <w:rFonts w:asciiTheme="majorBidi" w:hAnsiTheme="majorBidi"/>
          <w:sz w:val="24"/>
        </w:rPr>
        <w:t xml:space="preserve">În ceea ce privește </w:t>
      </w:r>
      <w:r w:rsidRPr="002669D7">
        <w:rPr>
          <w:rFonts w:asciiTheme="majorBidi" w:hAnsiTheme="majorBidi"/>
          <w:b/>
          <w:bCs/>
          <w:sz w:val="24"/>
        </w:rPr>
        <w:t>PFAS</w:t>
      </w:r>
      <w:r w:rsidRPr="002669D7">
        <w:rPr>
          <w:rFonts w:asciiTheme="majorBidi" w:hAnsiTheme="majorBidi"/>
          <w:sz w:val="24"/>
        </w:rPr>
        <w:t>: suma PFAS pentru apele subterane este aliniată la DAP, care stabilește un standard de calitate pentru suma a 20 de PFAS. Alinierea la DAP este dinamică și orice actualizări efectuate pentru apa potabilă se vor aplica automat apelor subterane. În plus, pentru a ține seama de noile cunoștințe științifice și pentru a înțelege mai bine nocivitatea acestor substanțe, în cazul apelor subterane se include un standard de calitate pentru suma a patru PFAS considerate a prezenta un risc semnificativ pentru sănătatea umană și pentru mediu. Pentru apele de suprafață, TFA se adaugă la suma a 24 de PFAS. La următoarea revizuire, atât pentru apele subterane, cât și pentru apele de suprafață, Comisia trebuie să analizeze dacă TFA ar trebui să aibă propriul standard de calitate separat sau să facă în continuare parte din suma PFAS. De asemenea, Comisia ar trebui să ia în considerare stabilirea unor standarde de calitate pentru PFAS total.</w:t>
      </w:r>
    </w:p>
    <w:p w14:paraId="0589C29E" w14:textId="77777777" w:rsidR="004C743B" w:rsidRPr="002669D7" w:rsidRDefault="004C743B" w:rsidP="004573BA">
      <w:pPr>
        <w:pStyle w:val="ListParagraph"/>
        <w:numPr>
          <w:ilvl w:val="0"/>
          <w:numId w:val="21"/>
        </w:numPr>
        <w:spacing w:before="100" w:beforeAutospacing="1" w:after="100" w:afterAutospacing="1" w:line="360" w:lineRule="auto"/>
        <w:ind w:left="1134" w:hanging="567"/>
        <w:contextualSpacing w:val="0"/>
        <w:rPr>
          <w:rFonts w:asciiTheme="majorBidi" w:hAnsiTheme="majorBidi" w:cstheme="majorBidi"/>
          <w:sz w:val="24"/>
          <w:szCs w:val="24"/>
        </w:rPr>
      </w:pPr>
      <w:r w:rsidRPr="002669D7">
        <w:rPr>
          <w:rFonts w:asciiTheme="majorBidi" w:hAnsiTheme="majorBidi"/>
          <w:sz w:val="24"/>
        </w:rPr>
        <w:t xml:space="preserve">În ceea ce privește </w:t>
      </w:r>
      <w:r w:rsidRPr="002669D7">
        <w:rPr>
          <w:rFonts w:asciiTheme="majorBidi" w:hAnsiTheme="majorBidi"/>
          <w:b/>
          <w:bCs/>
          <w:sz w:val="24"/>
        </w:rPr>
        <w:t>pesticidele</w:t>
      </w:r>
      <w:r w:rsidRPr="002669D7">
        <w:rPr>
          <w:rFonts w:asciiTheme="majorBidi" w:hAnsiTheme="majorBidi"/>
          <w:sz w:val="24"/>
        </w:rPr>
        <w:t>: pentru apele subterane, se simplifică un standard de calitate pentru metaboliții nerelevanți ai pesticidelor. În plus, Comisia trebuie să stabilească, printr-un act de punere în aplicare, o listă a metaboliților cunoscuți ai pesticidelor, indicând dacă aceștia sunt relevanți sau nu. Această listă ar trebui adoptată în termen de 24 de luni de la intrarea în vigoare a prezentei directive de modificare și ar trebui actualizată ulterior în conformitate cu ciclul planurilor de gestionare a bazinelor hidrografice. Pentru apele de suprafață, standardul de calitate a mediului (SCM) pentru totalul pesticidelor propus inițial de Comisie se înlocuiește cu un SCM pentru suma pesticidelor care sunt deja incluse în lista substanțelor prioritare care trebuie monitorizate (cu excepția celor patru pesticide care trebuie monitorizate în biotă sau sedimente și a glifosatului), cu o valoare de 0,2 μg/l pentru apa dulce.</w:t>
      </w:r>
    </w:p>
    <w:p w14:paraId="10FBE1EC" w14:textId="77777777" w:rsidR="004C743B" w:rsidRPr="002669D7" w:rsidRDefault="004C743B" w:rsidP="004573BA">
      <w:pPr>
        <w:pStyle w:val="ListParagraph"/>
        <w:spacing w:before="100" w:beforeAutospacing="1" w:after="100" w:afterAutospacing="1" w:line="360" w:lineRule="auto"/>
        <w:ind w:left="1134" w:hanging="567"/>
        <w:contextualSpacing w:val="0"/>
        <w:rPr>
          <w:rFonts w:asciiTheme="majorBidi" w:hAnsiTheme="majorBidi" w:cstheme="majorBidi"/>
          <w:sz w:val="24"/>
          <w:szCs w:val="24"/>
        </w:rPr>
      </w:pPr>
    </w:p>
    <w:p w14:paraId="2A16C8E4" w14:textId="77777777" w:rsidR="004C743B" w:rsidRPr="002669D7" w:rsidRDefault="004C743B" w:rsidP="004573BA">
      <w:pPr>
        <w:spacing w:before="100" w:beforeAutospacing="1" w:after="100" w:afterAutospacing="1"/>
        <w:rPr>
          <w:rFonts w:asciiTheme="majorBidi" w:hAnsiTheme="majorBidi" w:cstheme="majorBidi"/>
          <w:kern w:val="2"/>
          <w:szCs w:val="24"/>
        </w:rPr>
      </w:pPr>
      <w:r w:rsidRPr="002669D7">
        <w:br w:type="page"/>
      </w:r>
    </w:p>
    <w:p w14:paraId="4725A879" w14:textId="77777777" w:rsidR="004C743B" w:rsidRPr="002669D7" w:rsidRDefault="004C743B" w:rsidP="004573BA">
      <w:pPr>
        <w:pStyle w:val="ListParagraph"/>
        <w:numPr>
          <w:ilvl w:val="0"/>
          <w:numId w:val="21"/>
        </w:numPr>
        <w:spacing w:before="100" w:beforeAutospacing="1" w:after="100" w:afterAutospacing="1" w:line="360" w:lineRule="auto"/>
        <w:ind w:left="1134" w:hanging="567"/>
        <w:contextualSpacing w:val="0"/>
        <w:rPr>
          <w:rFonts w:asciiTheme="majorBidi" w:hAnsiTheme="majorBidi" w:cstheme="majorBidi"/>
          <w:sz w:val="24"/>
          <w:szCs w:val="24"/>
        </w:rPr>
      </w:pPr>
      <w:r w:rsidRPr="002669D7">
        <w:rPr>
          <w:rFonts w:asciiTheme="majorBidi" w:hAnsiTheme="majorBidi"/>
          <w:sz w:val="24"/>
        </w:rPr>
        <w:t xml:space="preserve">În ceea ce privește </w:t>
      </w:r>
      <w:r w:rsidRPr="002669D7">
        <w:rPr>
          <w:rFonts w:asciiTheme="majorBidi" w:hAnsiTheme="majorBidi"/>
          <w:b/>
          <w:bCs/>
          <w:sz w:val="24"/>
        </w:rPr>
        <w:t>bisfenolii</w:t>
      </w:r>
      <w:r w:rsidRPr="002669D7">
        <w:rPr>
          <w:rFonts w:asciiTheme="majorBidi" w:hAnsiTheme="majorBidi"/>
          <w:sz w:val="24"/>
        </w:rPr>
        <w:t>: bisfenolul-A este desemnat substanță periculoasă prioritară și, prin urmare, este adăugat pe lista substanțelor din anexa I la DSCM.</w:t>
      </w:r>
    </w:p>
    <w:p w14:paraId="0ABCF50A" w14:textId="77777777" w:rsidR="004C743B" w:rsidRPr="002669D7" w:rsidRDefault="004C743B" w:rsidP="004573BA">
      <w:pPr>
        <w:pStyle w:val="ListParagraph"/>
        <w:numPr>
          <w:ilvl w:val="0"/>
          <w:numId w:val="21"/>
        </w:numPr>
        <w:spacing w:before="100" w:beforeAutospacing="1" w:after="100" w:afterAutospacing="1" w:line="360" w:lineRule="auto"/>
        <w:ind w:left="1134" w:hanging="567"/>
        <w:contextualSpacing w:val="0"/>
        <w:rPr>
          <w:rFonts w:asciiTheme="majorBidi" w:hAnsiTheme="majorBidi" w:cstheme="majorBidi"/>
          <w:sz w:val="24"/>
          <w:szCs w:val="24"/>
        </w:rPr>
      </w:pPr>
      <w:r w:rsidRPr="002669D7">
        <w:rPr>
          <w:rFonts w:asciiTheme="majorBidi" w:hAnsiTheme="majorBidi"/>
          <w:sz w:val="24"/>
        </w:rPr>
        <w:t xml:space="preserve">În ceea ce privește </w:t>
      </w:r>
      <w:r w:rsidRPr="002669D7">
        <w:rPr>
          <w:rFonts w:asciiTheme="majorBidi" w:hAnsiTheme="majorBidi"/>
          <w:b/>
          <w:bCs/>
          <w:sz w:val="24"/>
        </w:rPr>
        <w:t>deselectarea substanțelor:</w:t>
      </w:r>
      <w:r w:rsidRPr="002669D7">
        <w:rPr>
          <w:rFonts w:asciiTheme="majorBidi" w:hAnsiTheme="majorBidi"/>
          <w:sz w:val="24"/>
        </w:rPr>
        <w:t xml:space="preserve"> Atrazina este deselectată.</w:t>
      </w:r>
    </w:p>
    <w:p w14:paraId="0E113443" w14:textId="77777777" w:rsidR="004C743B" w:rsidRPr="002669D7" w:rsidRDefault="004C743B" w:rsidP="004573BA">
      <w:pPr>
        <w:pStyle w:val="ListParagraph"/>
        <w:numPr>
          <w:ilvl w:val="0"/>
          <w:numId w:val="21"/>
        </w:numPr>
        <w:spacing w:before="100" w:beforeAutospacing="1" w:after="100" w:afterAutospacing="1" w:line="360" w:lineRule="auto"/>
        <w:ind w:left="1134" w:hanging="567"/>
        <w:contextualSpacing w:val="0"/>
        <w:rPr>
          <w:rFonts w:asciiTheme="majorBidi" w:hAnsiTheme="majorBidi" w:cstheme="majorBidi"/>
          <w:sz w:val="24"/>
          <w:szCs w:val="24"/>
        </w:rPr>
      </w:pPr>
      <w:r w:rsidRPr="002669D7">
        <w:rPr>
          <w:rFonts w:asciiTheme="majorBidi" w:hAnsiTheme="majorBidi"/>
          <w:sz w:val="24"/>
        </w:rPr>
        <w:t xml:space="preserve">În ceea ce privește </w:t>
      </w:r>
      <w:r w:rsidRPr="002669D7">
        <w:rPr>
          <w:rFonts w:asciiTheme="majorBidi" w:hAnsiTheme="majorBidi"/>
          <w:b/>
          <w:sz w:val="24"/>
        </w:rPr>
        <w:t>sumele și totalurile</w:t>
      </w:r>
      <w:r w:rsidRPr="002669D7">
        <w:rPr>
          <w:rFonts w:asciiTheme="majorBidi" w:hAnsiTheme="majorBidi"/>
          <w:sz w:val="24"/>
        </w:rPr>
        <w:t>, în DAS se reintroduce o anexă V care conține „Substanțe supuse revizuirii” și care enumeră suma (sumele) produselor farmaceutice selectate în funcție de modul de acțiune și suma bisfenolilor de analizat la următoarea revizuire. În mod similar, la DSCM se adaugă o nouă anexă III care conține „Substanțe supuse revizuirii”, în care se enumeră suma bisfenolilor, suma (sumele) pesticidelor selectate în funcție de modul de acțiune și suma (sumele) substanțelor farmaceutice selectate în funcție de modul de acțiune de analizat la următoarea revizuire. Pentru următoarea revizuire, Comisia ar trebui de asemenea să aibă în vedere stabilirea unor SCM-uri în apele de suprafață pentru un total al pesticidelor, un total al produselor farmaceutice și un total al bisfenolilor, precum și stabilirea unor standarde de calitate în apele subterane pentru un total al produselor farmaceutice și un total al bisfenolilor, pe baza unor metode de monitorizare adecvate, chiar dacă acestea nu sunt incluse în noua anexă III și în anexa V.</w:t>
      </w:r>
    </w:p>
    <w:p w14:paraId="450EA796" w14:textId="77777777" w:rsidR="004C743B" w:rsidRPr="002669D7" w:rsidRDefault="004C743B" w:rsidP="004573BA">
      <w:pPr>
        <w:spacing w:before="100" w:beforeAutospacing="1" w:after="100" w:afterAutospacing="1"/>
        <w:ind w:left="567" w:hanging="567"/>
        <w:rPr>
          <w:rFonts w:asciiTheme="majorBidi" w:hAnsiTheme="majorBidi" w:cstheme="majorBidi"/>
          <w:b/>
          <w:bCs/>
          <w:szCs w:val="24"/>
        </w:rPr>
      </w:pPr>
      <w:r w:rsidRPr="002669D7">
        <w:rPr>
          <w:rFonts w:asciiTheme="majorBidi" w:hAnsiTheme="majorBidi"/>
          <w:b/>
        </w:rPr>
        <w:t>e)</w:t>
      </w:r>
      <w:r w:rsidRPr="002669D7">
        <w:rPr>
          <w:rFonts w:asciiTheme="majorBidi" w:hAnsiTheme="majorBidi"/>
          <w:b/>
        </w:rPr>
        <w:tab/>
        <w:t>Grupul tematic privind aspectele orizontale: Definiții, măsuri la sursă; cooperare transfrontalieră; ecosistemele de ape subterane; nedeteriorarea și derogările aferente; răspunderea extinsă a producătorilor; accesul la justiție; termene, conformitate, transpunere și reexaminare.</w:t>
      </w:r>
    </w:p>
    <w:p w14:paraId="5E3FF6A3" w14:textId="77777777" w:rsidR="004C743B" w:rsidRPr="002669D7" w:rsidRDefault="004C743B" w:rsidP="004573BA">
      <w:pPr>
        <w:spacing w:before="100" w:beforeAutospacing="1" w:after="100" w:afterAutospacing="1"/>
        <w:ind w:left="567" w:hanging="567"/>
        <w:rPr>
          <w:rFonts w:asciiTheme="majorBidi" w:hAnsiTheme="majorBidi" w:cstheme="majorBidi"/>
          <w:szCs w:val="24"/>
        </w:rPr>
      </w:pPr>
      <w:r w:rsidRPr="002669D7">
        <w:rPr>
          <w:rFonts w:asciiTheme="majorBidi" w:hAnsiTheme="majorBidi"/>
        </w:rPr>
        <w:t>21.</w:t>
      </w:r>
      <w:r w:rsidRPr="002669D7">
        <w:rPr>
          <w:rFonts w:asciiTheme="majorBidi" w:hAnsiTheme="majorBidi"/>
        </w:rPr>
        <w:tab/>
        <w:t xml:space="preserve">În ceea ce privește </w:t>
      </w:r>
      <w:r w:rsidRPr="002669D7">
        <w:rPr>
          <w:rFonts w:asciiTheme="majorBidi" w:hAnsiTheme="majorBidi"/>
          <w:b/>
        </w:rPr>
        <w:t>definițiile</w:t>
      </w:r>
      <w:r w:rsidRPr="002669D7">
        <w:rPr>
          <w:rFonts w:asciiTheme="majorBidi" w:hAnsiTheme="majorBidi"/>
        </w:rPr>
        <w:t>, atât „substanțele prioritare”, cât și „substanțele periculoase prioritare” au fost adaptate în urma reintroducerii articolului 16. În definiția „poluanților specifici bazinelor hidrografice” s-a precizat că acești poluanți nu sunt sau nu mai sunt identificați drept substanțe prioritare, ci sunt evacuați sau depozitați în cantități semnificative într-un bazin sau un sub-bazin hidrografic dintr-un anumit stat membru. De asemenea, poziția Consiliului în primă lectură adaugă două definiții noi, și anume pentru „valoarea declanșatoare bazată pe efecte” și pentru „deteriorarea stării unui corp de apă”, cu scopul de a reflecta noile dispoziții relevante introduse în DCA, precum și definiția „apei destinate consumului uman” cu scopul de a o alinia la Directiva privind apa potabilă.</w:t>
      </w:r>
    </w:p>
    <w:p w14:paraId="56E5C08D" w14:textId="77777777" w:rsidR="004C743B" w:rsidRPr="002669D7" w:rsidRDefault="004C743B" w:rsidP="004573BA">
      <w:pPr>
        <w:spacing w:before="100" w:beforeAutospacing="1" w:after="100" w:afterAutospacing="1"/>
        <w:ind w:left="567" w:hanging="567"/>
        <w:rPr>
          <w:rFonts w:asciiTheme="majorBidi" w:hAnsiTheme="majorBidi" w:cstheme="majorBidi"/>
          <w:szCs w:val="24"/>
        </w:rPr>
      </w:pPr>
    </w:p>
    <w:p w14:paraId="4718CC4C" w14:textId="77777777" w:rsidR="004C743B" w:rsidRPr="002669D7" w:rsidRDefault="004C743B" w:rsidP="004573BA">
      <w:pPr>
        <w:spacing w:before="100" w:beforeAutospacing="1" w:after="100" w:afterAutospacing="1"/>
        <w:rPr>
          <w:rFonts w:asciiTheme="majorBidi" w:hAnsiTheme="majorBidi" w:cstheme="majorBidi"/>
          <w:szCs w:val="24"/>
        </w:rPr>
      </w:pPr>
      <w:r w:rsidRPr="002669D7">
        <w:br w:type="page"/>
      </w:r>
    </w:p>
    <w:p w14:paraId="1D6248BE" w14:textId="77777777" w:rsidR="004C743B" w:rsidRPr="002669D7" w:rsidRDefault="004C743B" w:rsidP="004573BA">
      <w:pPr>
        <w:spacing w:before="100" w:beforeAutospacing="1" w:after="100" w:afterAutospacing="1"/>
        <w:ind w:left="567" w:hanging="567"/>
        <w:rPr>
          <w:rFonts w:asciiTheme="majorBidi" w:hAnsiTheme="majorBidi" w:cstheme="majorBidi"/>
          <w:szCs w:val="24"/>
        </w:rPr>
      </w:pPr>
      <w:r w:rsidRPr="002669D7">
        <w:rPr>
          <w:rFonts w:asciiTheme="majorBidi" w:hAnsiTheme="majorBidi"/>
        </w:rPr>
        <w:t>22.</w:t>
      </w:r>
      <w:r w:rsidRPr="002669D7">
        <w:rPr>
          <w:rFonts w:asciiTheme="majorBidi" w:hAnsiTheme="majorBidi"/>
        </w:rPr>
        <w:tab/>
        <w:t xml:space="preserve">În ceea ce privește </w:t>
      </w:r>
      <w:r w:rsidRPr="002669D7">
        <w:rPr>
          <w:rFonts w:asciiTheme="majorBidi" w:hAnsiTheme="majorBidi"/>
          <w:b/>
          <w:bCs/>
        </w:rPr>
        <w:t>măsurile la sursă</w:t>
      </w:r>
      <w:r w:rsidRPr="002669D7">
        <w:rPr>
          <w:rFonts w:asciiTheme="majorBidi" w:hAnsiTheme="majorBidi"/>
        </w:rPr>
        <w:t>, atunci când își pregătesc programul de măsuri statele membre au obligația de a lua în considerare mai întâi măsuri de control la sursă, în conformitate cu legislația sectorială relevantă a Uniunii, și apoi, dacă este necesar, măsuri de reducere a riscurilor legate de poluarea existentă. Acest lucru este legat și de reintroducerea articolului 16 și de cerința impusă Comisiei de a prezenta propuneri de controale cu scopul de a realiza stoparea sau eliminarea treptată a evacuărilor, emisiilor și pierderilor de substanțe periculoase prioritare în termen de 20 de ani de la desemnarea substanțelor ca substanțe periculoase prioritare.</w:t>
      </w:r>
    </w:p>
    <w:p w14:paraId="5E8D5F4A" w14:textId="77777777" w:rsidR="004C743B" w:rsidRPr="002669D7" w:rsidRDefault="004C743B" w:rsidP="004573BA">
      <w:pPr>
        <w:spacing w:before="100" w:beforeAutospacing="1" w:after="100" w:afterAutospacing="1"/>
        <w:ind w:left="567" w:hanging="567"/>
        <w:rPr>
          <w:rFonts w:asciiTheme="majorBidi" w:hAnsiTheme="majorBidi" w:cstheme="majorBidi"/>
          <w:szCs w:val="24"/>
        </w:rPr>
      </w:pPr>
      <w:r w:rsidRPr="002669D7">
        <w:rPr>
          <w:rFonts w:asciiTheme="majorBidi" w:hAnsiTheme="majorBidi"/>
        </w:rPr>
        <w:t>23.</w:t>
      </w:r>
      <w:r w:rsidRPr="002669D7">
        <w:rPr>
          <w:rFonts w:asciiTheme="majorBidi" w:hAnsiTheme="majorBidi"/>
        </w:rPr>
        <w:tab/>
        <w:t>Dispozițiile referitoare la</w:t>
      </w:r>
      <w:r w:rsidRPr="002669D7">
        <w:rPr>
          <w:rFonts w:asciiTheme="majorBidi" w:hAnsiTheme="majorBidi"/>
          <w:b/>
        </w:rPr>
        <w:t xml:space="preserve"> cooperarea transfrontalieră</w:t>
      </w:r>
      <w:r w:rsidRPr="002669D7">
        <w:rPr>
          <w:rFonts w:asciiTheme="majorBidi" w:hAnsiTheme="majorBidi"/>
        </w:rPr>
        <w:t xml:space="preserve"> sunt simplificate. În text se mai precizează că, în caz de circumstanțe excepționale, în special inundații extreme, secete prelungite sau incidente semnificative de poluare, statele membre trebuie să informeze și Comisia, pe lângă informarea altor state membre afectate și a autorităților de coordonare a bazinelor hidrografice internaționale.</w:t>
      </w:r>
    </w:p>
    <w:p w14:paraId="708D718C" w14:textId="77777777" w:rsidR="004C743B" w:rsidRPr="002669D7" w:rsidRDefault="004C743B" w:rsidP="004573BA">
      <w:pPr>
        <w:spacing w:before="100" w:beforeAutospacing="1" w:after="100" w:afterAutospacing="1"/>
        <w:ind w:left="567" w:hanging="567"/>
        <w:rPr>
          <w:rFonts w:asciiTheme="majorBidi" w:hAnsiTheme="majorBidi" w:cstheme="majorBidi"/>
          <w:szCs w:val="24"/>
        </w:rPr>
      </w:pPr>
      <w:r w:rsidRPr="002669D7">
        <w:rPr>
          <w:rFonts w:asciiTheme="majorBidi" w:hAnsiTheme="majorBidi"/>
        </w:rPr>
        <w:t>24.</w:t>
      </w:r>
      <w:r w:rsidRPr="002669D7">
        <w:rPr>
          <w:rFonts w:asciiTheme="majorBidi" w:hAnsiTheme="majorBidi"/>
        </w:rPr>
        <w:tab/>
        <w:t xml:space="preserve">În ceea ce privește </w:t>
      </w:r>
      <w:r w:rsidRPr="002669D7">
        <w:rPr>
          <w:rFonts w:asciiTheme="majorBidi" w:hAnsiTheme="majorBidi"/>
          <w:b/>
          <w:bCs/>
        </w:rPr>
        <w:t>ecosistemele de apă subterană</w:t>
      </w:r>
      <w:r w:rsidRPr="002669D7">
        <w:rPr>
          <w:rFonts w:asciiTheme="majorBidi" w:hAnsiTheme="majorBidi"/>
        </w:rPr>
        <w:t>, se recunoaște necesitatea de se acumula mai multe cunoștințe cu privire la prezența, importanța și sensibilitatea ecosistemelor de apă subterană, în vederea protejării corespunzătoare a acestor ecosisteme pe viitor. Comisia ar trebui să colaboreze cu statele membre, în cadrul Strategiei comune de punere în aplicare, pentru a elabora o metodologie de identificare a prezenței ecosistemelor de apă subterană. De îndată ce va fi disponibilă o metodologie fiabilă, statele membre trebuie să evalueze prezența ecosistemelor de apă subterană în corpurile de apă subterană ale căror caracteristici ar putea susține existența acestora. Dacă prezența este verificată, statele membre ar trebui să stabilească standarde mai stricte pentru a proteja ecosistemele respective, cu excepția cazului în care standardele stabilite anterior pentru a proteja sănătatea umană sunt deja suficient de stricte.</w:t>
      </w:r>
    </w:p>
    <w:p w14:paraId="7D49F5A0" w14:textId="77777777" w:rsidR="004C743B" w:rsidRPr="002669D7" w:rsidRDefault="004C743B" w:rsidP="004573BA">
      <w:pPr>
        <w:spacing w:before="100" w:beforeAutospacing="1" w:after="100" w:afterAutospacing="1"/>
        <w:ind w:left="567" w:hanging="567"/>
        <w:rPr>
          <w:rFonts w:asciiTheme="majorBidi" w:hAnsiTheme="majorBidi" w:cstheme="majorBidi"/>
          <w:szCs w:val="24"/>
        </w:rPr>
      </w:pPr>
      <w:r w:rsidRPr="002669D7">
        <w:rPr>
          <w:rFonts w:asciiTheme="majorBidi" w:hAnsiTheme="majorBidi"/>
        </w:rPr>
        <w:t>25.</w:t>
      </w:r>
      <w:r w:rsidRPr="002669D7">
        <w:rPr>
          <w:rFonts w:asciiTheme="majorBidi" w:hAnsiTheme="majorBidi"/>
        </w:rPr>
        <w:tab/>
        <w:t xml:space="preserve">Se introduce o definiție a </w:t>
      </w:r>
      <w:r w:rsidRPr="002669D7">
        <w:rPr>
          <w:rFonts w:asciiTheme="majorBidi" w:hAnsiTheme="majorBidi"/>
          <w:b/>
          <w:bCs/>
        </w:rPr>
        <w:t>deteriorării</w:t>
      </w:r>
      <w:r w:rsidRPr="002669D7">
        <w:rPr>
          <w:rFonts w:asciiTheme="majorBidi" w:hAnsiTheme="majorBidi"/>
        </w:rPr>
        <w:t xml:space="preserve">, care corespunde jurisprudenței existente, precum și două </w:t>
      </w:r>
      <w:r w:rsidRPr="002669D7">
        <w:rPr>
          <w:rFonts w:asciiTheme="majorBidi" w:hAnsiTheme="majorBidi"/>
          <w:b/>
          <w:bCs/>
        </w:rPr>
        <w:t>derogări suplimentare</w:t>
      </w:r>
      <w:r w:rsidRPr="002669D7">
        <w:rPr>
          <w:rFonts w:asciiTheme="majorBidi" w:hAnsiTheme="majorBidi"/>
        </w:rPr>
        <w:t xml:space="preserve"> în temeiul articolului 4 din DCA, conform cărora deteriorarea temporară și deteriorarea prin deplasare nu trebuie considerate o încălcare a DCA. Derogările conțin anumite garanții pentru ca obiectivele DCA să nu fie periclitate, în special în ceea ce privește apa potabilă.</w:t>
      </w:r>
    </w:p>
    <w:p w14:paraId="1960FF60" w14:textId="77777777" w:rsidR="004C743B" w:rsidRPr="002669D7" w:rsidRDefault="004C743B" w:rsidP="004573BA">
      <w:pPr>
        <w:spacing w:before="100" w:beforeAutospacing="1" w:after="100" w:afterAutospacing="1"/>
        <w:ind w:left="567" w:hanging="567"/>
        <w:rPr>
          <w:rFonts w:asciiTheme="majorBidi" w:hAnsiTheme="majorBidi" w:cstheme="majorBidi"/>
          <w:szCs w:val="24"/>
        </w:rPr>
      </w:pPr>
    </w:p>
    <w:p w14:paraId="3931D048" w14:textId="77777777" w:rsidR="004C743B" w:rsidRPr="002669D7" w:rsidRDefault="004C743B" w:rsidP="004573BA">
      <w:pPr>
        <w:spacing w:before="100" w:beforeAutospacing="1" w:after="100" w:afterAutospacing="1"/>
        <w:rPr>
          <w:rFonts w:asciiTheme="majorBidi" w:hAnsiTheme="majorBidi" w:cstheme="majorBidi"/>
          <w:szCs w:val="24"/>
        </w:rPr>
      </w:pPr>
      <w:r w:rsidRPr="002669D7">
        <w:br w:type="page"/>
      </w:r>
    </w:p>
    <w:p w14:paraId="47101BCB" w14:textId="77777777" w:rsidR="004C743B" w:rsidRPr="002669D7" w:rsidRDefault="004C743B" w:rsidP="004573BA">
      <w:pPr>
        <w:spacing w:before="100" w:beforeAutospacing="1" w:after="100" w:afterAutospacing="1"/>
        <w:ind w:left="567" w:hanging="567"/>
        <w:rPr>
          <w:rFonts w:asciiTheme="majorBidi" w:hAnsiTheme="majorBidi" w:cstheme="majorBidi"/>
          <w:szCs w:val="24"/>
        </w:rPr>
      </w:pPr>
      <w:r w:rsidRPr="002669D7">
        <w:rPr>
          <w:rFonts w:asciiTheme="majorBidi" w:hAnsiTheme="majorBidi"/>
        </w:rPr>
        <w:t>26.</w:t>
      </w:r>
      <w:r w:rsidRPr="002669D7">
        <w:rPr>
          <w:rFonts w:asciiTheme="majorBidi" w:hAnsiTheme="majorBidi"/>
        </w:rPr>
        <w:tab/>
        <w:t xml:space="preserve">În ceea ce privește </w:t>
      </w:r>
      <w:r w:rsidRPr="002669D7">
        <w:rPr>
          <w:rFonts w:asciiTheme="majorBidi" w:hAnsiTheme="majorBidi"/>
          <w:b/>
        </w:rPr>
        <w:t>răspunderea extinsă a producătorilor</w:t>
      </w:r>
      <w:r w:rsidRPr="002669D7">
        <w:rPr>
          <w:rFonts w:asciiTheme="majorBidi" w:hAnsiTheme="majorBidi"/>
        </w:rPr>
        <w:t>, Comisia trebuie să pregătească un raport, în termen de trei ani de la intrarea în vigoare a acestei directive de modificare, pentru a evalua, în special, dacă este fezabil ca producătorii care introduc pe piața UE produse care conțin substanțe prioritare și substanțe periculoase prioritare să fie obligați să contribuie la costurile programelor de monitorizare elaborate în conformitate cu DCA.</w:t>
      </w:r>
    </w:p>
    <w:p w14:paraId="50071915" w14:textId="77777777" w:rsidR="004C743B" w:rsidRPr="002669D7" w:rsidRDefault="004C743B" w:rsidP="004573BA">
      <w:pPr>
        <w:spacing w:before="100" w:beforeAutospacing="1" w:after="100" w:afterAutospacing="1"/>
        <w:ind w:left="567" w:hanging="567"/>
        <w:rPr>
          <w:rFonts w:asciiTheme="majorBidi" w:hAnsiTheme="majorBidi" w:cstheme="majorBidi"/>
          <w:szCs w:val="24"/>
        </w:rPr>
      </w:pPr>
      <w:r w:rsidRPr="002669D7">
        <w:rPr>
          <w:rFonts w:asciiTheme="majorBidi" w:hAnsiTheme="majorBidi"/>
        </w:rPr>
        <w:t>27.</w:t>
      </w:r>
      <w:r w:rsidRPr="002669D7">
        <w:rPr>
          <w:rFonts w:asciiTheme="majorBidi" w:hAnsiTheme="majorBidi"/>
        </w:rPr>
        <w:tab/>
        <w:t xml:space="preserve">În ceea ce privește </w:t>
      </w:r>
      <w:r w:rsidRPr="002669D7">
        <w:rPr>
          <w:rFonts w:asciiTheme="majorBidi" w:hAnsiTheme="majorBidi"/>
          <w:b/>
        </w:rPr>
        <w:t>accesul la justiție</w:t>
      </w:r>
      <w:r w:rsidRPr="002669D7">
        <w:rPr>
          <w:rFonts w:asciiTheme="majorBidi" w:hAnsiTheme="majorBidi"/>
        </w:rPr>
        <w:t>, în Directiva-cadru privind apa se introduc noi considerente și un nou articol.</w:t>
      </w:r>
    </w:p>
    <w:p w14:paraId="3B5A0868" w14:textId="77777777" w:rsidR="004C743B" w:rsidRPr="002669D7" w:rsidRDefault="004C743B" w:rsidP="004573BA">
      <w:pPr>
        <w:spacing w:before="100" w:beforeAutospacing="1" w:after="100" w:afterAutospacing="1"/>
        <w:ind w:left="567" w:hanging="567"/>
        <w:rPr>
          <w:rFonts w:asciiTheme="majorBidi" w:hAnsiTheme="majorBidi" w:cstheme="majorBidi"/>
          <w:szCs w:val="24"/>
        </w:rPr>
      </w:pPr>
      <w:r w:rsidRPr="002669D7">
        <w:rPr>
          <w:rFonts w:asciiTheme="majorBidi" w:hAnsiTheme="majorBidi"/>
        </w:rPr>
        <w:t>28.</w:t>
      </w:r>
      <w:r w:rsidRPr="002669D7">
        <w:rPr>
          <w:rFonts w:asciiTheme="majorBidi" w:hAnsiTheme="majorBidi"/>
        </w:rPr>
        <w:tab/>
        <w:t xml:space="preserve">În ceea ce privește </w:t>
      </w:r>
      <w:r w:rsidRPr="002669D7">
        <w:rPr>
          <w:rFonts w:asciiTheme="majorBidi" w:hAnsiTheme="majorBidi"/>
          <w:b/>
        </w:rPr>
        <w:t>termenele și conformitatea</w:t>
      </w:r>
      <w:r w:rsidRPr="002669D7">
        <w:rPr>
          <w:rFonts w:asciiTheme="majorBidi" w:hAnsiTheme="majorBidi"/>
        </w:rPr>
        <w:t>, poziția în primă lectură a Consiliului introduce o flexibilitate considerabilă pentru statele membre prin așa-numita „</w:t>
      </w:r>
      <w:r w:rsidRPr="002669D7">
        <w:rPr>
          <w:rFonts w:asciiTheme="majorBidi" w:hAnsiTheme="majorBidi"/>
          <w:b/>
          <w:bCs/>
        </w:rPr>
        <w:t xml:space="preserve">clauză </w:t>
      </w:r>
      <w:r w:rsidRPr="002669D7">
        <w:rPr>
          <w:rFonts w:asciiTheme="majorBidi" w:hAnsiTheme="majorBidi"/>
          <w:b/>
          <w:bCs/>
          <w:i/>
          <w:iCs/>
        </w:rPr>
        <w:t>mutatis mutandis</w:t>
      </w:r>
      <w:r w:rsidRPr="002669D7">
        <w:rPr>
          <w:rFonts w:asciiTheme="majorBidi" w:hAnsiTheme="majorBidi"/>
        </w:rPr>
        <w:t>”, după cum urmează:</w:t>
      </w:r>
    </w:p>
    <w:p w14:paraId="08014617" w14:textId="77777777" w:rsidR="004C743B" w:rsidRPr="002669D7" w:rsidRDefault="004C743B" w:rsidP="004573BA">
      <w:pPr>
        <w:pStyle w:val="ListParagraph"/>
        <w:numPr>
          <w:ilvl w:val="0"/>
          <w:numId w:val="21"/>
        </w:numPr>
        <w:spacing w:before="100" w:beforeAutospacing="1" w:after="100" w:afterAutospacing="1" w:line="360" w:lineRule="auto"/>
        <w:ind w:left="1134" w:hanging="567"/>
        <w:contextualSpacing w:val="0"/>
        <w:rPr>
          <w:rFonts w:asciiTheme="majorBidi" w:hAnsiTheme="majorBidi" w:cstheme="majorBidi"/>
          <w:sz w:val="24"/>
          <w:szCs w:val="24"/>
        </w:rPr>
      </w:pPr>
      <w:r w:rsidRPr="002669D7">
        <w:rPr>
          <w:rFonts w:asciiTheme="majorBidi" w:hAnsiTheme="majorBidi"/>
          <w:sz w:val="24"/>
        </w:rPr>
        <w:t>termenul pentru obținerea conformității cu o stare chimică bună a apelor subterane în ceea ce privește substanțele nou-introduse poate fi prelungit până în 2039 și, în unele circumstanțe, pentru o durată echivalentă unei actualizări suplimentare a planurilor de gestionare a bazinului hidrografic, adică până în 2045;</w:t>
      </w:r>
    </w:p>
    <w:p w14:paraId="33EA9EB2" w14:textId="77777777" w:rsidR="004C743B" w:rsidRPr="002669D7" w:rsidRDefault="004C743B" w:rsidP="004573BA">
      <w:pPr>
        <w:pStyle w:val="ListParagraph"/>
        <w:numPr>
          <w:ilvl w:val="0"/>
          <w:numId w:val="21"/>
        </w:numPr>
        <w:spacing w:before="100" w:beforeAutospacing="1" w:after="100" w:afterAutospacing="1" w:line="360" w:lineRule="auto"/>
        <w:ind w:left="1134" w:hanging="567"/>
        <w:contextualSpacing w:val="0"/>
        <w:rPr>
          <w:rFonts w:asciiTheme="majorBidi" w:hAnsiTheme="majorBidi" w:cstheme="majorBidi"/>
          <w:sz w:val="24"/>
          <w:szCs w:val="24"/>
        </w:rPr>
      </w:pPr>
      <w:r w:rsidRPr="002669D7">
        <w:rPr>
          <w:rFonts w:asciiTheme="majorBidi" w:hAnsiTheme="majorBidi"/>
          <w:sz w:val="24"/>
        </w:rPr>
        <w:t>pentru apele de suprafață, sunt propuse aceleași prelungiri pentru substanțele prioritare nou-introduse, iar conformitatea substanțelor prioritare cu SCM-urile revizuite poate fi prelungită până în 2033, cu posibilitatea unei prelungiri suplimentare până în 2039;</w:t>
      </w:r>
    </w:p>
    <w:p w14:paraId="4AD6F14C" w14:textId="77777777" w:rsidR="004C743B" w:rsidRPr="002669D7" w:rsidRDefault="004C743B" w:rsidP="004573BA">
      <w:pPr>
        <w:pStyle w:val="ListParagraph"/>
        <w:numPr>
          <w:ilvl w:val="0"/>
          <w:numId w:val="21"/>
        </w:numPr>
        <w:spacing w:before="100" w:beforeAutospacing="1" w:after="100" w:afterAutospacing="1" w:line="360" w:lineRule="auto"/>
        <w:ind w:left="1134" w:hanging="567"/>
        <w:contextualSpacing w:val="0"/>
        <w:rPr>
          <w:rFonts w:asciiTheme="majorBidi" w:hAnsiTheme="majorBidi" w:cstheme="majorBidi"/>
          <w:sz w:val="24"/>
          <w:szCs w:val="24"/>
        </w:rPr>
      </w:pPr>
      <w:r w:rsidRPr="002669D7">
        <w:rPr>
          <w:rFonts w:asciiTheme="majorBidi" w:hAnsiTheme="majorBidi"/>
          <w:sz w:val="24"/>
        </w:rPr>
        <w:t>atât pentru apele subterane, cât și pentru apele de suprafață, statele membre pot aplica prelungiri ale termenelor dincolo de un ciclu în cazurile în care condițiile naturale sunt de așa natură încât obiectivele nu pot fi atinse în această perioadă;</w:t>
      </w:r>
    </w:p>
    <w:p w14:paraId="32F3DA42" w14:textId="77777777" w:rsidR="004C743B" w:rsidRPr="002669D7" w:rsidRDefault="004C743B" w:rsidP="004573BA">
      <w:pPr>
        <w:pStyle w:val="ListParagraph"/>
        <w:spacing w:before="100" w:beforeAutospacing="1" w:after="100" w:afterAutospacing="1" w:line="360" w:lineRule="auto"/>
        <w:ind w:left="1134" w:hanging="567"/>
        <w:contextualSpacing w:val="0"/>
        <w:rPr>
          <w:rFonts w:asciiTheme="majorBidi" w:hAnsiTheme="majorBidi" w:cstheme="majorBidi"/>
          <w:sz w:val="24"/>
          <w:szCs w:val="24"/>
        </w:rPr>
      </w:pPr>
    </w:p>
    <w:p w14:paraId="5008F429" w14:textId="77777777" w:rsidR="004C743B" w:rsidRPr="002669D7" w:rsidRDefault="004C743B" w:rsidP="004573BA">
      <w:pPr>
        <w:spacing w:before="100" w:beforeAutospacing="1" w:after="100" w:afterAutospacing="1"/>
        <w:rPr>
          <w:rFonts w:asciiTheme="majorBidi" w:hAnsiTheme="majorBidi" w:cstheme="majorBidi"/>
          <w:kern w:val="2"/>
          <w:szCs w:val="24"/>
        </w:rPr>
      </w:pPr>
      <w:r w:rsidRPr="002669D7">
        <w:br w:type="page"/>
      </w:r>
    </w:p>
    <w:p w14:paraId="028BAF1A" w14:textId="77777777" w:rsidR="004C743B" w:rsidRPr="002669D7" w:rsidRDefault="004C743B" w:rsidP="004573BA">
      <w:pPr>
        <w:pStyle w:val="ListParagraph"/>
        <w:numPr>
          <w:ilvl w:val="0"/>
          <w:numId w:val="21"/>
        </w:numPr>
        <w:spacing w:before="100" w:beforeAutospacing="1" w:after="100" w:afterAutospacing="1" w:line="360" w:lineRule="auto"/>
        <w:ind w:left="1134" w:hanging="567"/>
        <w:contextualSpacing w:val="0"/>
        <w:rPr>
          <w:rFonts w:asciiTheme="majorBidi" w:hAnsiTheme="majorBidi" w:cstheme="majorBidi"/>
          <w:sz w:val="24"/>
          <w:szCs w:val="24"/>
        </w:rPr>
      </w:pPr>
      <w:r w:rsidRPr="002669D7">
        <w:rPr>
          <w:rFonts w:asciiTheme="majorBidi" w:hAnsiTheme="majorBidi"/>
          <w:sz w:val="24"/>
        </w:rPr>
        <w:t>în ceea ce privește valorile-prag și poluanții specifici bazinelor hidrografice, cu un SCM stabilit fie la nivelul UE, fie la nivel național, statele membre trebuie să ajungă la o stare chimică bună a apelor subterane și a apelor de suprafață până la sfârșitul următorului plan de gestionare a bazinului hidrografic de la momentul stabilirii valorilor sau a SCM-urilor, cu posibilitatea unei prelungiri echivalente unei noi actualizări a planului de gestionare a bazinului hidrografic;</w:t>
      </w:r>
    </w:p>
    <w:p w14:paraId="43C922A1" w14:textId="77777777" w:rsidR="004C743B" w:rsidRPr="002669D7" w:rsidRDefault="004C743B" w:rsidP="004573BA">
      <w:pPr>
        <w:pStyle w:val="ListParagraph"/>
        <w:numPr>
          <w:ilvl w:val="0"/>
          <w:numId w:val="21"/>
        </w:numPr>
        <w:spacing w:before="100" w:beforeAutospacing="1" w:after="100" w:afterAutospacing="1" w:line="360" w:lineRule="auto"/>
        <w:ind w:left="1134" w:hanging="567"/>
        <w:contextualSpacing w:val="0"/>
        <w:rPr>
          <w:rFonts w:asciiTheme="majorBidi" w:hAnsiTheme="majorBidi" w:cstheme="majorBidi"/>
          <w:sz w:val="24"/>
          <w:szCs w:val="24"/>
        </w:rPr>
      </w:pPr>
      <w:r w:rsidRPr="002669D7">
        <w:rPr>
          <w:rFonts w:asciiTheme="majorBidi" w:hAnsiTheme="majorBidi"/>
          <w:sz w:val="24"/>
        </w:rPr>
        <w:t>se introduce un program preliminar de măsuri pentru substanțele nou-identificate în apele subterane și în apele de suprafață, copiind abordarea adoptată pentru substanțele nou-identificate în apele de suprafață în revizuirea din 2013 a DSCM;</w:t>
      </w:r>
    </w:p>
    <w:p w14:paraId="16425E73" w14:textId="77777777" w:rsidR="004C743B" w:rsidRPr="002669D7" w:rsidRDefault="004C743B" w:rsidP="004573BA">
      <w:pPr>
        <w:pStyle w:val="ListParagraph"/>
        <w:numPr>
          <w:ilvl w:val="0"/>
          <w:numId w:val="21"/>
        </w:numPr>
        <w:spacing w:before="100" w:beforeAutospacing="1" w:after="100" w:afterAutospacing="1" w:line="360" w:lineRule="auto"/>
        <w:ind w:left="1134" w:hanging="567"/>
        <w:contextualSpacing w:val="0"/>
        <w:rPr>
          <w:rFonts w:asciiTheme="majorBidi" w:hAnsiTheme="majorBidi" w:cstheme="majorBidi"/>
          <w:sz w:val="24"/>
          <w:szCs w:val="24"/>
        </w:rPr>
      </w:pPr>
      <w:r w:rsidRPr="002669D7">
        <w:rPr>
          <w:rFonts w:asciiTheme="majorBidi" w:hAnsiTheme="majorBidi"/>
          <w:sz w:val="24"/>
        </w:rPr>
        <w:t>data transpunerii este stabilită pentru 21 decembrie 2027, pentru ca cerințele legate de standardele revizuite să poată fi luate în considerare în cel de al patrulea plan de gestionare a bazinului hidrografic.</w:t>
      </w:r>
    </w:p>
    <w:p w14:paraId="0B2E11BC" w14:textId="77777777" w:rsidR="004C743B" w:rsidRPr="002669D7" w:rsidRDefault="004C743B" w:rsidP="004573BA">
      <w:pPr>
        <w:spacing w:before="100" w:beforeAutospacing="1" w:after="100" w:afterAutospacing="1"/>
        <w:ind w:left="567" w:hanging="567"/>
        <w:rPr>
          <w:rFonts w:asciiTheme="majorBidi" w:hAnsiTheme="majorBidi" w:cstheme="majorBidi"/>
          <w:szCs w:val="24"/>
        </w:rPr>
      </w:pPr>
      <w:r w:rsidRPr="002669D7">
        <w:rPr>
          <w:rFonts w:asciiTheme="majorBidi" w:hAnsiTheme="majorBidi"/>
        </w:rPr>
        <w:t>29.</w:t>
      </w:r>
      <w:r w:rsidRPr="002669D7">
        <w:rPr>
          <w:rFonts w:asciiTheme="majorBidi" w:hAnsiTheme="majorBidi"/>
        </w:rPr>
        <w:tab/>
        <w:t xml:space="preserve">În cele din urmă, </w:t>
      </w:r>
      <w:r w:rsidRPr="002669D7">
        <w:rPr>
          <w:rFonts w:asciiTheme="majorBidi" w:hAnsiTheme="majorBidi"/>
          <w:b/>
          <w:bCs/>
        </w:rPr>
        <w:t>anexele</w:t>
      </w:r>
      <w:r w:rsidRPr="002669D7">
        <w:rPr>
          <w:rFonts w:asciiTheme="majorBidi" w:hAnsiTheme="majorBidi"/>
        </w:rPr>
        <w:t xml:space="preserve"> care enumeră poluanții vor fi actualizate o dată la șase ani. Acest ciclu va fi același pentru publicarea rapoartelor Agenției Europene pentru Produse Chimice (ECHA), cu excepția primului raport al ECHA, ce trebuie publicat după patru ani. Se reintroduc articolele 16 și 17 din DCA, asigurându-se astfel că revizuirea anexelor se va face prin procedura legislativă ordinară.</w:t>
      </w:r>
    </w:p>
    <w:p w14:paraId="016B165E" w14:textId="77777777" w:rsidR="004C743B" w:rsidRPr="002669D7" w:rsidRDefault="004C743B" w:rsidP="004573BA">
      <w:pPr>
        <w:tabs>
          <w:tab w:val="num" w:pos="567"/>
        </w:tabs>
        <w:spacing w:before="100" w:beforeAutospacing="1" w:after="100" w:afterAutospacing="1"/>
        <w:ind w:left="567" w:hanging="567"/>
        <w:outlineLvl w:val="0"/>
        <w:rPr>
          <w:rFonts w:asciiTheme="majorBidi" w:hAnsiTheme="majorBidi" w:cstheme="majorBidi"/>
          <w:b/>
          <w:caps/>
          <w:szCs w:val="24"/>
          <w:u w:val="single"/>
        </w:rPr>
      </w:pPr>
      <w:r w:rsidRPr="002669D7">
        <w:rPr>
          <w:rFonts w:asciiTheme="majorBidi" w:hAnsiTheme="majorBidi"/>
          <w:b/>
          <w:caps/>
        </w:rPr>
        <w:t>IV.</w:t>
      </w:r>
      <w:r w:rsidRPr="002669D7">
        <w:rPr>
          <w:rFonts w:asciiTheme="majorBidi" w:hAnsiTheme="majorBidi"/>
          <w:b/>
          <w:caps/>
        </w:rPr>
        <w:tab/>
      </w:r>
      <w:r w:rsidRPr="002669D7">
        <w:rPr>
          <w:rFonts w:asciiTheme="majorBidi" w:hAnsiTheme="majorBidi"/>
          <w:b/>
          <w:caps/>
          <w:u w:val="single"/>
        </w:rPr>
        <w:t>CONCLUZIE</w:t>
      </w:r>
    </w:p>
    <w:p w14:paraId="0445C90D" w14:textId="77777777" w:rsidR="004C743B" w:rsidRPr="002669D7" w:rsidRDefault="004C743B" w:rsidP="004573BA">
      <w:pPr>
        <w:spacing w:before="100" w:beforeAutospacing="1" w:after="100" w:afterAutospacing="1"/>
        <w:ind w:left="567" w:hanging="567"/>
        <w:rPr>
          <w:rFonts w:asciiTheme="majorBidi" w:hAnsiTheme="majorBidi" w:cstheme="majorBidi"/>
          <w:szCs w:val="24"/>
        </w:rPr>
      </w:pPr>
      <w:r w:rsidRPr="002669D7">
        <w:rPr>
          <w:rFonts w:asciiTheme="majorBidi" w:hAnsiTheme="majorBidi"/>
        </w:rPr>
        <w:t>30.</w:t>
      </w:r>
      <w:r w:rsidRPr="002669D7">
        <w:rPr>
          <w:rFonts w:asciiTheme="majorBidi" w:hAnsiTheme="majorBidi"/>
        </w:rPr>
        <w:tab/>
        <w:t>Poziția în primă lectură a Consiliului asupra acestei directive de modificare reflectă compromisul la care s-a ajuns în cadrul negocierilor dintre Consiliu și Parlamentul European, facilitate de Comisie. Odată adoptate, propunerile de modificare a actualelor directive vor soluționa deficiența identificată în evaluarea REFIT și vor crește nivelul de protecție a mediului și a sănătății umane împotriva efectelor nocive ale poluării chimice.</w:t>
      </w:r>
    </w:p>
    <w:bookmarkEnd w:id="1"/>
    <w:p w14:paraId="043EB458" w14:textId="77777777" w:rsidR="004C743B" w:rsidRDefault="004C743B">
      <w:pPr>
        <w:pStyle w:val="FinalLine"/>
      </w:pPr>
    </w:p>
    <w:sectPr w:rsidR="004C743B" w:rsidSect="002669D7">
      <w:headerReference w:type="default" r:id="rId11"/>
      <w:footerReference w:type="default" r:id="rId12"/>
      <w:headerReference w:type="first" r:id="rId13"/>
      <w:footerReference w:type="first" r:id="rId14"/>
      <w:pgSz w:w="11907" w:h="16840" w:code="9"/>
      <w:pgMar w:top="624" w:right="1134" w:bottom="1134" w:left="1134" w:header="567" w:footer="567"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069056" w14:textId="77777777" w:rsidR="00144FF1" w:rsidRDefault="00144FF1" w:rsidP="00A43C50">
      <w:r>
        <w:separator/>
      </w:r>
    </w:p>
  </w:endnote>
  <w:endnote w:type="continuationSeparator" w:id="0">
    <w:p w14:paraId="3D39C3F5" w14:textId="77777777" w:rsidR="00144FF1" w:rsidRDefault="00144FF1" w:rsidP="00A43C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New Roman">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618847D1" w14:textId="77777777" w:rsidTr="00D94637">
      <w:trPr>
        <w:jc w:val="center"/>
      </w:trPr>
      <w:tc>
        <w:tcPr>
          <w:tcW w:w="5000" w:type="pct"/>
          <w:gridSpan w:val="7"/>
          <w:shd w:val="clear" w:color="auto" w:fill="auto"/>
          <w:tcMar>
            <w:top w:w="57" w:type="dxa"/>
          </w:tcMar>
        </w:tcPr>
        <w:p w14:paraId="493DC3AB" w14:textId="77777777" w:rsidR="00060117" w:rsidRPr="00D94637" w:rsidRDefault="00060117" w:rsidP="00D94637">
          <w:pPr>
            <w:pStyle w:val="FooterText"/>
            <w:pBdr>
              <w:top w:val="single" w:sz="4" w:space="1" w:color="auto"/>
            </w:pBdr>
            <w:spacing w:before="200"/>
            <w:rPr>
              <w:sz w:val="2"/>
              <w:szCs w:val="2"/>
            </w:rPr>
          </w:pPr>
        </w:p>
      </w:tc>
    </w:tr>
    <w:tr w:rsidR="004F54B2" w:rsidRPr="00B310DC" w14:paraId="407BAE3C" w14:textId="77777777" w:rsidTr="00842D7E">
      <w:trPr>
        <w:jc w:val="center"/>
      </w:trPr>
      <w:tc>
        <w:tcPr>
          <w:tcW w:w="2500" w:type="pct"/>
          <w:gridSpan w:val="2"/>
          <w:shd w:val="clear" w:color="auto" w:fill="auto"/>
          <w:tcMar>
            <w:top w:w="0" w:type="dxa"/>
          </w:tcMar>
        </w:tcPr>
        <w:p w14:paraId="44380ED1" w14:textId="77777777" w:rsidR="00060117" w:rsidRPr="00AD7BF2" w:rsidRDefault="00060117" w:rsidP="004F54B2">
          <w:pPr>
            <w:pStyle w:val="FooterText"/>
          </w:pPr>
          <w:r>
            <w:t>14144/1</w:t>
          </w:r>
          <w:r>
            <w:t>/</w:t>
          </w:r>
          <w:r>
            <w:t>25</w:t>
          </w:r>
          <w:r w:rsidRPr="002511D8">
            <w:t xml:space="preserve"> </w:t>
          </w:r>
          <w:r>
            <w:t>REV 1 ADD 1</w:t>
          </w:r>
        </w:p>
      </w:tc>
      <w:tc>
        <w:tcPr>
          <w:tcW w:w="625" w:type="pct"/>
          <w:shd w:val="clear" w:color="auto" w:fill="auto"/>
          <w:tcMar>
            <w:top w:w="0" w:type="dxa"/>
          </w:tcMar>
        </w:tcPr>
        <w:p w14:paraId="359D455D" w14:textId="77777777" w:rsidR="00060117" w:rsidRPr="00AD7BF2" w:rsidRDefault="00060117" w:rsidP="00D94637">
          <w:pPr>
            <w:pStyle w:val="FooterText"/>
            <w:jc w:val="center"/>
          </w:pPr>
        </w:p>
      </w:tc>
      <w:tc>
        <w:tcPr>
          <w:tcW w:w="1286" w:type="pct"/>
          <w:gridSpan w:val="3"/>
          <w:shd w:val="clear" w:color="auto" w:fill="auto"/>
          <w:tcMar>
            <w:top w:w="0" w:type="dxa"/>
          </w:tcMar>
        </w:tcPr>
        <w:p w14:paraId="6D7AC7AA" w14:textId="77777777" w:rsidR="00060117" w:rsidRPr="002511D8" w:rsidRDefault="00060117" w:rsidP="00D94637">
          <w:pPr>
            <w:pStyle w:val="FooterText"/>
            <w:jc w:val="center"/>
          </w:pPr>
        </w:p>
      </w:tc>
      <w:tc>
        <w:tcPr>
          <w:tcW w:w="589" w:type="pct"/>
          <w:shd w:val="clear" w:color="auto" w:fill="auto"/>
          <w:tcMar>
            <w:top w:w="0" w:type="dxa"/>
          </w:tcMar>
        </w:tcPr>
        <w:p w14:paraId="1A4ABE85" w14:textId="77777777" w:rsidR="00060117" w:rsidRPr="00B310DC" w:rsidRDefault="00060117"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14:paraId="486999A2" w14:textId="77777777" w:rsidTr="00430704">
      <w:trPr>
        <w:jc w:val="center"/>
      </w:trPr>
      <w:tc>
        <w:tcPr>
          <w:tcW w:w="1774" w:type="pct"/>
          <w:shd w:val="clear" w:color="auto" w:fill="auto"/>
        </w:tcPr>
        <w:p w14:paraId="63D81D4B" w14:textId="77777777" w:rsidR="00060117" w:rsidRPr="00AD7BF2" w:rsidRDefault="00060117" w:rsidP="00D94637">
          <w:pPr>
            <w:pStyle w:val="FooterText"/>
            <w:spacing w:before="40"/>
          </w:pPr>
        </w:p>
      </w:tc>
      <w:tc>
        <w:tcPr>
          <w:tcW w:w="1455" w:type="pct"/>
          <w:gridSpan w:val="3"/>
          <w:shd w:val="clear" w:color="auto" w:fill="auto"/>
        </w:tcPr>
        <w:p w14:paraId="74E8BCDB" w14:textId="77777777" w:rsidR="00060117" w:rsidRPr="00AD7BF2" w:rsidRDefault="00060117" w:rsidP="00D204D6">
          <w:pPr>
            <w:pStyle w:val="FooterText"/>
            <w:spacing w:before="40"/>
            <w:jc w:val="center"/>
          </w:pPr>
          <w:r>
            <w:t>GIP.INST</w:t>
          </w:r>
        </w:p>
      </w:tc>
      <w:tc>
        <w:tcPr>
          <w:tcW w:w="742" w:type="pct"/>
          <w:shd w:val="clear" w:color="auto" w:fill="auto"/>
        </w:tcPr>
        <w:p w14:paraId="1FA20C01" w14:textId="77777777" w:rsidR="00060117" w:rsidRPr="00D94637" w:rsidRDefault="00060117" w:rsidP="002F0099">
          <w:pPr>
            <w:pStyle w:val="FooterText"/>
            <w:jc w:val="center"/>
            <w:rPr>
              <w:b/>
              <w:position w:val="-4"/>
              <w:sz w:val="36"/>
            </w:rPr>
          </w:pPr>
        </w:p>
      </w:tc>
      <w:tc>
        <w:tcPr>
          <w:tcW w:w="1029" w:type="pct"/>
          <w:gridSpan w:val="2"/>
          <w:shd w:val="clear" w:color="auto" w:fill="auto"/>
        </w:tcPr>
        <w:p w14:paraId="26B35250" w14:textId="77777777" w:rsidR="00060117" w:rsidRPr="00695BAF" w:rsidRDefault="00060117" w:rsidP="00D94637">
          <w:pPr>
            <w:pStyle w:val="FooterText"/>
            <w:jc w:val="right"/>
            <w:rPr>
              <w:caps/>
              <w:spacing w:val="-20"/>
              <w:sz w:val="16"/>
            </w:rPr>
          </w:pPr>
          <w:r>
            <w:rPr>
              <w:b/>
              <w:caps/>
              <w:spacing w:val="-20"/>
              <w:position w:val="-4"/>
              <w:sz w:val="36"/>
            </w:rPr>
            <w:t>RO</w:t>
          </w:r>
        </w:p>
      </w:tc>
    </w:tr>
  </w:tbl>
  <w:p w14:paraId="1637BC23" w14:textId="77777777" w:rsidR="00B00FCF" w:rsidRDefault="00B00FCF">
    <w:pPr>
      <w:pStyle w:val="FooterCouncil"/>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004F54B2" w:rsidRPr="00D94637" w14:paraId="084EE9A9" w14:textId="77777777" w:rsidTr="00D94637">
      <w:trPr>
        <w:jc w:val="center"/>
      </w:trPr>
      <w:tc>
        <w:tcPr>
          <w:tcW w:w="5000" w:type="pct"/>
          <w:gridSpan w:val="7"/>
          <w:shd w:val="clear" w:color="auto" w:fill="auto"/>
          <w:tcMar>
            <w:top w:w="57" w:type="dxa"/>
          </w:tcMar>
        </w:tcPr>
        <w:p w14:paraId="0E9514E2" w14:textId="77777777" w:rsidR="00060117" w:rsidRPr="00D94637" w:rsidRDefault="00060117" w:rsidP="00D94637">
          <w:pPr>
            <w:pStyle w:val="FooterText"/>
            <w:pBdr>
              <w:top w:val="single" w:sz="4" w:space="1" w:color="auto"/>
            </w:pBdr>
            <w:spacing w:before="200"/>
            <w:rPr>
              <w:sz w:val="2"/>
              <w:szCs w:val="2"/>
            </w:rPr>
          </w:pPr>
          <w:bookmarkStart w:id="2" w:name="FOOTER_STANDARD"/>
        </w:p>
      </w:tc>
    </w:tr>
    <w:tr w:rsidR="004F54B2" w:rsidRPr="00B310DC" w14:paraId="7CD669F1" w14:textId="77777777" w:rsidTr="00842D7E">
      <w:trPr>
        <w:jc w:val="center"/>
      </w:trPr>
      <w:tc>
        <w:tcPr>
          <w:tcW w:w="2500" w:type="pct"/>
          <w:gridSpan w:val="2"/>
          <w:shd w:val="clear" w:color="auto" w:fill="auto"/>
          <w:tcMar>
            <w:top w:w="0" w:type="dxa"/>
          </w:tcMar>
        </w:tcPr>
        <w:p w14:paraId="5666BDC7" w14:textId="77777777" w:rsidR="00060117" w:rsidRPr="00AD7BF2" w:rsidRDefault="00060117" w:rsidP="004F54B2">
          <w:pPr>
            <w:pStyle w:val="FooterText"/>
          </w:pPr>
          <w:r>
            <w:t>14144/1</w:t>
          </w:r>
          <w:r>
            <w:t>/</w:t>
          </w:r>
          <w:r>
            <w:t>25</w:t>
          </w:r>
          <w:r w:rsidRPr="002511D8">
            <w:t xml:space="preserve"> </w:t>
          </w:r>
          <w:r>
            <w:t>REV 1 ADD 1</w:t>
          </w:r>
        </w:p>
      </w:tc>
      <w:tc>
        <w:tcPr>
          <w:tcW w:w="625" w:type="pct"/>
          <w:shd w:val="clear" w:color="auto" w:fill="auto"/>
          <w:tcMar>
            <w:top w:w="0" w:type="dxa"/>
          </w:tcMar>
        </w:tcPr>
        <w:p w14:paraId="3E8B5CC6" w14:textId="77777777" w:rsidR="00060117" w:rsidRPr="00AD7BF2" w:rsidRDefault="00060117" w:rsidP="00D94637">
          <w:pPr>
            <w:pStyle w:val="FooterText"/>
            <w:jc w:val="center"/>
          </w:pPr>
        </w:p>
      </w:tc>
      <w:tc>
        <w:tcPr>
          <w:tcW w:w="1286" w:type="pct"/>
          <w:gridSpan w:val="3"/>
          <w:shd w:val="clear" w:color="auto" w:fill="auto"/>
          <w:tcMar>
            <w:top w:w="0" w:type="dxa"/>
          </w:tcMar>
        </w:tcPr>
        <w:p w14:paraId="0372FDD6" w14:textId="77777777" w:rsidR="00060117" w:rsidRPr="002511D8" w:rsidRDefault="00060117" w:rsidP="00D94637">
          <w:pPr>
            <w:pStyle w:val="FooterText"/>
            <w:jc w:val="center"/>
          </w:pPr>
        </w:p>
      </w:tc>
      <w:tc>
        <w:tcPr>
          <w:tcW w:w="589" w:type="pct"/>
          <w:shd w:val="clear" w:color="auto" w:fill="auto"/>
          <w:tcMar>
            <w:top w:w="0" w:type="dxa"/>
          </w:tcMar>
        </w:tcPr>
        <w:p w14:paraId="6D80AF6A" w14:textId="77777777" w:rsidR="00060117" w:rsidRPr="00B310DC" w:rsidRDefault="00060117" w:rsidP="00D94637">
          <w:pPr>
            <w:pStyle w:val="FooterText"/>
            <w:jc w:val="right"/>
          </w:pPr>
          <w:r>
            <w:fldChar w:fldCharType="begin"/>
          </w:r>
          <w:r>
            <w:instrText xml:space="preserve"> PAGE  \* MERGEFORMAT </w:instrText>
          </w:r>
          <w:r>
            <w:fldChar w:fldCharType="separate"/>
          </w:r>
          <w:r>
            <w:rPr>
              <w:noProof/>
            </w:rPr>
            <w:t>1</w:t>
          </w:r>
          <w:r>
            <w:fldChar w:fldCharType="end"/>
          </w:r>
        </w:p>
      </w:tc>
    </w:tr>
    <w:tr w:rsidR="004F54B2" w:rsidRPr="00D94637" w14:paraId="4FE94CDE" w14:textId="77777777" w:rsidTr="00430704">
      <w:trPr>
        <w:jc w:val="center"/>
      </w:trPr>
      <w:tc>
        <w:tcPr>
          <w:tcW w:w="1774" w:type="pct"/>
          <w:shd w:val="clear" w:color="auto" w:fill="auto"/>
        </w:tcPr>
        <w:p w14:paraId="48AB4D3E" w14:textId="77777777" w:rsidR="00060117" w:rsidRPr="00AD7BF2" w:rsidRDefault="00060117" w:rsidP="00D94637">
          <w:pPr>
            <w:pStyle w:val="FooterText"/>
            <w:spacing w:before="40"/>
          </w:pPr>
        </w:p>
      </w:tc>
      <w:tc>
        <w:tcPr>
          <w:tcW w:w="1455" w:type="pct"/>
          <w:gridSpan w:val="3"/>
          <w:shd w:val="clear" w:color="auto" w:fill="auto"/>
        </w:tcPr>
        <w:p w14:paraId="6EBF25C0" w14:textId="77777777" w:rsidR="00060117" w:rsidRPr="00AD7BF2" w:rsidRDefault="00060117" w:rsidP="00D204D6">
          <w:pPr>
            <w:pStyle w:val="FooterText"/>
            <w:spacing w:before="40"/>
            <w:jc w:val="center"/>
          </w:pPr>
          <w:r>
            <w:t>GIP.INST</w:t>
          </w:r>
        </w:p>
      </w:tc>
      <w:tc>
        <w:tcPr>
          <w:tcW w:w="742" w:type="pct"/>
          <w:shd w:val="clear" w:color="auto" w:fill="auto"/>
        </w:tcPr>
        <w:p w14:paraId="36183BF9" w14:textId="77777777" w:rsidR="00060117" w:rsidRPr="00D94637" w:rsidRDefault="00060117" w:rsidP="002F0099">
          <w:pPr>
            <w:pStyle w:val="FooterText"/>
            <w:jc w:val="center"/>
            <w:rPr>
              <w:b/>
              <w:position w:val="-4"/>
              <w:sz w:val="36"/>
            </w:rPr>
          </w:pPr>
        </w:p>
      </w:tc>
      <w:tc>
        <w:tcPr>
          <w:tcW w:w="1029" w:type="pct"/>
          <w:gridSpan w:val="2"/>
          <w:shd w:val="clear" w:color="auto" w:fill="auto"/>
        </w:tcPr>
        <w:p w14:paraId="5AC197CC" w14:textId="77777777" w:rsidR="00060117" w:rsidRPr="00695BAF" w:rsidRDefault="00060117" w:rsidP="00D94637">
          <w:pPr>
            <w:pStyle w:val="FooterText"/>
            <w:jc w:val="right"/>
            <w:rPr>
              <w:caps/>
              <w:spacing w:val="-20"/>
              <w:sz w:val="16"/>
            </w:rPr>
          </w:pPr>
          <w:r>
            <w:rPr>
              <w:b/>
              <w:caps/>
              <w:spacing w:val="-20"/>
              <w:position w:val="-4"/>
              <w:sz w:val="36"/>
            </w:rPr>
            <w:t>RO</w:t>
          </w:r>
        </w:p>
      </w:tc>
    </w:tr>
    <w:bookmarkEnd w:id="2"/>
  </w:tbl>
  <w:p w14:paraId="4436BFBC" w14:textId="77777777" w:rsidR="00B00FCF" w:rsidRDefault="00B00FCF">
    <w:pPr>
      <w:pStyle w:val="FooterCounci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CD9EF" w14:textId="77777777" w:rsidR="00144FF1" w:rsidRDefault="00144FF1" w:rsidP="00A43C50">
      <w:r>
        <w:separator/>
      </w:r>
    </w:p>
  </w:footnote>
  <w:footnote w:type="continuationSeparator" w:id="0">
    <w:p w14:paraId="55FB1328" w14:textId="77777777" w:rsidR="00144FF1" w:rsidRDefault="00144FF1" w:rsidP="00A43C50">
      <w:r>
        <w:continuationSeparator/>
      </w:r>
    </w:p>
  </w:footnote>
  <w:footnote w:id="1">
    <w:p w14:paraId="64D5763C" w14:textId="77777777" w:rsidR="004C743B" w:rsidRPr="002669D7" w:rsidRDefault="004C743B" w:rsidP="004573BA">
      <w:pPr>
        <w:pStyle w:val="FootnoteText"/>
      </w:pPr>
      <w:r w:rsidRPr="002669D7">
        <w:rPr>
          <w:rStyle w:val="FootnoteReference"/>
        </w:rPr>
        <w:footnoteRef/>
      </w:r>
      <w:r w:rsidRPr="002669D7">
        <w:tab/>
        <w:t>14265/22 + ADD 1-3.</w:t>
      </w:r>
    </w:p>
  </w:footnote>
  <w:footnote w:id="2">
    <w:p w14:paraId="6C25BD93" w14:textId="77777777" w:rsidR="004C743B" w:rsidRPr="002669D7" w:rsidRDefault="004C743B" w:rsidP="004573BA">
      <w:pPr>
        <w:pStyle w:val="FootnoteText"/>
      </w:pPr>
      <w:r w:rsidRPr="002669D7">
        <w:rPr>
          <w:rStyle w:val="FootnoteReference"/>
        </w:rPr>
        <w:footnoteRef/>
      </w:r>
      <w:r w:rsidRPr="002669D7">
        <w:tab/>
        <w:t>JO C 146, 27.4.2023, p. 41.</w:t>
      </w:r>
    </w:p>
  </w:footnote>
  <w:footnote w:id="3">
    <w:p w14:paraId="7EE6B22D" w14:textId="77777777" w:rsidR="004C743B" w:rsidRPr="002669D7" w:rsidRDefault="004C743B" w:rsidP="004573BA">
      <w:pPr>
        <w:pStyle w:val="FootnoteText"/>
      </w:pPr>
      <w:r w:rsidRPr="002669D7">
        <w:rPr>
          <w:rStyle w:val="FootnoteReference"/>
        </w:rPr>
        <w:footnoteRef/>
      </w:r>
      <w:r w:rsidRPr="002669D7">
        <w:tab/>
        <w:t>11383/24.</w:t>
      </w:r>
    </w:p>
  </w:footnote>
  <w:footnote w:id="4">
    <w:p w14:paraId="734E5943" w14:textId="77777777" w:rsidR="004C743B" w:rsidRPr="002669D7" w:rsidRDefault="004C743B" w:rsidP="004573BA">
      <w:pPr>
        <w:pStyle w:val="FootnoteText"/>
      </w:pPr>
      <w:r w:rsidRPr="002669D7">
        <w:rPr>
          <w:rStyle w:val="FootnoteReference"/>
        </w:rPr>
        <w:footnoteRef/>
      </w:r>
      <w:r w:rsidRPr="002669D7">
        <w:tab/>
        <w:t>10562/24.</w:t>
      </w:r>
    </w:p>
  </w:footnote>
  <w:footnote w:id="5">
    <w:p w14:paraId="1FC3555B" w14:textId="77777777" w:rsidR="004C743B" w:rsidRPr="002669D7" w:rsidRDefault="004C743B" w:rsidP="004573BA">
      <w:pPr>
        <w:pStyle w:val="FootnoteText"/>
      </w:pPr>
      <w:r w:rsidRPr="002669D7">
        <w:rPr>
          <w:rStyle w:val="FootnoteReference"/>
        </w:rPr>
        <w:footnoteRef/>
      </w:r>
      <w:r w:rsidRPr="002669D7">
        <w:tab/>
        <w:t>13321/25.</w:t>
      </w:r>
    </w:p>
  </w:footnote>
  <w:footnote w:id="6">
    <w:p w14:paraId="23AE3AD5" w14:textId="77777777" w:rsidR="004C743B" w:rsidRPr="002669D7" w:rsidRDefault="004C743B" w:rsidP="004573BA">
      <w:pPr>
        <w:pStyle w:val="FootnoteText"/>
      </w:pPr>
      <w:r w:rsidRPr="002669D7">
        <w:rPr>
          <w:rStyle w:val="FootnoteReference"/>
        </w:rPr>
        <w:footnoteRef/>
      </w:r>
      <w:r w:rsidRPr="002669D7">
        <w:tab/>
        <w:t>15101/19 + ADD 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14631" w14:textId="77777777" w:rsidR="00B00FCF" w:rsidRDefault="00060117">
    <w:pPr>
      <w:pStyle w:val="HeaderCouncilLarge"/>
    </w:pPr>
    <w:r>
      <w:t>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6C7471" w14:textId="77777777" w:rsidR="00B00FCF" w:rsidRDefault="00060117">
    <w:pPr>
      <w:pStyle w:val="HeaderCouncil"/>
    </w:pPr>
    <w:r>
      <w: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2"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3" w15:restartNumberingAfterBreak="0">
    <w:nsid w:val="128B1B51"/>
    <w:multiLevelType w:val="hybridMultilevel"/>
    <w:tmpl w:val="C1FA4F2A"/>
    <w:lvl w:ilvl="0" w:tplc="08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6"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7"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0"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11"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13"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14"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15"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16"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17"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18"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19"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20"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num w:numId="1" w16cid:durableId="1563179250">
    <w:abstractNumId w:val="0"/>
  </w:num>
  <w:num w:numId="2" w16cid:durableId="519511468">
    <w:abstractNumId w:val="7"/>
  </w:num>
  <w:num w:numId="3" w16cid:durableId="879785281">
    <w:abstractNumId w:val="9"/>
  </w:num>
  <w:num w:numId="4" w16cid:durableId="1904951281">
    <w:abstractNumId w:val="6"/>
  </w:num>
  <w:num w:numId="5" w16cid:durableId="724328999">
    <w:abstractNumId w:val="5"/>
  </w:num>
  <w:num w:numId="6" w16cid:durableId="703335405">
    <w:abstractNumId w:val="14"/>
  </w:num>
  <w:num w:numId="7" w16cid:durableId="2132553841">
    <w:abstractNumId w:val="19"/>
  </w:num>
  <w:num w:numId="8" w16cid:durableId="841973102">
    <w:abstractNumId w:val="15"/>
  </w:num>
  <w:num w:numId="9" w16cid:durableId="454833879">
    <w:abstractNumId w:val="1"/>
  </w:num>
  <w:num w:numId="10" w16cid:durableId="363945546">
    <w:abstractNumId w:val="16"/>
  </w:num>
  <w:num w:numId="11" w16cid:durableId="980888982">
    <w:abstractNumId w:val="12"/>
  </w:num>
  <w:num w:numId="12" w16cid:durableId="1811819420">
    <w:abstractNumId w:val="2"/>
  </w:num>
  <w:num w:numId="13" w16cid:durableId="831216068">
    <w:abstractNumId w:val="18"/>
  </w:num>
  <w:num w:numId="14" w16cid:durableId="1311598112">
    <w:abstractNumId w:val="20"/>
  </w:num>
  <w:num w:numId="15" w16cid:durableId="488710287">
    <w:abstractNumId w:val="10"/>
  </w:num>
  <w:num w:numId="16" w16cid:durableId="1821581569">
    <w:abstractNumId w:val="17"/>
  </w:num>
  <w:num w:numId="17" w16cid:durableId="1609240743">
    <w:abstractNumId w:val="13"/>
  </w:num>
  <w:num w:numId="18" w16cid:durableId="1794011489">
    <w:abstractNumId w:val="11"/>
  </w:num>
  <w:num w:numId="19" w16cid:durableId="2103060411">
    <w:abstractNumId w:val="8"/>
  </w:num>
  <w:num w:numId="20" w16cid:durableId="849026584">
    <w:abstractNumId w:val="4"/>
  </w:num>
  <w:num w:numId="21" w16cid:durableId="19257957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oNotTrackFormatting/>
  <w:defaultTabStop w:val="720"/>
  <w:hyphenationZone w:val="425"/>
  <w:characterSpacingControl w:val="doNotCompress"/>
  <w:hdrShapeDefaults>
    <o:shapedefaults v:ext="edit" spidmax="6145"/>
  </w:hdrShapeDefaults>
  <w:footnotePr>
    <w:footnote w:id="-1"/>
    <w:footnote w:id="0"/>
  </w:footnotePr>
  <w:endnotePr>
    <w:endnote w:id="-1"/>
    <w:endnote w:id="0"/>
  </w:endnotePr>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uncil" w:val="true"/>
    <w:docVar w:name="DocuWriteMetaData" w:val="&lt;metadataset docuwriteversion=&quot;4.14.2&quot; technicalblockguid=&quot;5043330661963681808&quot;&gt;_x000d__x000a_  &lt;metadata key=&quot;md_DocumentLanguages&quot; translate=&quot;false&quot;&gt;_x000d__x000a_    &lt;basicdatatypelist&gt;_x000d__x000a_      &lt;language key=&quot;RO&quot; text=&quot;RO&quot; /&gt;_x000d__x000a_    &lt;/basicdatatypelist&gt;_x000d__x000a_  &lt;/metadata&gt;_x000d__x000a_  &lt;metadata key=&quot;md_OriginalLanguages&quot; translate=&quot;false&quot;&gt;_x000d__x000a_    &lt;basicdatatypelist&gt;_x000d__x000a_      &lt;language key=&quot;EN&quot; text=&quot;EN&quot; /&gt;_x000d__x000a_    &lt;/basicdatatypelist&gt;_x000d__x000a_  &lt;/metadata&gt;_x000d__x000a_  &lt;metadata key=&quot;md_UniqueHeading&quot; translate=&quot;false&quot;&gt;_x000d__x000a_    &lt;basicdatatype&gt;_x000d__x000a_      &lt;heading key=&quot;uh_60&quot; text=&quot;EXPUNERE DE MOTIVE A CONSILIULUI&quot; /&gt;_x000d__x000a_    &lt;/basicdatatype&gt;_x000d__x000a_  &lt;/metadata&gt;_x000d__x000a_  &lt;metadata key=&quot;md_HeadingText&quot; translate=&quot;false&quot;&gt;_x000d__x000a_    &lt;headingtext text=&quot;EXPUNERE DE MOTIVE A CONSILIULUI&quot;&gt;_x000d__x000a_      &lt;formattedtext&gt;_x000d__x000a_        &lt;xaml text=&quot;EXPUNERE DE MOTIVE A CONSILIULUI&quot;&gt;&amp;lt;FlowDocument xmlns=&quot;http://schemas.microsoft.com/winfx/2006/xaml/presentation&quot;&amp;gt;&amp;lt;Paragraph&amp;gt;EXPUNERE DE MOTIVE A CONSILIULUI&amp;lt;/Paragraph&amp;gt;&amp;lt;/FlowDocument&amp;gt;&lt;/xaml&gt;_x000d__x000a_      &lt;/formattedtext&gt;_x000d__x000a_    &lt;/headingtext&gt;_x000d__x000a_  &lt;/metadata&gt;_x000d__x000a_  &lt;metadata key=&quot;md_CustomFootnote&quot; translate=&quot;false&quot;&gt;_x000d__x000a_    &lt;text&gt;&lt;/text&gt;_x000d__x000a_  &lt;/metadata&gt;_x000d__x000a_  &lt;metadata key=&quot;md_DocumentGroup&quot; translate=&quot;false&quot;&gt;_x000d__x000a_    &lt;basicdatatype&gt;_x000d__x000a_      &lt;document_group key=&quot;dg_07&quot; text=&quot;Note&quot; /&gt;_x000d__x000a_    &lt;/basicdatatype&gt;_x000d__x000a_  &lt;/metadata&gt;_x000d__x000a_  &lt;metadata key=&quot;md_DocumentType&quot; translate=&quot;false&quot;&gt;_x000d__x000a_    &lt;basicdatatype&gt;_x000d__x000a_      &lt;doc_type key=&quot;dt_ST&quot; text=&quot;ST&quot; /&gt;_x000d__x000a_    &lt;/basicdatatype&gt;_x000d__x000a_  &lt;/metadata&gt;_x000d__x000a_  &lt;metadata key=&quot;md_InstitutionalFramework&quot; translate=&quot;false&quot;&gt;_x000d__x000a_    &lt;basicdatatype&gt;_x000d__x000a_      &lt;framework key=&quot;if_01&quot; text=&quot;Consiliul Uniunii Europene&quot; institution=&quot;instfr_institution&quot; acronym=&quot;instfr_acronym&quot; /&gt;_x000d__x000a_    &lt;/basicdatatype&gt;_x000d__x000a_  &lt;/metadata&gt;_x000d__x000a_  &lt;metadata key=&quot;md_DraftNote&quot; /&gt;_x000d__x000a_  &lt;metadata key=&quot;md_DGName&quot; /&gt;_x000d__x000a_  &lt;metadata key=&quot;md_ContributingService&quot; /&gt;_x000d__x000a_  &lt;metadata key=&quot;md_DocumentLocation&quot; translate=&quot;false&quot;&gt;_x000d__x000a_    &lt;basicdatatype&gt;_x000d__x000a_      &lt;location key=&quot;loc_01&quot; text=&quot;Bruxelles&quot; /&gt;_x000d__x000a_    &lt;/basicdatatype&gt;_x000d__x000a_  &lt;/metadata&gt;_x000d__x000a_  &lt;metadata key=&quot;md_DocumentDate&quot; translate=&quot;false&quot;&gt;_x000d__x000a_    &lt;text&gt;2026-02-19&lt;/text&gt;_x000d__x000a_  &lt;/metadata&gt;_x000d__x000a_  &lt;metadata key=&quot;md_Prefix&quot; translate=&quot;false&quot;&gt;_x000d__x000a_    &lt;text&gt;&lt;/text&gt;_x000d__x000a_  &lt;/metadata&gt;_x000d__x000a_  &lt;metadata key=&quot;md_DocumentNumber&quot; translate=&quot;false&quot;&gt;_x000d__x000a_    &lt;text&gt;14144&lt;/text&gt;_x000d__x000a_  &lt;/metadata&gt;_x000d__x000a_  &lt;metadata key=&quot;md_YearDocumentNumber&quot; translate=&quot;false&quot;&gt;_x000d__x000a_    &lt;text&gt;2025&lt;/text&gt;_x000d__x000a_  &lt;/metadata&gt;_x000d__x000a_  &lt;metadata key=&quot;md_Suffixes&quot; translate=&quot;false&quot;&gt;_x000d__x000a_    &lt;text&gt;REV 1 ADD 1&lt;/text&gt;_x000d__x000a_  &lt;/metadata&gt;_x000d__x000a_  &lt;metadata key=&quot;md_SuffixLanguagesInvolved&quot; translate=&quot;false&quot;&gt;_x000d__x000a_    &lt;text&gt;&lt;/text&gt;_x000d__x000a_  &lt;/metadata&gt;_x000d__x000a_  &lt;metadata key=&quot;md_FirstRevNumber&quot; translate=&quot;false&quot;&gt;_x000d__x000a_    &lt;text&gt;1&lt;/text&gt;_x000d__x000a_  &lt;/metadata&gt;_x000d__x000a_  &lt;metadata key=&quot;md_Distribution&quot; translate=&quot;false&quot;&gt;_x000d__x000a_    &lt;basicdatatype&gt;_x000d__x000a_      &lt;distribution key=&quot;dis_01&quot; text=&quot;PUBLIC&quot; /&gt;_x000d__x000a_    &lt;/basicdatatype&gt;_x000d__x000a_  &lt;/metadata&gt;_x000d__x000a_  &lt;metadata key=&quot;md_SubjectCodes&quot; translate=&quot;false&quot;&gt;_x000d__x000a_    &lt;textlist&gt;_x000d__x000a_      &lt;text&gt;ENV 1039&lt;/text&gt;_x000d__x000a_      &lt;text&gt;CLIMA 445&lt;/text&gt;_x000d__x000a_      &lt;text&gt;AGRI 499&lt;/text&gt;_x000d__x000a_      &lt;text&gt;FORETS 89&lt;/text&gt;_x000d__x000a_      &lt;text&gt;ENER 534&lt;/text&gt;_x000d__x000a_      &lt;text&gt;TRANS 474&lt;/text&gt;_x000d__x000a_      &lt;text&gt;CODEC 1560&lt;/text&gt;_x000d__x000a_    &lt;/textlist&gt;_x000d__x000a_  &lt;/metadata&gt;_x000d__x000a_  &lt;metadata key=&quot;md_ThirdPartyDistributionMarkers&quot; translate=&quot;false&quot;&gt;_x000d__x000a_    &lt;textlist&gt;_x000d__x000a_      &lt;text&gt;PARLNAT&lt;/text&gt;_x000d__x000a_    &lt;/textlist&gt;_x000d__x000a_  &lt;/metadata&gt;_x000d__x000a_  &lt;metadata key=&quot;md_Contact&quot; translate=&quot;false&quot;&gt;_x000d__x000a_    &lt;text&gt;&lt;/text&gt;_x000d__x000a_  &lt;/metadata&gt;_x000d__x000a_  &lt;metadata key=&quot;md_ContactPhoneFax&quot; translate=&quot;false&quot;&gt;_x000d__x000a_    &lt;text&gt;&lt;/text&gt;_x000d__x000a_  &lt;/metadata&gt;_x000d__x000a_  &lt;metadata key=&quot;md_MeetingVenue&quot; /&gt;_x000d__x000a_  &lt;metadata key=&quot;md_ProvisionalVersion&quot; translate=&quot;false&quot;&gt;_x000d__x000a_    &lt;text&gt;&lt;/text&gt;_x000d__x000a_  &lt;/metadata&gt;_x000d__x000a_  &lt;metadata key=&quot;md_PresidentInformation&quot; /&gt;_x000d__x000a_  &lt;metadata key=&quot;md_MeetingNumber&quot; translate=&quot;false&quot;&gt;_x000d__x000a_    &lt;text&gt;&lt;/text&gt;_x000d__x000a_  &lt;/metadata&gt;_x000d__x000a_  &lt;metadata key=&quot;md_CouncilConfiguration&quot; /&gt;_x000d__x000a_  &lt;metadata key=&quot;md_CouncilIssue&quot; /&gt;_x000d__x000a_  &lt;metadata key=&quot;md_PhoneNumber&quot; translate=&quot;false&quot;&gt;_x000d__x000a_    &lt;text&gt;&lt;/text&gt;_x000d__x000a_  &lt;/metadata&gt;_x000d__x000a_  &lt;metadata key=&quot;md_TypeOfHeading&quot; translate=&quot;false&quot;&gt;_x000d__x000a_    &lt;basicdatatype&gt;_x000d__x000a_      &lt;typeofheading key=&quot;&quot; /&gt;_x000d__x000a_    &lt;/basicdatatype&gt;_x000d__x000a_  &lt;/metadata&gt;_x000d__x000a_  &lt;metadata key=&quot;md_ReplyName&quot; /&gt;_x000d__x000a_  &lt;metadata key=&quot;md_EPQuestionsData&quot; /&gt;_x000d__x000a_  &lt;metadata key=&quot;md_Deadline&quot; /&gt;_x000d__x000a_  &lt;metadata key=&quot;md_InterinstitutionalFiles&quot; translate=&quot;false&quot;&gt;_x000d__x000a_    &lt;textlist&gt;_x000d__x000a_      &lt;text&gt;2022/0344 (COD)&lt;/text&gt;_x000d__x000a_    &lt;/textlist&gt;_x000d__x000a_  &lt;/metadata&gt;_x000d__x000a_  &lt;metadata key=&quot;md_AdditionalReferences&quot; translate=&quot;false&quot;&gt;_x000d__x000a_    &lt;textlist&gt;_x000d__x000a_      &lt;text&gt;&lt;/text&gt;_x000d__x000a_    &lt;/textlist&gt;_x000d__x000a_  &lt;/metadata&gt;_x000d__x000a_  &lt;metadata key=&quot;md_LEXNumber&quot; translate=&quot;false&quot;&gt;_x000d__x000a_    &lt;text&gt;&lt;/text&gt;_x000d__x000a_  &lt;/metadata&gt;_x000d__x000a_  &lt;metadata key=&quot;md_SousEmbargo&quot; translate=&quot;false&quot;&gt;_x000d__x000a_    &lt;text&gt;&lt;/text&gt;_x000d__x000a_  &lt;/metadata&gt;_x000d__x000a_  &lt;metadata key=&quot;md_DraftVersion&quot; translate=&quot;false&quot;&gt;_x000d__x000a_    &lt;text&gt;&lt;/text&gt;_x000d__x000a_  &lt;/metadata&gt;_x000d__x000a_  &lt;metadata key=&quot;md_Originator&quot; translate=&quot;false&quot;&gt;_x000d__x000a_    &lt;basicdatatype&gt;_x000d__x000a_      &lt;text&gt;&lt;/text&gt;_x000d__x000a_    &lt;/basicdatatype&gt;_x000d__x000a_  &lt;/metadata&gt;_x000d__x000a_  &lt;metadata key=&quot;md_Recipient&quot; translate=&quot;false&quot;&gt;_x000d__x000a_    &lt;basicdatatype&gt;_x000d__x000a_      &lt;text&gt;&lt;/text&gt;_x000d__x000a_    &lt;/basicdatatype&gt;_x000d__x000a_  &lt;/metadata&gt;_x000d__x000a_  &lt;metadata key=&quot;md_DateOfReceipt&quot; translate=&quot;false&quot;&gt;_x000d__x000a_    &lt;text&gt;&lt;/text&gt;_x000d__x000a_  &lt;/metadata&gt;_x000d__x000a_  &lt;metadata key=&quot;md_FreeDate&quot; translate=&quot;false&quot;&gt;_x000d__x000a_    &lt;textlist /&gt;_x000d__x000a_  &lt;/metadata&gt;_x000d__x000a_  &lt;metadata key=&quot;md_PrecedingDocuments&quot; /&gt;_x000d__x000a_  &lt;metadata key=&quot;md_CommissionDocuments&quot; /&gt;_x000d__x000a_  &lt;metadata key=&quot;md_DocForDWNDCL&quot; /&gt;_x000d__x000a_  &lt;metadata key=&quot;md_Distribution_NewClassification&quot; /&gt;_x000d__x000a_  &lt;metadata key=&quot;md_DWNDCLAuthorization&quot; /&gt;_x000d__x000a_  &lt;metadata key=&quot;md_DateOfAuthorization&quot; /&gt;_x000d__x000a_  &lt;metadata key=&quot;md_MeetingLocation&quot; translate=&quot;false&quot;&gt;_x000d__x000a_    &lt;basicdatatype&gt;_x000d__x000a_      &lt;location key=&quot;&quot; /&gt;_x000d__x000a_    &lt;/basicdatatype&gt;_x000d__x000a_  &lt;/metadata&gt;_x000d__x000a_  &lt;metadata key=&quot;md_MeetingDate&quot; translate=&quot;false&quot;&gt;_x000d__x000a_    &lt;textlist /&gt;_x000d__x000a_  &lt;/metadata&gt;_x000d__x000a_  &lt;metadata key=&quot;md_DateFormatOr&quot; translate=&quot;false&quot;&gt;_x000d__x000a_    &lt;text&gt;&lt;/text&gt;_x000d__x000a_  &lt;/metadata&gt;_x000d__x000a_  &lt;metadata key=&quot;md_MeetingInformation&quot; /&gt;_x000d__x000a_  &lt;metadata key=&quot;md_Item&quot; /&gt;_x000d__x000a_  &lt;metadata key=&quot;md_SubjectPrefix&quot; /&gt;_x000d__x000a_  &lt;metadata key=&quot;md_Subject&quot;&gt;_x000d__x000a_    &lt;xaml text=&quot;Pozi&amp;#539;ia în prim&amp;#259; lectur&amp;#259; a Consiliului în vederea adopt&amp;#259;rii unei DIRECTIVE A PARLAMENTULUI EUROPEAN &amp;#536;I A CONSILIULUI de modificare a Directivei 2000/60/CE de stabilire a unui cadru de politic&amp;#259; comunitar&amp;#259; în domeniul apei, a Directivei 2006/118/CE privind protec&amp;#539;ia apelor subterane împotriva polu&amp;#259;rii &amp;#537;i a deterior&amp;#259;rii &amp;#537;i a Directivei 2008/105/CE privind standardele de calitate a mediului în domeniul apei &amp;#8211; Expunere de motive a Consiliului &amp;#8211; Adoptat&amp;#259; de Consiliu la 17 februarie 2026&quot;&gt;&amp;lt;FlowDocument xmlns=&quot;http://schemas.microsoft.com/winfx/2006/xaml/presentation&quot;&amp;gt;&amp;lt;Paragraph&amp;gt;Pozi&amp;#539;ia în prim&amp;#259; lectur&amp;#259; a Consiliului în vederea adopt&amp;#259;rii unei DIRECTIVE A PARLAMENTULUI EUROPEAN &amp;#536;I A CONSILIULUI de modificare a Directivei 2000/60/CE de stabilire a unui cadru de politic&amp;#259; comunitar&amp;#259; în domeniul apei, a Directivei 2006/118/CE privind protec&amp;#539;ia apelor subterane împotriva polu&amp;#259;rii &amp;#537;i a deterior&amp;#259;rii &amp;#537;i a Directivei 2008/105/CE privind standardele de calitate a mediului în domeniul apei&amp;lt;/Paragraph&amp;gt;&amp;lt;Paragraph&amp;gt;&amp;#8211; Expunere de motive a Consiliului&amp;lt;/Paragraph&amp;gt;&amp;lt;Paragraph&amp;gt;&amp;#8211; Adoptat&amp;#259; de Consiliu la 17 februarie 2026&amp;lt;/Paragraph&amp;gt;&amp;lt;/FlowDocument&amp;gt;&lt;/xaml&gt;_x000d__x000a_  &lt;/metadata&gt;_x000d__x000a_  &lt;metadata key=&quot;md_SubjectFootnote&quot;&gt;_x000d__x000a_    &lt;text&gt;&lt;/text&gt;_x000d__x000a_  &lt;/metadata&gt;_x000d__x000a_  &lt;metadata key=&quot;md_DG&quot; translate=&quot;false&quot;&gt;_x000d__x000a_    &lt;text&gt;GIP.INST&lt;/text&gt;_x000d__x000a_  &lt;/metadata&gt;_x000d__x000a_  &lt;metadata key=&quot;md_Initials&quot; translate=&quot;false&quot;&gt;_x000d__x000a_    &lt;text&gt;&lt;/text&gt;_x000d__x000a_  &lt;/metadata&gt;_x000d__x000a_  &lt;metadata key=&quot;md_SensitivityLabel&quot; translate=&quot;false&quot;&gt;_x000d__x000a_    &lt;basicdatatype&gt;_x000d__x000a_      &lt;sensitivity_label key=&quot;senslabel_01&quot; text=&quot;PUBLIC&quot; labelid=&quot;af60b174-6478-47f9-866e-33f097bb6603&quot; siteid=&quot;03ad1c97-0a4d-4e82-8f93-27291a6a0767&quot; isdefault=&quot;false&quot; /&gt;_x000d__x000a_    &lt;/basicdatatype&gt;_x000d__x000a_  &lt;/metadata&gt;_x000d__x000a_  &lt;metadata key=&quot;md_RectifProcedureType&quot; /&gt;_x000d__x000a_  &lt;metadata key=&quot;md_RectifLanguagesBase&quot; /&gt;_x000d__x000a_  &lt;metadata key=&quot;md_RectifLanguagesConcerned&quot; /&gt;_x000d__x000a_  &lt;metadata key=&quot;md_RectifIsLangSpec&quot; /&gt;_x000d__x000a_  &lt;metadata key=&quot;md_RectifLangSpecValue&quot; /&gt;_x000d__x000a_  &lt;metadata key=&quot;md_RectifNumberOfMistakes&quot; /&gt;_x000d__x000a_  &lt;metadata key=&quot;md_RectifHasRemarks&quot; /&gt;_x000d__x000a_  &lt;metadata key=&quot;md_RectifUseDocRef&quot; /&gt;_x000d__x000a_  &lt;metadata key=&quot;md_RectifDocRefNumber&quot; /&gt;_x000d__x000a_  &lt;metadata key=&quot;md_RectifDocRefDate&quot; /&gt;_x000d__x000a_  &lt;metadata key=&quot;md_RectifUseOJRef&quot; /&gt;_x000d__x000a_  &lt;metadata key=&quot;md_RectifOJRefType&quot; /&gt;_x000d__x000a_  &lt;metadata key=&quot;md_RectifOJLRefNumber&quot; /&gt;_x000d__x000a_  &lt;metadata key=&quot;md_RectifOJCRefNumber&quot; /&gt;_x000d__x000a_  &lt;metadata key=&quot;md_RectifOJLRefDate&quot; /&gt;_x000d__x000a_  &lt;metadata key=&quot;md_RectifOJCRefDate&quot; /&gt;_x000d__x000a_  &lt;metadata key=&quot;md_RectifOJLRefPage&quot; /&gt;_x000d__x000a_  &lt;metadata key=&quot;md_RectifOJCRefPage&quot; /&gt;_x000d__x000a_  &lt;metadata key=&quot;md_RectifUseOJCorRef&quot; /&gt;_x000d__x000a_  &lt;metadata key=&quot;md_RectifOJCorRefNumber&quot; /&gt;_x000d__x000a_  &lt;metadata key=&quot;md_RectifOJCorRefDate&quot; /&gt;_x000d__x000a_  &lt;metadata key=&quot;md_RectifOJCorRefPage&quot; /&gt;_x000d__x000a_  &lt;metadata key=&quot;md_RectifTimeLimit&quot; /&gt;_x000d__x000a_  &lt;metadata key=&quot;md_RectifCodecision&quot; /&gt;_x000d__x000a_  &lt;metadata key=&quot;md_RectifCorrectionNewLang&quot; /&gt;_x000d__x000a_  &lt;metadata key=&quot;md_RectifAgreement&quot; /&gt;_x000d__x000a_  &lt;metadata key=&quot;md_RectifSignature&quot; /&gt;_x000d__x000a_  &lt;metadata key=&quot;md_RectifLastMergeDate&quot; /&gt;_x000d__x000a_  &lt;metadata key=&quot;md_Rectif_Source1_UniqueHeading&quot; /&gt;_x000d__x000a_  &lt;metadata key=&quot;md_Rectif_Source1_DocumentType&quot; /&gt;_x000d__x000a_  &lt;metadata key=&quot;md_Rectif_Source1_DocumentNumber&quot; /&gt;_x000d__x000a_  &lt;metadata key=&quot;md_Rectif_Source1_YearDocumentNumber&quot; /&gt;_x000d__x000a_  &lt;metadata key=&quot;md_Rectif_Source1_Suffixes&quot; /&gt;_x000d__x000a_  &lt;metadata key=&quot;md_Rectif_Source2_UniqueHeading&quot; /&gt;_x000d__x000a_  &lt;metadata key=&quot;md_Rectif_Source2_DocumentType&quot; /&gt;_x000d__x000a_  &lt;metadata key=&quot;md_Rectif_Source2_DocumentNumber&quot; /&gt;_x000d__x000a_  &lt;metadata key=&quot;md_Rectif_Source2_YearDocumentNumber&quot; /&gt;_x000d__x000a_  &lt;metadata key=&quot;md_Rectif_Source2_Suffixes&quot; /&gt;_x000d__x000a_  &lt;metadata key=&quot;md_CoverPageDocWithCouncilFooter&quot; translate=&quot;false&quot;&gt;_x000d__x000a_    &lt;text&gt;&lt;/text&gt;_x000d__x000a_  &lt;/metadata&gt;_x000d__x000a_  &lt;metadata key=&quot;md_SourceDocLanguage&quot; /&gt;_x000d__x000a_  &lt;metadata key=&quot;md_SourceDocType&quot; /&gt;_x000d__x000a_  &lt;metadata key=&quot;md_SourceDocTitle&quot; /&gt;_x000d__x000a_  &lt;metadata key=&quot;md_SourceDocIsCECDoc&quot; translate=&quot;false&quot;&gt;_x000d__x000a_    &lt;text&gt;&lt;/text&gt;_x000d__x000a_  &lt;/metadata&gt;_x000d__x000a_  &lt;metadata key=&quot;md_NB1&quot; /&gt;_x000d__x000a_  &lt;metadata key=&quot;md_NB2&quot; /&gt;_x000d__x000a_  &lt;metadata key=&quot;md_NB3&quot; /&gt;_x000d__x000a_  &lt;metadata key=&quot;md_NB4&quot; /&gt;_x000d__x000a_  &lt;metadata key=&quot;md_NB5&quot; /&gt;_x000d__x000a_  &lt;metadata key=&quot;md_CustomNB&quot; /&gt;_x000d__x000a_  &lt;metadata key=&quot;md_Meetings&quot; translate=&quot;false&quot;&gt;_x000d__x000a_    &lt;meetings /&gt;_x000d__x000a_  &lt;/metadata&gt;_x000d__x000a_  &lt;metadata key=&quot;md_VisualRepresentation&quot; translate=&quot;false&quot;&gt;_x000d__x000a_    &lt;basicdatatype&gt;_x000d__x000a_      &lt;originator key=&quot;visrep_02&quot; /&gt;_x000d__x000a_    &lt;/basicdatatype&gt;_x000d__x000a_  &lt;/metadata&gt;_x000d__x000a_  &lt;metadata key=&quot;md_LetterData&quot; /&gt;_x000d__x000a_  &lt;metadata key=&quot;md_InstFrSubWordmark&quot; translate=&quot;false&quot;&gt;_x000d__x000a_    &lt;xaml text=&quot;&quot;&gt;&amp;lt;FlowDocument xmlns=&quot;http://schemas.microsoft.com/winfx/2006/xaml/presentation&quot;&amp;gt;&amp;lt;Paragraph&amp;gt;&amp;lt;/Paragraph&amp;gt;&amp;lt;/FlowDocument&amp;gt;&lt;/xaml&gt;_x000d__x000a_  &lt;/metadata&gt;_x000d__x000a_  &lt;metadata key=&quot;md_WorkflowLinkStatus&quot; /&gt;_x000d__x000a_  &lt;metadata key=&quot;md_eAgendaLinkStatus&quot; /&gt;_x000d__x000a_  &lt;metadata key=&quot;md_Caveat&quot; /&gt;_x000d__x000a_  &lt;metadata key=&quot;md_TechnicalKey&quot; /&gt;_x000d__x000a_&lt;/metadataset&gt;"/>
    <w:docVar w:name="DQCDateTime" w:val="2026-02-19 12:29:06"/>
    <w:docVar w:name="DW_AutoOpen" w:val="True"/>
    <w:docVar w:name="DW_DocType" w:val="DW_COUNCIL"/>
    <w:docVar w:name="DW_TechnicalBlockHash" w:val="224cab7a1f45d3255005940b31e0c28b6d1a740f70ac2cfde795e63a12c5771b"/>
  </w:docVars>
  <w:rsids>
    <w:rsidRoot w:val="00A86151"/>
    <w:rsid w:val="00052D7C"/>
    <w:rsid w:val="00060117"/>
    <w:rsid w:val="00144FF1"/>
    <w:rsid w:val="001C16E9"/>
    <w:rsid w:val="002669D7"/>
    <w:rsid w:val="00277C03"/>
    <w:rsid w:val="002B7769"/>
    <w:rsid w:val="00305445"/>
    <w:rsid w:val="003558E4"/>
    <w:rsid w:val="003B3627"/>
    <w:rsid w:val="003C184A"/>
    <w:rsid w:val="003E184A"/>
    <w:rsid w:val="004273BC"/>
    <w:rsid w:val="00443A64"/>
    <w:rsid w:val="004945B0"/>
    <w:rsid w:val="004C743B"/>
    <w:rsid w:val="0054146C"/>
    <w:rsid w:val="00546796"/>
    <w:rsid w:val="00733C59"/>
    <w:rsid w:val="007F499B"/>
    <w:rsid w:val="00804C82"/>
    <w:rsid w:val="00854E58"/>
    <w:rsid w:val="00894139"/>
    <w:rsid w:val="00A43C50"/>
    <w:rsid w:val="00A86151"/>
    <w:rsid w:val="00B00FCF"/>
    <w:rsid w:val="00C3441E"/>
    <w:rsid w:val="00D3039B"/>
    <w:rsid w:val="00D54549"/>
    <w:rsid w:val="00D93DFA"/>
    <w:rsid w:val="00DC250D"/>
    <w:rsid w:val="00E112C7"/>
    <w:rsid w:val="00E36A9C"/>
    <w:rsid w:val="00FB2CCE"/>
    <w:rsid w:val="00FE63E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B2FA8A8"/>
  <w15:chartTrackingRefBased/>
  <w15:docId w15:val="{06B075C0-6990-4042-BE74-F3D5390DE6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360" w:lineRule="auto"/>
    </w:pPr>
    <w:rPr>
      <w:rFonts w:ascii="Times New Roman" w:hAnsi="Times New Roman" w:cs="Times New Roman"/>
      <w:sz w:val="24"/>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eastAsiaTheme="majorEastAsia" w:hAnsiTheme="majorHAnsi" w:cstheme="majorBidi"/>
      <w:color w:val="365F91" w:themeColor="accent1" w:themeShade="BF"/>
      <w:kern w:val="2"/>
      <w:sz w:val="40"/>
      <w:szCs w:val="40"/>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eastAsiaTheme="majorEastAsia" w:hAnsiTheme="majorHAnsi" w:cstheme="majorBidi"/>
      <w:color w:val="365F91" w:themeColor="accent1" w:themeShade="BF"/>
      <w:kern w:val="2"/>
      <w:sz w:val="32"/>
      <w:szCs w:val="32"/>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eastAsiaTheme="majorEastAsia" w:hAnsiTheme="minorHAnsi" w:cstheme="majorBidi"/>
      <w:color w:val="365F91" w:themeColor="accent1" w:themeShade="BF"/>
      <w:kern w:val="2"/>
      <w:sz w:val="28"/>
      <w:szCs w:val="28"/>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eastAsiaTheme="majorEastAsia" w:hAnsiTheme="minorHAnsi" w:cstheme="majorBidi"/>
      <w:i/>
      <w:iCs/>
      <w:color w:val="365F91" w:themeColor="accent1" w:themeShade="BF"/>
      <w:kern w:val="2"/>
      <w:sz w:val="22"/>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eastAsiaTheme="majorEastAsia" w:hAnsiTheme="minorHAnsi" w:cstheme="majorBidi"/>
      <w:color w:val="365F91" w:themeColor="accent1" w:themeShade="BF"/>
      <w:kern w:val="2"/>
      <w:sz w:val="22"/>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eastAsiaTheme="majorEastAsia" w:hAnsiTheme="minorHAnsi" w:cstheme="majorBidi"/>
      <w:i/>
      <w:iCs/>
      <w:color w:val="595959" w:themeColor="text1" w:themeTint="A6"/>
      <w:kern w:val="2"/>
      <w:sz w:val="22"/>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eastAsiaTheme="majorEastAsia" w:hAnsiTheme="minorHAnsi" w:cstheme="majorBidi"/>
      <w:color w:val="595959" w:themeColor="text1" w:themeTint="A6"/>
      <w:kern w:val="2"/>
      <w:sz w:val="22"/>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eastAsiaTheme="majorEastAsia" w:hAnsiTheme="minorHAnsi" w:cstheme="majorBidi"/>
      <w:i/>
      <w:iCs/>
      <w:color w:val="272727" w:themeColor="text1" w:themeTint="D8"/>
      <w:kern w:val="2"/>
      <w:sz w:val="22"/>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eastAsiaTheme="majorEastAsia" w:hAnsiTheme="minorHAnsi" w:cstheme="majorBidi"/>
      <w:color w:val="272727" w:themeColor="text1" w:themeTint="D8"/>
      <w:kern w:val="2"/>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6151"/>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sid w:val="00A86151"/>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sid w:val="00A86151"/>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sid w:val="00A861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61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61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61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rPr>
  </w:style>
  <w:style w:type="character" w:customStyle="1" w:styleId="QuoteChar">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hAnsiTheme="minorHAnsi" w:cstheme="minorBidi"/>
      <w:i/>
      <w:iCs/>
      <w:color w:val="365F91" w:themeColor="accent1" w:themeShade="BF"/>
      <w:kern w:val="2"/>
      <w:sz w:val="22"/>
    </w:rPr>
  </w:style>
  <w:style w:type="character" w:customStyle="1" w:styleId="IntenseQuoteChar">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customStyle="1" w:styleId="TechnicalBlockBase">
    <w:name w:val="TechnicalBlockBase"/>
    <w:link w:val="TechnicalBlockBaseChar"/>
    <w:rsid w:val="002669D7"/>
    <w:pPr>
      <w:widowControl w:val="0"/>
      <w:spacing w:before="140" w:after="140" w:line="185" w:lineRule="auto"/>
      <w:ind w:left="260" w:right="260"/>
    </w:pPr>
    <w:rPr>
      <w:rFonts w:ascii="Arial New Roman" w:eastAsia="Times New Roman" w:hAnsi="Arial New Roman" w:cs="Arial"/>
      <w:b/>
      <w:i/>
      <w:dstrike/>
      <w:color w:val="606060"/>
      <w:w w:val="98"/>
      <w:sz w:val="10"/>
      <w:szCs w:val="20"/>
      <w:u w:val="words" w:color="606060"/>
      <w:lang w:eastAsia="fr-BE" w:bidi="ar-SA"/>
    </w:rPr>
  </w:style>
  <w:style w:type="character" w:customStyle="1" w:styleId="TechnicalBlockBaseChar">
    <w:name w:val="TechnicalBlockBase Char"/>
    <w:basedOn w:val="EntInstitChar"/>
    <w:link w:val="TechnicalBlockBase"/>
    <w:rsid w:val="002669D7"/>
    <w:rPr>
      <w:rFonts w:ascii="Arial New Roman" w:eastAsia="Times New Roman" w:hAnsi="Arial New Roman" w:cs="Arial"/>
      <w:b/>
      <w:i/>
      <w:dstrike/>
      <w:color w:val="606060"/>
      <w:w w:val="98"/>
      <w:sz w:val="10"/>
      <w:szCs w:val="20"/>
      <w:u w:val="words" w:color="606060"/>
      <w:lang w:eastAsia="fr-BE" w:bidi="ar-SA"/>
    </w:rPr>
  </w:style>
  <w:style w:type="paragraph" w:customStyle="1" w:styleId="TBEntRefer">
    <w:name w:val="TBEntRefer"/>
    <w:basedOn w:val="TechnicalBlockBase"/>
    <w:link w:val="EntReferChar"/>
    <w:rsid w:val="002669D7"/>
    <w:pPr>
      <w:spacing w:before="0" w:after="0" w:line="240" w:lineRule="auto"/>
      <w:ind w:left="0" w:right="0"/>
    </w:pPr>
    <w:rPr>
      <w:rFonts w:ascii="Arial" w:hAnsi="Arial"/>
      <w:i w:val="0"/>
      <w:dstrike w:val="0"/>
      <w:color w:val="auto"/>
      <w:w w:val="100"/>
      <w:sz w:val="23"/>
      <w:u w:val="none"/>
    </w:rPr>
  </w:style>
  <w:style w:type="character" w:customStyle="1" w:styleId="EntReferChar">
    <w:name w:val="EntRefer Char"/>
    <w:basedOn w:val="DefaultParagraphFont"/>
    <w:link w:val="TBEntRefer"/>
    <w:rsid w:val="00A43C50"/>
    <w:rPr>
      <w:rFonts w:ascii="Arial" w:eastAsia="Times New Roman" w:hAnsi="Arial" w:cs="Arial"/>
      <w:b/>
      <w:sz w:val="23"/>
      <w:szCs w:val="20"/>
      <w:u w:color="606060"/>
      <w:lang w:eastAsia="fr-BE" w:bidi="ar-SA"/>
    </w:rPr>
  </w:style>
  <w:style w:type="paragraph" w:customStyle="1" w:styleId="TBDistrbMarkers">
    <w:name w:val="TBDistrbMarkers"/>
    <w:basedOn w:val="TBEntRefer"/>
    <w:qFormat/>
    <w:rsid w:val="002669D7"/>
    <w:pPr>
      <w:tabs>
        <w:tab w:val="left" w:pos="2262"/>
      </w:tabs>
    </w:pPr>
    <w:rPr>
      <w:i/>
      <w:iCs/>
      <w:szCs w:val="23"/>
    </w:rPr>
  </w:style>
  <w:style w:type="paragraph" w:customStyle="1" w:styleId="TBEntACP">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customStyle="1" w:styleId="TBEntInstitACP">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customStyle="1" w:styleId="TBSousEmbargo">
    <w:name w:val="TBSousEmbargo"/>
    <w:basedOn w:val="TechnicalBlockBase"/>
    <w:qFormat/>
    <w:rsid w:val="002669D7"/>
    <w:pPr>
      <w:spacing w:before="360" w:after="360" w:line="240" w:lineRule="auto"/>
      <w:ind w:left="0" w:right="0"/>
      <w:jc w:val="center"/>
    </w:pPr>
    <w:rPr>
      <w:rFonts w:ascii="Arial" w:hAnsi="Arial"/>
      <w:i w:val="0"/>
      <w:dstrike w:val="0"/>
      <w:color w:val="auto"/>
      <w:w w:val="100"/>
      <w:sz w:val="23"/>
      <w:szCs w:val="23"/>
      <w:u w:val="double"/>
    </w:rPr>
  </w:style>
  <w:style w:type="paragraph" w:customStyle="1" w:styleId="TBEntInstit">
    <w:name w:val="TBEntInstit"/>
    <w:basedOn w:val="TechnicalBlockBase"/>
    <w:link w:val="EntInstitChar"/>
    <w:rsid w:val="002669D7"/>
    <w:pPr>
      <w:spacing w:before="0" w:after="60" w:line="240" w:lineRule="auto"/>
      <w:ind w:left="0" w:right="0"/>
      <w:jc w:val="right"/>
    </w:pPr>
    <w:rPr>
      <w:rFonts w:ascii="Arial" w:hAnsi="Arial"/>
      <w:i w:val="0"/>
      <w:dstrike w:val="0"/>
      <w:color w:val="auto"/>
      <w:w w:val="100"/>
      <w:sz w:val="23"/>
      <w:u w:val="none"/>
    </w:rPr>
  </w:style>
  <w:style w:type="paragraph" w:customStyle="1" w:styleId="TBEntReferNew">
    <w:name w:val="TBEntReferNew"/>
    <w:basedOn w:val="TechnicalBlockBase"/>
    <w:rsid w:val="002669D7"/>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customStyle="1" w:styleId="TBInstitution">
    <w:name w:val="TBInstitution"/>
    <w:basedOn w:val="TechnicalBlockBase"/>
    <w:rsid w:val="002669D7"/>
    <w:pPr>
      <w:spacing w:before="0" w:after="28" w:line="204" w:lineRule="auto"/>
      <w:ind w:left="0" w:right="0"/>
    </w:pPr>
    <w:rPr>
      <w:rFonts w:ascii="Arial" w:hAnsi="Arial"/>
      <w:i w:val="0"/>
      <w:dstrike w:val="0"/>
      <w:color w:val="626262"/>
      <w:spacing w:val="4"/>
      <w:w w:val="100"/>
      <w:sz w:val="24"/>
      <w:szCs w:val="23"/>
      <w:u w:val="none"/>
    </w:rPr>
  </w:style>
  <w:style w:type="paragraph" w:customStyle="1" w:styleId="TBNormalTechnicalBlock">
    <w:name w:val="TBNormalTechnicalBlock"/>
    <w:basedOn w:val="TechnicalBlockBase"/>
    <w:rsid w:val="002669D7"/>
    <w:pPr>
      <w:spacing w:before="0" w:after="0" w:line="216" w:lineRule="auto"/>
      <w:ind w:left="0" w:right="0"/>
      <w:contextualSpacing/>
    </w:pPr>
    <w:rPr>
      <w:rFonts w:ascii="Arial" w:hAnsi="Arial"/>
      <w:i w:val="0"/>
      <w:dstrike w:val="0"/>
      <w:color w:val="auto"/>
      <w:w w:val="100"/>
      <w:sz w:val="23"/>
      <w:szCs w:val="23"/>
      <w:u w:val="none"/>
    </w:rPr>
  </w:style>
  <w:style w:type="paragraph" w:customStyle="1" w:styleId="TBInstitutionSubwordmark">
    <w:name w:val="TBInstitutionSubwordmark"/>
    <w:basedOn w:val="TechnicalBlockBase"/>
    <w:rsid w:val="002669D7"/>
    <w:pPr>
      <w:spacing w:before="0" w:after="0" w:line="204" w:lineRule="auto"/>
      <w:ind w:left="0" w:right="0"/>
    </w:pPr>
    <w:rPr>
      <w:rFonts w:ascii="Arial" w:hAnsi="Arial"/>
      <w:b w:val="0"/>
      <w:i w:val="0"/>
      <w:dstrike w:val="0"/>
      <w:color w:val="626262"/>
      <w:spacing w:val="4"/>
      <w:w w:val="100"/>
      <w:sz w:val="24"/>
      <w:u w:val="none"/>
    </w:rPr>
  </w:style>
  <w:style w:type="character" w:customStyle="1" w:styleId="EntInstitChar">
    <w:name w:val="EntInstit Char"/>
    <w:basedOn w:val="DefaultParagraphFont"/>
    <w:link w:val="TBEntInstit"/>
    <w:rsid w:val="002669D7"/>
    <w:rPr>
      <w:rFonts w:ascii="Arial" w:eastAsia="Times New Roman" w:hAnsi="Arial" w:cs="Arial"/>
      <w:b/>
      <w:sz w:val="23"/>
      <w:szCs w:val="20"/>
      <w:u w:color="606060"/>
      <w:lang w:eastAsia="fr-BE" w:bidi="ar-SA"/>
    </w:rPr>
  </w:style>
  <w:style w:type="paragraph" w:customStyle="1" w:styleId="TBSubjectTable">
    <w:name w:val="TBSubjectTable"/>
    <w:basedOn w:val="TechnicalBlockBase"/>
    <w:rsid w:val="002669D7"/>
    <w:pPr>
      <w:widowControl/>
      <w:spacing w:before="40" w:after="40" w:line="240" w:lineRule="auto"/>
      <w:ind w:left="0" w:right="0"/>
    </w:pPr>
    <w:rPr>
      <w:rFonts w:ascii="Arial" w:hAnsi="Arial"/>
      <w:b w:val="0"/>
      <w:i w:val="0"/>
      <w:dstrike w:val="0"/>
      <w:color w:val="auto"/>
      <w:w w:val="100"/>
      <w:sz w:val="23"/>
      <w:u w:val="none"/>
    </w:rPr>
  </w:style>
  <w:style w:type="paragraph" w:customStyle="1" w:styleId="TBDocumentGroup">
    <w:name w:val="TBDocumentGroup"/>
    <w:basedOn w:val="TechnicalBlockBase"/>
    <w:rsid w:val="002669D7"/>
    <w:pPr>
      <w:widowControl/>
      <w:spacing w:before="560" w:after="480" w:line="240" w:lineRule="auto"/>
      <w:ind w:left="0" w:right="0"/>
      <w:jc w:val="center"/>
    </w:pPr>
    <w:rPr>
      <w:rFonts w:ascii="Arial" w:hAnsi="Arial"/>
      <w:i w:val="0"/>
      <w:caps/>
      <w:dstrike w:val="0"/>
      <w:color w:val="auto"/>
      <w:w w:val="100"/>
      <w:sz w:val="23"/>
      <w:u w:val="single"/>
    </w:rPr>
  </w:style>
  <w:style w:type="paragraph" w:customStyle="1" w:styleId="TBHeadingTable">
    <w:name w:val="TBHeadingTable"/>
    <w:basedOn w:val="TechnicalBlockBase"/>
    <w:rsid w:val="002669D7"/>
    <w:pPr>
      <w:widowControl/>
      <w:spacing w:before="240" w:after="40" w:line="240" w:lineRule="auto"/>
      <w:ind w:left="0" w:right="0"/>
    </w:pPr>
    <w:rPr>
      <w:rFonts w:ascii="Arial" w:hAnsi="Arial"/>
      <w:i w:val="0"/>
      <w:dstrike w:val="0"/>
      <w:color w:val="auto"/>
      <w:w w:val="100"/>
      <w:sz w:val="23"/>
      <w:u w:val="none"/>
    </w:rPr>
  </w:style>
  <w:style w:type="paragraph" w:customStyle="1" w:styleId="TBSubjectBold">
    <w:name w:val="TBSubjectBold"/>
    <w:basedOn w:val="TechnicalBlockBase"/>
    <w:rsid w:val="002669D7"/>
    <w:pPr>
      <w:widowControl/>
      <w:spacing w:before="160" w:after="0" w:line="360" w:lineRule="auto"/>
      <w:ind w:left="0" w:right="0"/>
      <w:jc w:val="center"/>
    </w:pPr>
    <w:rPr>
      <w:rFonts w:ascii="Arial" w:hAnsi="Arial"/>
      <w:i w:val="0"/>
      <w:dstrike w:val="0"/>
      <w:color w:val="auto"/>
      <w:w w:val="100"/>
      <w:sz w:val="23"/>
      <w:u w:val="none"/>
    </w:rPr>
  </w:style>
  <w:style w:type="paragraph" w:customStyle="1" w:styleId="TBSubjectText">
    <w:name w:val="TBSubjectText"/>
    <w:basedOn w:val="TechnicalBlockBase"/>
    <w:qFormat/>
    <w:rsid w:val="002669D7"/>
    <w:pPr>
      <w:widowControl/>
      <w:spacing w:before="40" w:after="40" w:line="240" w:lineRule="auto"/>
      <w:ind w:left="0" w:right="0"/>
    </w:pPr>
    <w:rPr>
      <w:rFonts w:ascii="Arial" w:hAnsi="Arial"/>
      <w:b w:val="0"/>
      <w:i w:val="0"/>
      <w:dstrike w:val="0"/>
      <w:color w:val="auto"/>
      <w:w w:val="100"/>
      <w:sz w:val="23"/>
      <w:u w:val="none"/>
    </w:rPr>
  </w:style>
  <w:style w:type="paragraph" w:customStyle="1" w:styleId="HeaderCouncilLarge">
    <w:name w:val="Header Council Large"/>
    <w:basedOn w:val="Normal"/>
    <w:uiPriority w:val="99"/>
    <w:unhideWhenUsed/>
    <w:pPr>
      <w:spacing w:before="0" w:after="440"/>
    </w:pPr>
    <w:rPr>
      <w:sz w:val="2"/>
    </w:rPr>
  </w:style>
  <w:style w:type="paragraph" w:customStyle="1" w:styleId="FooterText">
    <w:name w:val="Footer Text"/>
    <w:basedOn w:val="Normal"/>
    <w:unhideWhenUsed/>
    <w:pPr>
      <w:spacing w:before="0" w:after="0" w:line="240" w:lineRule="auto"/>
    </w:pPr>
  </w:style>
  <w:style w:type="paragraph" w:styleId="Header">
    <w:name w:val="header"/>
    <w:basedOn w:val="Normal"/>
    <w:link w:val="HeaderChar"/>
    <w:uiPriority w:val="99"/>
    <w:unhideWhenUsed/>
    <w:rsid w:val="00B5488B"/>
    <w:pPr>
      <w:tabs>
        <w:tab w:val="right" w:pos="9638"/>
      </w:tabs>
    </w:pPr>
  </w:style>
  <w:style w:type="character" w:customStyle="1" w:styleId="HeaderChar">
    <w:name w:val="Header Char"/>
    <w:basedOn w:val="DefaultParagraphFont"/>
    <w:link w:val="Header"/>
    <w:uiPriority w:val="99"/>
    <w:rsid w:val="00B5488B"/>
    <w:rPr>
      <w:rFonts w:ascii="Times New Roman" w:hAnsi="Times New Roman" w:cs="Times New Roman"/>
      <w:sz w:val="24"/>
      <w:shd w:val="clear" w:color="auto" w:fill="auto"/>
      <w:lang w:val="ro-RO" w:eastAsia="ro-RO" w:bidi="ro-RO"/>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customStyle="1" w:styleId="FooterChar">
    <w:name w:val="Footer Char"/>
    <w:basedOn w:val="DefaultParagraphFont"/>
    <w:link w:val="Footer"/>
    <w:uiPriority w:val="99"/>
    <w:rsid w:val="00B5488B"/>
    <w:rPr>
      <w:rFonts w:ascii="Times New Roman" w:hAnsi="Times New Roman" w:cs="Times New Roman"/>
      <w:sz w:val="24"/>
      <w:shd w:val="clear" w:color="auto" w:fill="auto"/>
      <w:lang w:val="ro-RO" w:eastAsia="ro-RO" w:bidi="ro-RO"/>
    </w:rPr>
  </w:style>
  <w:style w:type="paragraph" w:styleId="FootnoteText">
    <w:name w:val="footnote text"/>
    <w:basedOn w:val="Normal"/>
    <w:link w:val="FootnoteTextChar"/>
    <w:uiPriority w:val="99"/>
    <w:unhideWhenUsed/>
    <w:rsid w:val="009C6417"/>
    <w:pPr>
      <w:spacing w:before="0" w:after="0" w:line="240" w:lineRule="auto"/>
      <w:ind w:left="720" w:hanging="720"/>
    </w:pPr>
    <w:rPr>
      <w:szCs w:val="20"/>
    </w:rPr>
  </w:style>
  <w:style w:type="character" w:customStyle="1" w:styleId="FootnoteTextChar">
    <w:name w:val="Footnote Text Char"/>
    <w:basedOn w:val="DefaultParagraphFont"/>
    <w:link w:val="FootnoteText"/>
    <w:uiPriority w:val="99"/>
    <w:semiHidden/>
    <w:rsid w:val="009C6417"/>
    <w:rPr>
      <w:rFonts w:ascii="Times New Roman" w:hAnsi="Times New Roman" w:cs="Times New Roman"/>
      <w:sz w:val="24"/>
      <w:szCs w:val="20"/>
      <w:shd w:val="clear" w:color="auto" w:fill="auto"/>
      <w:lang w:val="ro-RO" w:eastAsia="ro-RO" w:bidi="ro-RO"/>
    </w:rPr>
  </w:style>
  <w:style w:type="paragraph" w:customStyle="1" w:styleId="NormalCentered">
    <w:name w:val="Normal Centered"/>
    <w:basedOn w:val="Normal"/>
    <w:rsid w:val="009C6417"/>
    <w:pPr>
      <w:spacing w:before="200"/>
      <w:jc w:val="center"/>
    </w:pPr>
  </w:style>
  <w:style w:type="paragraph" w:customStyle="1" w:styleId="NormalRight">
    <w:name w:val="Normal Right"/>
    <w:basedOn w:val="Normal"/>
    <w:rsid w:val="009C6417"/>
    <w:pPr>
      <w:spacing w:before="200"/>
      <w:jc w:val="right"/>
    </w:pPr>
  </w:style>
  <w:style w:type="paragraph" w:customStyle="1" w:styleId="NormalJustified">
    <w:name w:val="Normal Justified"/>
    <w:basedOn w:val="Normal"/>
    <w:rsid w:val="009C6417"/>
    <w:pPr>
      <w:spacing w:before="200"/>
      <w:jc w:val="both"/>
    </w:pPr>
  </w:style>
  <w:style w:type="paragraph" w:customStyle="1" w:styleId="HeaderLandscape">
    <w:name w:val="HeaderLandscape"/>
    <w:basedOn w:val="Normal"/>
    <w:rsid w:val="009C6417"/>
    <w:pPr>
      <w:tabs>
        <w:tab w:val="right" w:pos="14570"/>
      </w:tabs>
    </w:pPr>
  </w:style>
  <w:style w:type="paragraph" w:customStyle="1" w:styleId="FooterLandscape">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aliases w:val="Footnote Reference Superscript,BVI fnr,Footnote symbol,Footnote call,SUPERS,(Footnote Reference),Voetnootverwijzing,Times 10 Point,Exposant 3 Point,Footnote reference number,note TESI, BVI fnr,Footnotes refss,number,Ref,no..."/>
    <w:basedOn w:val="DefaultParagraphFont"/>
    <w:uiPriority w:val="99"/>
    <w:unhideWhenUsed/>
    <w:rsid w:val="009C6417"/>
    <w:rPr>
      <w:b/>
      <w:shd w:val="clear" w:color="auto" w:fill="auto"/>
      <w:vertAlign w:val="superscript"/>
    </w:rPr>
  </w:style>
  <w:style w:type="paragraph" w:customStyle="1" w:styleId="HeaderCouncil">
    <w:name w:val="Header Council"/>
    <w:basedOn w:val="Normal"/>
    <w:rsid w:val="009C6417"/>
    <w:pPr>
      <w:spacing w:before="0" w:after="0" w:line="240" w:lineRule="auto"/>
    </w:pPr>
    <w:rPr>
      <w:sz w:val="2"/>
    </w:rPr>
  </w:style>
  <w:style w:type="paragraph" w:customStyle="1" w:styleId="FooterCouncil">
    <w:name w:val="Footer Council"/>
    <w:basedOn w:val="Normal"/>
    <w:rsid w:val="009C6417"/>
    <w:pPr>
      <w:spacing w:before="0" w:after="0" w:line="240" w:lineRule="auto"/>
    </w:pPr>
    <w:rPr>
      <w:sz w:val="2"/>
    </w:rPr>
  </w:style>
  <w:style w:type="paragraph" w:customStyle="1" w:styleId="TechnicalBlock">
    <w:name w:val="Technical Block"/>
    <w:basedOn w:val="Normal"/>
    <w:next w:val="Normal"/>
    <w:rsid w:val="009C6417"/>
    <w:pPr>
      <w:spacing w:before="0" w:after="240" w:line="240" w:lineRule="auto"/>
      <w:jc w:val="center"/>
    </w:pPr>
  </w:style>
  <w:style w:type="paragraph" w:customStyle="1" w:styleId="FinalLine">
    <w:name w:val="Final Line"/>
    <w:basedOn w:val="Normal"/>
    <w:next w:val="Normal"/>
    <w:rsid w:val="009C6417"/>
    <w:pPr>
      <w:pBdr>
        <w:bottom w:val="single" w:sz="4" w:space="0" w:color="000000"/>
      </w:pBdr>
      <w:spacing w:before="360"/>
      <w:ind w:left="3400" w:right="3400"/>
      <w:jc w:val="center"/>
    </w:pPr>
    <w:rPr>
      <w:b/>
    </w:rPr>
  </w:style>
  <w:style w:type="paragraph" w:customStyle="1" w:styleId="FinalLineLandscape">
    <w:name w:val="Final Line (Landscape)"/>
    <w:basedOn w:val="Normal"/>
    <w:next w:val="Normal"/>
    <w:rsid w:val="009C6417"/>
    <w:pPr>
      <w:pBdr>
        <w:bottom w:val="single" w:sz="4" w:space="0" w:color="000000"/>
      </w:pBdr>
      <w:spacing w:before="360"/>
      <w:ind w:left="5868" w:right="5868"/>
      <w:jc w:val="center"/>
    </w:pPr>
    <w:rPr>
      <w:b/>
    </w:rPr>
  </w:style>
  <w:style w:type="paragraph" w:customStyle="1" w:styleId="Text1">
    <w:name w:val="Text 1"/>
    <w:basedOn w:val="Normal"/>
    <w:rsid w:val="009C6417"/>
    <w:pPr>
      <w:ind w:left="567"/>
    </w:pPr>
  </w:style>
  <w:style w:type="paragraph" w:customStyle="1" w:styleId="Text2">
    <w:name w:val="Text 2"/>
    <w:basedOn w:val="Normal"/>
    <w:rsid w:val="009C6417"/>
    <w:pPr>
      <w:ind w:left="1134"/>
    </w:pPr>
  </w:style>
  <w:style w:type="paragraph" w:customStyle="1" w:styleId="Text3">
    <w:name w:val="Text 3"/>
    <w:basedOn w:val="Normal"/>
    <w:rsid w:val="009C6417"/>
    <w:pPr>
      <w:ind w:left="1701"/>
    </w:pPr>
  </w:style>
  <w:style w:type="paragraph" w:customStyle="1" w:styleId="Text4">
    <w:name w:val="Text 4"/>
    <w:basedOn w:val="Normal"/>
    <w:rsid w:val="009C6417"/>
    <w:pPr>
      <w:ind w:left="2268"/>
    </w:pPr>
  </w:style>
  <w:style w:type="paragraph" w:customStyle="1" w:styleId="Text5">
    <w:name w:val="Text 5"/>
    <w:basedOn w:val="Normal"/>
    <w:rsid w:val="009C6417"/>
    <w:pPr>
      <w:ind w:left="2835"/>
    </w:pPr>
  </w:style>
  <w:style w:type="paragraph" w:customStyle="1" w:styleId="Text6">
    <w:name w:val="Text 6"/>
    <w:basedOn w:val="Normal"/>
    <w:rsid w:val="009C6417"/>
    <w:pPr>
      <w:ind w:left="3402"/>
    </w:pPr>
  </w:style>
  <w:style w:type="paragraph" w:customStyle="1" w:styleId="PointManual">
    <w:name w:val="Point Manual"/>
    <w:basedOn w:val="Normal"/>
    <w:rsid w:val="009C6417"/>
    <w:pPr>
      <w:ind w:left="567" w:hanging="567"/>
    </w:pPr>
  </w:style>
  <w:style w:type="paragraph" w:customStyle="1" w:styleId="PointManual1">
    <w:name w:val="Point Manual (1)"/>
    <w:basedOn w:val="Normal"/>
    <w:rsid w:val="009C6417"/>
    <w:pPr>
      <w:ind w:left="1134" w:hanging="567"/>
    </w:pPr>
  </w:style>
  <w:style w:type="paragraph" w:customStyle="1" w:styleId="PointManual2">
    <w:name w:val="Point Manual (2)"/>
    <w:basedOn w:val="Normal"/>
    <w:rsid w:val="009C6417"/>
    <w:pPr>
      <w:ind w:left="1701" w:hanging="567"/>
    </w:pPr>
  </w:style>
  <w:style w:type="paragraph" w:customStyle="1" w:styleId="PointManual3">
    <w:name w:val="Point Manual (3)"/>
    <w:basedOn w:val="Normal"/>
    <w:rsid w:val="009C6417"/>
    <w:pPr>
      <w:ind w:left="2268" w:hanging="567"/>
    </w:pPr>
  </w:style>
  <w:style w:type="paragraph" w:customStyle="1" w:styleId="PointManual4">
    <w:name w:val="Point Manual (4)"/>
    <w:basedOn w:val="Normal"/>
    <w:rsid w:val="009C6417"/>
    <w:pPr>
      <w:ind w:left="2835" w:hanging="567"/>
    </w:pPr>
  </w:style>
  <w:style w:type="paragraph" w:customStyle="1" w:styleId="PointDoubleManual">
    <w:name w:val="Point Double Manual"/>
    <w:basedOn w:val="Normal"/>
    <w:rsid w:val="009C6417"/>
    <w:pPr>
      <w:tabs>
        <w:tab w:val="left" w:pos="567"/>
      </w:tabs>
      <w:ind w:left="1134" w:hanging="1134"/>
    </w:pPr>
  </w:style>
  <w:style w:type="paragraph" w:customStyle="1" w:styleId="PointDoubleManual1">
    <w:name w:val="Point Double Manual (1)"/>
    <w:basedOn w:val="Normal"/>
    <w:rsid w:val="009C6417"/>
    <w:pPr>
      <w:tabs>
        <w:tab w:val="left" w:pos="1134"/>
      </w:tabs>
      <w:ind w:left="1701" w:hanging="1134"/>
    </w:pPr>
  </w:style>
  <w:style w:type="paragraph" w:customStyle="1" w:styleId="PointDoubleManual2">
    <w:name w:val="Point Double Manual (2)"/>
    <w:basedOn w:val="Normal"/>
    <w:rsid w:val="009C6417"/>
    <w:pPr>
      <w:tabs>
        <w:tab w:val="left" w:pos="1701"/>
      </w:tabs>
      <w:ind w:left="2268" w:hanging="1134"/>
    </w:pPr>
  </w:style>
  <w:style w:type="paragraph" w:customStyle="1" w:styleId="PointDoubleManual3">
    <w:name w:val="Point Double Manual (3)"/>
    <w:basedOn w:val="Normal"/>
    <w:rsid w:val="009C6417"/>
    <w:pPr>
      <w:tabs>
        <w:tab w:val="left" w:pos="2268"/>
      </w:tabs>
      <w:ind w:left="2835" w:hanging="1134"/>
    </w:pPr>
  </w:style>
  <w:style w:type="paragraph" w:customStyle="1" w:styleId="PointDoubleManual4">
    <w:name w:val="Point Double Manual (4)"/>
    <w:basedOn w:val="Normal"/>
    <w:rsid w:val="009C6417"/>
    <w:pPr>
      <w:tabs>
        <w:tab w:val="left" w:pos="2835"/>
      </w:tabs>
      <w:ind w:left="3402" w:hanging="1134"/>
    </w:pPr>
  </w:style>
  <w:style w:type="paragraph" w:customStyle="1" w:styleId="Pointabc">
    <w:name w:val="Point abc"/>
    <w:basedOn w:val="Normal"/>
    <w:rsid w:val="009C6417"/>
    <w:pPr>
      <w:numPr>
        <w:ilvl w:val="1"/>
        <w:numId w:val="1"/>
      </w:numPr>
    </w:pPr>
  </w:style>
  <w:style w:type="paragraph" w:customStyle="1" w:styleId="Pointabc1">
    <w:name w:val="Point abc (1)"/>
    <w:basedOn w:val="Normal"/>
    <w:rsid w:val="009C6417"/>
    <w:pPr>
      <w:numPr>
        <w:ilvl w:val="3"/>
        <w:numId w:val="1"/>
      </w:numPr>
    </w:pPr>
  </w:style>
  <w:style w:type="paragraph" w:customStyle="1" w:styleId="Pointabc2">
    <w:name w:val="Point abc (2)"/>
    <w:basedOn w:val="Normal"/>
    <w:rsid w:val="009C6417"/>
    <w:pPr>
      <w:numPr>
        <w:ilvl w:val="5"/>
        <w:numId w:val="1"/>
      </w:numPr>
    </w:pPr>
  </w:style>
  <w:style w:type="paragraph" w:customStyle="1" w:styleId="Pointabc3">
    <w:name w:val="Point abc (3)"/>
    <w:basedOn w:val="Normal"/>
    <w:rsid w:val="009C6417"/>
    <w:pPr>
      <w:numPr>
        <w:ilvl w:val="7"/>
        <w:numId w:val="1"/>
      </w:numPr>
    </w:pPr>
  </w:style>
  <w:style w:type="paragraph" w:customStyle="1" w:styleId="Pointabc4">
    <w:name w:val="Point abc (4)"/>
    <w:basedOn w:val="Normal"/>
    <w:rsid w:val="009C6417"/>
    <w:pPr>
      <w:numPr>
        <w:ilvl w:val="8"/>
        <w:numId w:val="1"/>
      </w:numPr>
    </w:pPr>
  </w:style>
  <w:style w:type="paragraph" w:customStyle="1" w:styleId="Point123">
    <w:name w:val="Point 123"/>
    <w:basedOn w:val="Normal"/>
    <w:rsid w:val="009C6417"/>
    <w:pPr>
      <w:numPr>
        <w:numId w:val="1"/>
      </w:numPr>
    </w:pPr>
  </w:style>
  <w:style w:type="paragraph" w:customStyle="1" w:styleId="Point1231">
    <w:name w:val="Point 123 (1)"/>
    <w:basedOn w:val="Normal"/>
    <w:rsid w:val="009C6417"/>
    <w:pPr>
      <w:numPr>
        <w:ilvl w:val="2"/>
        <w:numId w:val="1"/>
      </w:numPr>
    </w:pPr>
  </w:style>
  <w:style w:type="paragraph" w:customStyle="1" w:styleId="Point1232">
    <w:name w:val="Point 123 (2)"/>
    <w:basedOn w:val="Normal"/>
    <w:rsid w:val="009C6417"/>
    <w:pPr>
      <w:numPr>
        <w:ilvl w:val="4"/>
        <w:numId w:val="1"/>
      </w:numPr>
    </w:pPr>
  </w:style>
  <w:style w:type="paragraph" w:customStyle="1" w:styleId="Point1233">
    <w:name w:val="Point 123 (3)"/>
    <w:basedOn w:val="Normal"/>
    <w:rsid w:val="009C6417"/>
    <w:pPr>
      <w:numPr>
        <w:ilvl w:val="6"/>
        <w:numId w:val="1"/>
      </w:numPr>
    </w:pPr>
  </w:style>
  <w:style w:type="paragraph" w:customStyle="1" w:styleId="Pointivx">
    <w:name w:val="Point ivx"/>
    <w:basedOn w:val="Normal"/>
    <w:rsid w:val="009C6417"/>
    <w:pPr>
      <w:numPr>
        <w:numId w:val="2"/>
      </w:numPr>
    </w:pPr>
  </w:style>
  <w:style w:type="paragraph" w:customStyle="1" w:styleId="Pointivx1">
    <w:name w:val="Point ivx (1)"/>
    <w:basedOn w:val="Normal"/>
    <w:rsid w:val="009C6417"/>
    <w:pPr>
      <w:numPr>
        <w:ilvl w:val="1"/>
        <w:numId w:val="2"/>
      </w:numPr>
    </w:pPr>
  </w:style>
  <w:style w:type="paragraph" w:customStyle="1" w:styleId="Pointivx2">
    <w:name w:val="Point ivx (2)"/>
    <w:basedOn w:val="Normal"/>
    <w:rsid w:val="009C6417"/>
    <w:pPr>
      <w:numPr>
        <w:ilvl w:val="2"/>
        <w:numId w:val="2"/>
      </w:numPr>
    </w:pPr>
  </w:style>
  <w:style w:type="paragraph" w:customStyle="1" w:styleId="Pointivx3">
    <w:name w:val="Point ivx (3)"/>
    <w:basedOn w:val="Normal"/>
    <w:rsid w:val="009C6417"/>
    <w:pPr>
      <w:numPr>
        <w:ilvl w:val="3"/>
        <w:numId w:val="2"/>
      </w:numPr>
    </w:pPr>
  </w:style>
  <w:style w:type="paragraph" w:customStyle="1" w:styleId="Pointivx4">
    <w:name w:val="Point ivx (4)"/>
    <w:basedOn w:val="Normal"/>
    <w:rsid w:val="009C6417"/>
    <w:pPr>
      <w:numPr>
        <w:ilvl w:val="4"/>
        <w:numId w:val="2"/>
      </w:numPr>
    </w:pPr>
  </w:style>
  <w:style w:type="paragraph" w:customStyle="1" w:styleId="Bullet">
    <w:name w:val="Bullet"/>
    <w:basedOn w:val="Normal"/>
    <w:rsid w:val="009C6417"/>
    <w:pPr>
      <w:numPr>
        <w:numId w:val="3"/>
      </w:numPr>
    </w:pPr>
  </w:style>
  <w:style w:type="paragraph" w:customStyle="1" w:styleId="Bullet1">
    <w:name w:val="Bullet 1"/>
    <w:basedOn w:val="Normal"/>
    <w:rsid w:val="009C6417"/>
    <w:pPr>
      <w:numPr>
        <w:numId w:val="4"/>
      </w:numPr>
    </w:pPr>
  </w:style>
  <w:style w:type="paragraph" w:customStyle="1" w:styleId="Bullet2">
    <w:name w:val="Bullet 2"/>
    <w:basedOn w:val="Normal"/>
    <w:rsid w:val="009C6417"/>
    <w:pPr>
      <w:numPr>
        <w:numId w:val="5"/>
      </w:numPr>
    </w:pPr>
  </w:style>
  <w:style w:type="paragraph" w:customStyle="1" w:styleId="Bullet3">
    <w:name w:val="Bullet 3"/>
    <w:basedOn w:val="Normal"/>
    <w:rsid w:val="009C6417"/>
    <w:pPr>
      <w:numPr>
        <w:numId w:val="6"/>
      </w:numPr>
    </w:pPr>
  </w:style>
  <w:style w:type="paragraph" w:customStyle="1" w:styleId="Bullet4">
    <w:name w:val="Bullet 4"/>
    <w:basedOn w:val="Normal"/>
    <w:rsid w:val="009C6417"/>
    <w:pPr>
      <w:numPr>
        <w:numId w:val="7"/>
      </w:numPr>
    </w:pPr>
  </w:style>
  <w:style w:type="paragraph" w:customStyle="1" w:styleId="Dash">
    <w:name w:val="Dash"/>
    <w:basedOn w:val="Normal"/>
    <w:rsid w:val="009C6417"/>
    <w:pPr>
      <w:numPr>
        <w:numId w:val="8"/>
      </w:numPr>
    </w:pPr>
  </w:style>
  <w:style w:type="paragraph" w:customStyle="1" w:styleId="Dash1">
    <w:name w:val="Dash 1"/>
    <w:basedOn w:val="Normal"/>
    <w:rsid w:val="009C6417"/>
    <w:pPr>
      <w:numPr>
        <w:numId w:val="9"/>
      </w:numPr>
    </w:pPr>
  </w:style>
  <w:style w:type="paragraph" w:customStyle="1" w:styleId="Dash2">
    <w:name w:val="Dash 2"/>
    <w:basedOn w:val="Normal"/>
    <w:rsid w:val="009C6417"/>
    <w:pPr>
      <w:numPr>
        <w:numId w:val="10"/>
      </w:numPr>
    </w:pPr>
  </w:style>
  <w:style w:type="paragraph" w:customStyle="1" w:styleId="Dash3">
    <w:name w:val="Dash 3"/>
    <w:basedOn w:val="Normal"/>
    <w:rsid w:val="009C6417"/>
    <w:pPr>
      <w:numPr>
        <w:numId w:val="11"/>
      </w:numPr>
    </w:pPr>
  </w:style>
  <w:style w:type="paragraph" w:customStyle="1" w:styleId="Dash4">
    <w:name w:val="Dash 4"/>
    <w:basedOn w:val="Normal"/>
    <w:rsid w:val="009C6417"/>
    <w:pPr>
      <w:numPr>
        <w:numId w:val="12"/>
      </w:numPr>
    </w:pPr>
  </w:style>
  <w:style w:type="paragraph" w:customStyle="1" w:styleId="DashEqual">
    <w:name w:val="Dash Equal"/>
    <w:basedOn w:val="Dash"/>
    <w:rsid w:val="009C6417"/>
    <w:pPr>
      <w:numPr>
        <w:numId w:val="13"/>
      </w:numPr>
    </w:pPr>
  </w:style>
  <w:style w:type="paragraph" w:customStyle="1" w:styleId="DashEqual1">
    <w:name w:val="Dash Equal 1"/>
    <w:basedOn w:val="Dash1"/>
    <w:rsid w:val="009C6417"/>
    <w:pPr>
      <w:numPr>
        <w:numId w:val="14"/>
      </w:numPr>
    </w:pPr>
  </w:style>
  <w:style w:type="paragraph" w:customStyle="1" w:styleId="DashEqual2">
    <w:name w:val="Dash Equal 2"/>
    <w:basedOn w:val="Dash2"/>
    <w:rsid w:val="009C6417"/>
    <w:pPr>
      <w:numPr>
        <w:numId w:val="15"/>
      </w:numPr>
    </w:pPr>
  </w:style>
  <w:style w:type="paragraph" w:customStyle="1" w:styleId="DashEqual3">
    <w:name w:val="Dash Equal 3"/>
    <w:basedOn w:val="Dash3"/>
    <w:rsid w:val="009C6417"/>
    <w:pPr>
      <w:numPr>
        <w:numId w:val="16"/>
      </w:numPr>
    </w:pPr>
  </w:style>
  <w:style w:type="paragraph" w:customStyle="1" w:styleId="DashEqual4">
    <w:name w:val="Dash Equal 4"/>
    <w:basedOn w:val="Dash4"/>
    <w:rsid w:val="009C6417"/>
    <w:pPr>
      <w:numPr>
        <w:numId w:val="17"/>
      </w:numPr>
    </w:pPr>
  </w:style>
  <w:style w:type="character" w:customStyle="1" w:styleId="Marker">
    <w:name w:val="Marker"/>
    <w:basedOn w:val="DefaultParagraphFont"/>
    <w:rsid w:val="009C6417"/>
    <w:rPr>
      <w:color w:val="0000FF"/>
      <w:shd w:val="clear" w:color="auto" w:fill="auto"/>
    </w:rPr>
  </w:style>
  <w:style w:type="character" w:customStyle="1" w:styleId="Marker1">
    <w:name w:val="Marker1"/>
    <w:basedOn w:val="DefaultParagraphFont"/>
    <w:rsid w:val="009C6417"/>
    <w:rPr>
      <w:color w:val="008000"/>
      <w:shd w:val="clear" w:color="auto" w:fill="auto"/>
    </w:rPr>
  </w:style>
  <w:style w:type="paragraph" w:customStyle="1" w:styleId="HeadingLeft">
    <w:name w:val="Heading Left"/>
    <w:basedOn w:val="Normal"/>
    <w:next w:val="Normal"/>
    <w:rsid w:val="009C6417"/>
    <w:pPr>
      <w:spacing w:before="360"/>
      <w:outlineLvl w:val="0"/>
    </w:pPr>
    <w:rPr>
      <w:b/>
      <w:caps/>
      <w:u w:val="single"/>
    </w:rPr>
  </w:style>
  <w:style w:type="paragraph" w:customStyle="1" w:styleId="HeadingIVX">
    <w:name w:val="Heading IVX"/>
    <w:basedOn w:val="HeadingLeft"/>
    <w:next w:val="Normal"/>
    <w:rsid w:val="009C6417"/>
    <w:pPr>
      <w:numPr>
        <w:numId w:val="18"/>
      </w:numPr>
    </w:pPr>
  </w:style>
  <w:style w:type="paragraph" w:customStyle="1" w:styleId="Heading123">
    <w:name w:val="Heading 123"/>
    <w:basedOn w:val="HeadingLeft"/>
    <w:next w:val="Normal"/>
    <w:rsid w:val="009C6417"/>
    <w:pPr>
      <w:numPr>
        <w:numId w:val="19"/>
      </w:numPr>
    </w:pPr>
  </w:style>
  <w:style w:type="paragraph" w:customStyle="1" w:styleId="HeadingABC">
    <w:name w:val="Heading ABC"/>
    <w:basedOn w:val="HeadingLeft"/>
    <w:next w:val="Normal"/>
    <w:rsid w:val="009C6417"/>
    <w:pPr>
      <w:numPr>
        <w:numId w:val="20"/>
      </w:numPr>
    </w:pPr>
  </w:style>
  <w:style w:type="paragraph" w:customStyle="1" w:styleId="HeadingCentered">
    <w:name w:val="Heading Centered"/>
    <w:basedOn w:val="HeadingLeft"/>
    <w:next w:val="Normal"/>
    <w:rsid w:val="009C6417"/>
    <w:pPr>
      <w:jc w:val="center"/>
    </w:pPr>
  </w:style>
  <w:style w:type="paragraph" w:customStyle="1" w:styleId="Jardin">
    <w:name w:val="Jardin"/>
    <w:basedOn w:val="Normal"/>
    <w:rsid w:val="009C6417"/>
    <w:pPr>
      <w:spacing w:before="200" w:after="0" w:line="240" w:lineRule="auto"/>
      <w:jc w:val="center"/>
    </w:pPr>
  </w:style>
  <w:style w:type="paragraph" w:customStyle="1" w:styleId="Amendment">
    <w:name w:val="Amendment"/>
    <w:basedOn w:val="Normal"/>
    <w:next w:val="Normal"/>
    <w:rsid w:val="009C6417"/>
    <w:rPr>
      <w:i/>
      <w:u w:val="single"/>
    </w:rPr>
  </w:style>
  <w:style w:type="paragraph" w:customStyle="1" w:styleId="AmendmentList">
    <w:name w:val="Amendment List"/>
    <w:basedOn w:val="Normal"/>
    <w:rsid w:val="009C6417"/>
    <w:pPr>
      <w:ind w:left="2268" w:hanging="2268"/>
    </w:pPr>
  </w:style>
  <w:style w:type="paragraph" w:customStyle="1" w:styleId="ReplyRE">
    <w:name w:val="Reply RE"/>
    <w:basedOn w:val="Normal"/>
    <w:next w:val="Normal"/>
    <w:rsid w:val="009C6417"/>
    <w:pPr>
      <w:spacing w:after="480" w:line="240" w:lineRule="auto"/>
      <w:contextualSpacing/>
    </w:pPr>
  </w:style>
  <w:style w:type="paragraph" w:customStyle="1" w:styleId="ReplyBold">
    <w:name w:val="Reply Bold"/>
    <w:basedOn w:val="ReplyRE"/>
    <w:next w:val="Normal"/>
    <w:rsid w:val="009C6417"/>
    <w:rPr>
      <w:b/>
    </w:rPr>
  </w:style>
  <w:style w:type="paragraph" w:customStyle="1" w:styleId="Annex">
    <w:name w:val="Annex"/>
    <w:basedOn w:val="Normal"/>
    <w:next w:val="Normal"/>
    <w:rsid w:val="009C6417"/>
    <w:pPr>
      <w:jc w:val="right"/>
    </w:pPr>
    <w:rPr>
      <w:b/>
      <w:u w:val="single"/>
    </w:rPr>
  </w:style>
  <w:style w:type="paragraph" w:customStyle="1" w:styleId="Sign">
    <w:name w:val="Sign"/>
    <w:basedOn w:val="Normal"/>
    <w:rsid w:val="009C6417"/>
    <w:pPr>
      <w:tabs>
        <w:tab w:val="center" w:pos="7087"/>
      </w:tabs>
      <w:contextualSpacing/>
    </w:pPr>
  </w:style>
  <w:style w:type="paragraph" w:customStyle="1" w:styleId="NotDeclassified">
    <w:name w:val="Not Declassified"/>
    <w:basedOn w:val="Normal"/>
    <w:next w:val="Normal"/>
    <w:rsid w:val="009C6417"/>
    <w:rPr>
      <w:b/>
      <w:shd w:val="clear" w:color="auto" w:fill="CCCCCC"/>
    </w:rPr>
  </w:style>
  <w:style w:type="character" w:customStyle="1" w:styleId="NotDeclassifiedCharacter">
    <w:name w:val="Not Declassified Character"/>
    <w:basedOn w:val="DefaultParagraphFont"/>
    <w:rsid w:val="009C6417"/>
    <w:rPr>
      <w:rFonts w:ascii="Times New Roman" w:hAnsi="Times New Roman" w:cs="Times New Roman"/>
      <w:b/>
      <w:sz w:val="24"/>
      <w:shd w:val="clear" w:color="auto" w:fill="CCCCCC"/>
    </w:rPr>
  </w:style>
  <w:style w:type="paragraph" w:customStyle="1" w:styleId="NormalCompact">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1B675E"/>
    <w:rPr>
      <w:rFonts w:ascii="Times New Roman" w:hAnsi="Times New Roman" w:cs="Times New Roman"/>
      <w:sz w:val="20"/>
      <w:szCs w:val="20"/>
      <w:lang w:val="ro-RO" w:eastAsia="ro-RO" w:bidi="ro-RO"/>
    </w:rPr>
  </w:style>
  <w:style w:type="character" w:styleId="EndnoteReference">
    <w:name w:val="endnote reference"/>
    <w:basedOn w:val="DefaultParagraphFont"/>
    <w:uiPriority w:val="99"/>
    <w:semiHidden/>
    <w:unhideWhenUsed/>
    <w:rsid w:val="001B675E"/>
    <w:rPr>
      <w:vertAlign w:val="superscript"/>
    </w:rPr>
  </w:style>
  <w:style w:type="character" w:styleId="Hyperlink">
    <w:name w:val="Hyperlink"/>
    <w:basedOn w:val="DefaultParagraphFont"/>
    <w:uiPriority w:val="99"/>
    <w:semiHidden/>
    <w:unhideWhenUsed/>
    <w:rsid w:val="00E36A9C"/>
    <w:rPr>
      <w:color w:val="0000FF" w:themeColor="hyperlink"/>
      <w:u w:val="single"/>
    </w:rPr>
  </w:style>
  <w:style w:type="character" w:styleId="CommentReference">
    <w:name w:val="annotation reference"/>
    <w:basedOn w:val="DefaultParagraphFont"/>
    <w:uiPriority w:val="99"/>
    <w:semiHidden/>
    <w:unhideWhenUsed/>
    <w:rsid w:val="00E36A9C"/>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ro-RO" w:eastAsia="ro-RO" w:bidi="ro-RO"/>
    </w:rPr>
  </w:style>
  <w:style w:type="paragraph" w:styleId="Revision">
    <w:name w:val="Revision"/>
    <w:hidden/>
    <w:uiPriority w:val="99"/>
    <w:semiHidden/>
    <w:rsid w:val="00277C03"/>
    <w:pPr>
      <w:spacing w:after="0" w:line="240" w:lineRule="auto"/>
    </w:pPr>
    <w:rPr>
      <w:rFonts w:ascii="Times New Roman" w:hAnsi="Times New Roman" w:cs="Times New Roman"/>
      <w:sz w:val="24"/>
    </w:rPr>
  </w:style>
  <w:style w:type="character" w:styleId="PlaceholderText">
    <w:name w:val="Placeholder Text"/>
    <w:basedOn w:val="DefaultParagraphFont"/>
    <w:uiPriority w:val="99"/>
    <w:semiHidden/>
    <w:rsid w:val="002669D7"/>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bin"/><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DocuWrite\DW_COUNCI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E53840D-6600-4D30-877F-48B8145B967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6E375A9-A4C9-47BE-846C-F86E9A2300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37BEB8A-707B-4AAA-A3E4-687A0D05436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DW_COUNCIL.dotm</Template>
  <TotalTime>1</TotalTime>
  <Pages>11</Pages>
  <Words>2890</Words>
  <Characters>15726</Characters>
  <Application>Microsoft Office Word</Application>
  <DocSecurity>0</DocSecurity>
  <Lines>302</Lines>
  <Paragraphs>100</Paragraphs>
  <ScaleCrop>false</ScaleCrop>
  <Company/>
  <LinksUpToDate>false</LinksUpToDate>
  <CharactersWithSpaces>18516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Carla%20MAURIZI</dc:creator>
  <cp:keywords/>
  <dc:description/>
  <cp:lastModifiedBy>STROESCU Silviu-Octavian</cp:lastModifiedBy>
  <cp:revision>5</cp:revision>
  <dcterms:created xsi:type="dcterms:W3CDTF">2026-02-19T13:57:00Z</dcterms:created>
  <dcterms:modified xsi:type="dcterms:W3CDTF">2026-02-19T14:00:00Z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2026-02-19T10:41:24Z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4.14.2, Build 20260121</vt:lpwstr>
  </property>
  <property fmtid="{D5CDD505-2E9C-101B-9397-08002B2CF9AE}" pid="10" name="ContentTypeId">
    <vt:lpwstr>0x010100B1C4999ACD6CE848981E0EB0D78F6234</vt:lpwstr>
  </property>
</Properties>
</file>