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media/image2.bin" ContentType="image/png"/>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932c4f1e4ae84572" /><Relationship Type="http://schemas.openxmlformats.org/package/2006/relationships/metadata/core-properties" Target="/docProps/core.xml" Id="R1afdea67de8646f7" /><Relationship Type="http://schemas.openxmlformats.org/officeDocument/2006/relationships/extended-properties" Target="/docProps/app.xml" Id="R78cd243df02e4ef1" /><Relationship Type="http://schemas.openxmlformats.org/officeDocument/2006/relationships/custom-properties" Target="/docProps/custom.xml" Id="Rb0d4ee90e42d448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c4de52ca78804545"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5 March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15445</w:t>
                </w:r>
                <w:r>
                  <w:rPr>
                    <w:bCs/>
                    <w:lang w:val="en-US"/>
                  </w:rPr>
                  <w:t xml:space="preserve">/1</w:t>
                </w:r>
                <w:r w:rsidRPr="00F65A71" w:rsidR="003558E4">
                  <w:rPr>
                    <w:bCs/>
                    <w:lang w:val="en-US"/>
                  </w:rPr>
                  <w:t>/</w:t>
                </w:r>
                <w:r>
                  <w:rPr>
                    <w:bCs/>
                    <w:lang w:val="en-US"/>
                  </w:rPr>
                  <w:t xml:space="preserve">25</w:t>
                </w:r>
              </w:p>
              <w:p w:rsidRPr="00F65A71" w:rsidR="003558E4" w:rsidP="00524601" w:rsidRDefault="00000000" w14:paraId="46A0BB4E" w14:textId="77777777">
                <w:pPr>
                  <w:pStyle w:val="TBNormalTechnicalBlock"/>
                  <w:rPr>
                    <w:lang w:val="en-US"/>
                  </w:rPr>
                </w:pPr>
                <w:r>
                  <w:rPr>
                    <w:lang w:val="en-US"/>
                  </w:rPr>
                  <w:t xml:space="preserve">REV 1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EF 371</w:t>
                </w:r>
              </w:p>
              <w:p>
                <w:pPr>
                  <w:pStyle w:val="TBEntRefer"/>
                  <w:tabs>
                    <w:tab w:val="left" w:pos="2265"/>
                  </w:tabs>
                </w:pPr>
                <w:r>
                  <w:t xml:space="preserve">ECOFIN 1519</w:t>
                </w:r>
              </w:p>
              <w:p>
                <w:pPr>
                  <w:pStyle w:val="TBEntRefer"/>
                  <w:tabs>
                    <w:tab w:val="left" w:pos="2265"/>
                  </w:tabs>
                </w:pPr>
                <w:r>
                  <w:t xml:space="preserve">CODEC 1820</w:t>
                </w:r>
              </w:p>
              <w:p w:rsidRPr="00073AB8" w:rsidR="003558E4" w:rsidP="00524601" w:rsidRDefault="00000000" w14:paraId="2553D168" w14:textId="77777777">
                <w:pPr>
                  <w:pStyle w:val="TBEntRefer"/>
                  <w:tabs>
                    <w:tab w:val="left" w:pos="2262"/>
                  </w:tabs>
                  <w:rPr>
                    <w:sz w:val="4"/>
                    <w:szCs w:val="4"/>
                  </w:rPr>
                </w:pPr>
              </w:p>
              <w:p>
                <w:pPr>
                  <w:pStyle w:val="TBDistrbMarkers"/>
                </w:pPr>
                <w:r>
                  <w:t xml:space="preserve">ECB</w:t>
                </w:r>
              </w:p>
              <w:p>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2023/0112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DIRECTIVE OF THE EUROPEAN PARLIAMENT AND OF THE COUNCIL amending Directive 2014/59/EU as regards early intervention measures, conditions for resolution and funding of resolution action and Directive 2014/24/EU as regards valuation services in resolution</w:t>
                </w:r>
              </w:p>
              <w:p>
                <w:pPr>
                  <w:pStyle w:val="TBSubjectText"/>
                </w:pPr>
                <w:r>
                  <w:t xml:space="preserve">- Statement of the Council's reasons</w:t>
                </w:r>
              </w:p>
              <w:p>
                <w:pPr>
                  <w:pStyle w:val="TBSubjectText"/>
                </w:pPr>
                <w:r>
                  <w:t xml:space="preserve">- Adopted by the Council on 5 March 2026</w:t>
                </w:r>
              </w:p>
            </w:tc>
          </w:tr>
        </w:tbl>
        <w:p w:rsidRPr="002D3C08" w:rsidR="002D3C08" w:rsidP="002D3C08" w:rsidRDefault="002D3C08" w14:paraId="2DF89B2C" w14:textId="77777777">
          <w:pPr>
            <w:spacing w:before="20" w:after="240" w:line="20" w:lineRule="exact"/>
            <w:rPr>
              <w:sz w:val="2"/>
              <w:szCs w:val="2"/>
              <w:lang w:val="fr-FR"/>
            </w:rPr>
          </w:pPr>
        </w:p>
      </w:sdtContent>
    </w:sdt>
    <w:p w:rsidR="00C27D39" w:rsidRDefault="00C27D39" w14:paraId="0484AAC7" w14:textId="77777777">
      <w:pPr>
        <w:sectPr w:rsidR="00C27D39" w:rsidSect="00C27D39">
          <w:footerReference w:type="even" r:id="Rfb350a2090c8490a"/>
          <w:headerReference w:type="even" r:id="R0575b20f38e549be"/>
          <w:headerReference w:type="default" r:id="R71bdf99b415a4d61"/>
          <w:footerReference w:type="default" r:id="Re5a41e5e0b3c411e"/>
          <w:headerReference w:type="first" r:id="R610d4a577c8d4322"/>
          <w:footerReference w:type="first" r:id="Rf7e9f2a33fc14aee"/>
          <w:pgSz w:w="11907" w:h="16840" w:code="9"/>
          <w:pgMar w:top="624" w:right="1134" w:bottom="1134" w:left="1134" w:header="567" w:footer="567" w:gutter="0"/>
          <w:pgNumType w:start="1"/>
          <w:cols w:space="720"/>
          <w:titlePg/>
          <w:docGrid w:linePitch="360"/>
          <w:pgSz w:w="11907" w:h="16840" w:code="9"/>
          <w:pgSz w:w="11907" w:h="16840" w:code="9"/>
          <w:pgSz w:w="11907" w:h="16840" w:code="9"/>
        </w:sectPr>
      </w:pPr>
    </w:p>
    <w:p w:rsidRPr="00484B13" w:rsidR="00C27D39" w:rsidP="00C27D39" w:rsidRDefault="00C27D39" w14:paraId="1C064DC0" w14:textId="77777777">
      <w:pPr>
        <w:pStyle w:val="ListParagraph"/>
        <w:numPr>
          <w:ilvl w:val="0"/>
          <w:numId w:val="21"/>
        </w:numPr>
        <w:spacing w:before="0" w:after="0" w:line="360" w:lineRule="auto"/>
        <w:rPr>
          <w:rFonts w:ascii="Times New Roman" w:hAnsi="Times New Roman" w:cs="Times New Roman"/>
          <w:b/>
          <w:bCs/>
          <w:sz w:val="24"/>
          <w:szCs w:val="24"/>
        </w:rPr>
      </w:pPr>
      <w:r w:rsidRPr="00484B13">
        <w:rPr>
          <w:rFonts w:ascii="Times New Roman" w:hAnsi="Times New Roman" w:cs="Times New Roman"/>
          <w:b/>
          <w:bCs/>
          <w:sz w:val="24"/>
          <w:szCs w:val="24"/>
        </w:rPr>
        <w:t xml:space="preserve">INTRODUCTION </w:t>
      </w:r>
    </w:p>
    <w:p w:rsidRPr="000B6BB4" w:rsidR="00C27D39" w:rsidP="00C27D39" w:rsidRDefault="00C27D39" w14:paraId="38E1875B" w14:textId="77777777">
      <w:pPr>
        <w:pStyle w:val="ListParagraph"/>
        <w:ind w:left="1080"/>
      </w:pPr>
    </w:p>
    <w:p w:rsidR="00C27D39" w:rsidP="00C27D39" w:rsidRDefault="00C27D39" w14:paraId="3F128846" w14:textId="77777777">
      <w:pPr>
        <w:numPr>
          <w:ilvl w:val="0"/>
          <w:numId w:val="22"/>
        </w:numPr>
        <w:spacing w:before="0" w:after="0"/>
        <w:contextualSpacing/>
        <w:rPr>
          <w:rFonts w:eastAsia="Calibri" w:cstheme="minorBidi"/>
          <w:szCs w:val="24"/>
        </w:rPr>
      </w:pPr>
      <w:r w:rsidRPr="0061024C">
        <w:rPr>
          <w:rFonts w:eastAsia="Calibri" w:cstheme="minorBidi"/>
          <w:szCs w:val="24"/>
        </w:rPr>
        <w:t xml:space="preserve">On 19 April 2023, the </w:t>
      </w:r>
      <w:r w:rsidRPr="0061024C">
        <w:rPr>
          <w:rFonts w:eastAsia="Calibri" w:cstheme="minorBidi"/>
          <w:szCs w:val="24"/>
          <w:u w:val="single"/>
        </w:rPr>
        <w:t>Commission</w:t>
      </w:r>
      <w:r w:rsidRPr="0061024C">
        <w:rPr>
          <w:rFonts w:eastAsia="Calibri" w:cstheme="minorBidi"/>
          <w:szCs w:val="24"/>
        </w:rPr>
        <w:t xml:space="preserve"> submitted to the Council and the European Parliament the Crisis Management and Deposit Insurance (CMDI) review package (hereinafter the ‘proposal’), consisting of a communication and four legal acts, of which the “Daisy chains” </w:t>
      </w:r>
      <w:r>
        <w:rPr>
          <w:rFonts w:eastAsia="Calibri" w:cstheme="minorBidi"/>
          <w:szCs w:val="24"/>
        </w:rPr>
        <w:t xml:space="preserve">legal act </w:t>
      </w:r>
      <w:r w:rsidRPr="0061024C">
        <w:rPr>
          <w:rFonts w:eastAsia="Calibri" w:cstheme="minorBidi"/>
          <w:szCs w:val="24"/>
        </w:rPr>
        <w:t>was eventually detached from the proposal and adopted separately by the co-legislators (hence, references to CMDI</w:t>
      </w:r>
      <w:r>
        <w:rPr>
          <w:rFonts w:eastAsia="Calibri" w:cstheme="minorBidi"/>
          <w:szCs w:val="24"/>
        </w:rPr>
        <w:t xml:space="preserve"> or to the proposal</w:t>
      </w:r>
      <w:r w:rsidRPr="0061024C">
        <w:rPr>
          <w:rFonts w:eastAsia="Calibri" w:cstheme="minorBidi"/>
          <w:szCs w:val="24"/>
        </w:rPr>
        <w:t xml:space="preserve"> hereinafter shall be understood as a reference to the remaining three legal acts) :</w:t>
      </w:r>
    </w:p>
    <w:p w:rsidRPr="0052503A" w:rsidR="00C27D39" w:rsidP="00C27D39" w:rsidRDefault="00C27D39" w14:paraId="4502B394" w14:textId="77777777">
      <w:pPr>
        <w:spacing w:before="0" w:after="0"/>
        <w:ind w:left="1215"/>
        <w:contextualSpacing/>
        <w:rPr>
          <w:rFonts w:eastAsia="Calibri" w:cstheme="minorBidi"/>
          <w:szCs w:val="24"/>
        </w:rPr>
      </w:pPr>
    </w:p>
    <w:p w:rsidRPr="000B6BB4" w:rsidR="00C27D39" w:rsidP="00C27D39" w:rsidRDefault="00C27D39" w14:paraId="13B01FEB" w14:textId="77777777">
      <w:pPr>
        <w:numPr>
          <w:ilvl w:val="0"/>
          <w:numId w:val="23"/>
        </w:numPr>
        <w:spacing w:before="0" w:after="0"/>
        <w:contextualSpacing/>
        <w:rPr>
          <w:rFonts w:eastAsia="Calibri" w:cstheme="minorBidi"/>
          <w:szCs w:val="24"/>
          <w:lang w:val="en-US"/>
        </w:rPr>
      </w:pPr>
      <w:r w:rsidRPr="000B6BB4">
        <w:rPr>
          <w:rFonts w:eastAsia="Calibri" w:cstheme="minorBidi"/>
          <w:szCs w:val="24"/>
          <w:lang w:val="en-US"/>
        </w:rPr>
        <w:t>Proposal for a DIRECTIVE OF THE EUROPEAN PARLIAMENT AND OF THE COUNCIL amending Directive 2014/59/EU as regards early intervention measures, conditions for resolution and financing of resolution action (“BRRD”);</w:t>
      </w:r>
    </w:p>
    <w:p w:rsidRPr="0052503A" w:rsidR="00C27D39" w:rsidP="00C27D39" w:rsidRDefault="00C27D39" w14:paraId="66C5241B" w14:textId="77777777">
      <w:pPr>
        <w:numPr>
          <w:ilvl w:val="0"/>
          <w:numId w:val="23"/>
        </w:numPr>
        <w:spacing w:before="0" w:after="0"/>
        <w:contextualSpacing/>
        <w:rPr>
          <w:rFonts w:eastAsia="Calibri" w:cstheme="minorBidi"/>
          <w:szCs w:val="24"/>
          <w:lang w:val="en-US"/>
        </w:rPr>
      </w:pPr>
      <w:r w:rsidRPr="000B6BB4">
        <w:rPr>
          <w:rFonts w:eastAsia="Calibri" w:cstheme="minorBidi"/>
          <w:szCs w:val="24"/>
          <w:lang w:val="en-US"/>
        </w:rPr>
        <w:t>Proposal for a DIRECTIVE OF THE EUROPEAN PARLIAMENT AND OF THE COUNCIL amending Directive 2014/49/EU as regards the scope of deposit protection, use of deposit guarantee schemes funds, cross-border cooperation, and transparency (“DGSD”);</w:t>
      </w:r>
    </w:p>
    <w:p w:rsidRPr="000B6BB4" w:rsidR="00C27D39" w:rsidP="00C27D39" w:rsidRDefault="00C27D39" w14:paraId="34070051" w14:textId="77777777">
      <w:pPr>
        <w:numPr>
          <w:ilvl w:val="0"/>
          <w:numId w:val="23"/>
        </w:numPr>
        <w:spacing w:before="0" w:after="0"/>
        <w:contextualSpacing/>
        <w:rPr>
          <w:rFonts w:eastAsia="Calibri" w:cstheme="minorBidi"/>
          <w:szCs w:val="24"/>
          <w:lang w:val="en-US"/>
        </w:rPr>
      </w:pPr>
      <w:r w:rsidRPr="000B6BB4">
        <w:rPr>
          <w:rFonts w:eastAsia="Calibri" w:cstheme="minorBidi"/>
          <w:szCs w:val="24"/>
          <w:lang w:val="en-US"/>
        </w:rPr>
        <w:t>Proposal for a REGULATION OF THE EUROPEAN PARLIAMENT AND OF THE COUNCIL amending Regulation (EU) No 806/2014 as regards early intervention measures, conditions for resolution and funding of resolution action (“SRMR”);</w:t>
      </w:r>
    </w:p>
    <w:p w:rsidRPr="000B6BB4" w:rsidR="00C27D39" w:rsidP="00C27D39" w:rsidRDefault="00C27D39" w14:paraId="0BA3FB78" w14:textId="77777777">
      <w:pPr>
        <w:numPr>
          <w:ilvl w:val="0"/>
          <w:numId w:val="23"/>
        </w:numPr>
        <w:spacing w:before="0" w:after="0"/>
        <w:contextualSpacing/>
        <w:rPr>
          <w:rFonts w:eastAsia="Calibri" w:cstheme="minorBidi"/>
          <w:szCs w:val="24"/>
          <w:lang w:val="en-US"/>
        </w:rPr>
      </w:pPr>
      <w:r w:rsidRPr="000B6BB4">
        <w:rPr>
          <w:rFonts w:eastAsia="Calibri" w:cstheme="minorBidi"/>
          <w:szCs w:val="24"/>
          <w:lang w:val="en-US"/>
        </w:rPr>
        <w:t>Proposal for a DIRECTIVE OF THE EUROPEAN PARLIAMENT AND OF THE COUNCIL amending Directive 2014/59/EU and Regulation (EU) No 806/2014 as regards certain aspects of the minimum requirement for own funds and eligible liabilities (“Daisy chains”).</w:t>
      </w:r>
    </w:p>
    <w:p w:rsidR="00C27D39" w:rsidP="00C27D39" w:rsidRDefault="00C27D39" w14:paraId="2CF2EE7B" w14:textId="77777777">
      <w:pPr>
        <w:spacing w:before="0" w:after="200" w:line="276" w:lineRule="auto"/>
        <w:rPr>
          <w:rFonts w:eastAsia="Calibri" w:cstheme="minorBidi"/>
          <w:szCs w:val="24"/>
        </w:rPr>
      </w:pPr>
      <w:r>
        <w:rPr>
          <w:rFonts w:eastAsia="Calibri" w:cstheme="minorBidi"/>
          <w:szCs w:val="24"/>
        </w:rPr>
        <w:br w:type="page"/>
      </w:r>
    </w:p>
    <w:p w:rsidRPr="000B6BB4" w:rsidR="00C27D39" w:rsidP="00C27D39" w:rsidRDefault="00C27D39" w14:paraId="7EB3ADE3" w14:textId="77777777">
      <w:pPr>
        <w:spacing w:before="0" w:after="0"/>
        <w:ind w:left="851" w:hanging="851"/>
        <w:rPr>
          <w:rFonts w:eastAsia="Calibri" w:cstheme="minorBidi"/>
          <w:szCs w:val="24"/>
        </w:rPr>
      </w:pPr>
      <w:r w:rsidRPr="000B6BB4">
        <w:rPr>
          <w:rFonts w:eastAsia="Calibri" w:cstheme="minorBidi"/>
          <w:szCs w:val="24"/>
        </w:rPr>
        <w:t>2.</w:t>
      </w:r>
      <w:r w:rsidRPr="000B6BB4">
        <w:rPr>
          <w:rFonts w:eastAsia="Calibri" w:cstheme="minorBidi"/>
          <w:szCs w:val="24"/>
        </w:rPr>
        <w:tab/>
        <w:t xml:space="preserve">The BRRD and SRMR are based on Article 114 of the Treaty on the Functioning of the European Union (TFEU) and the DGSD is based on </w:t>
      </w:r>
      <w:r w:rsidRPr="000B6BB4">
        <w:rPr>
          <w:rFonts w:eastAsia="Calibri" w:cstheme="minorBidi"/>
          <w:noProof/>
          <w:lang w:val="en-IE"/>
        </w:rPr>
        <w:t>Article 53(1) thereof</w:t>
      </w:r>
      <w:r w:rsidRPr="000B6BB4">
        <w:rPr>
          <w:rFonts w:eastAsia="Calibri" w:cstheme="minorBidi"/>
          <w:szCs w:val="24"/>
          <w:lang w:val="en-IE"/>
        </w:rPr>
        <w:t xml:space="preserve"> </w:t>
      </w:r>
      <w:r w:rsidRPr="000B6BB4">
        <w:rPr>
          <w:rFonts w:eastAsia="Calibri" w:cstheme="minorBidi"/>
          <w:szCs w:val="24"/>
        </w:rPr>
        <w:t>(ordinary legislative procedure).</w:t>
      </w:r>
    </w:p>
    <w:p w:rsidRPr="000B6BB4" w:rsidR="00C27D39" w:rsidP="00C27D39" w:rsidRDefault="00C27D39" w14:paraId="4E22C910" w14:textId="77777777">
      <w:pPr>
        <w:spacing w:before="0" w:after="0"/>
        <w:ind w:left="851" w:hanging="851"/>
        <w:rPr>
          <w:rFonts w:eastAsia="Calibri" w:cstheme="minorBidi"/>
          <w:szCs w:val="24"/>
        </w:rPr>
      </w:pPr>
      <w:r w:rsidRPr="000B6BB4">
        <w:rPr>
          <w:rFonts w:eastAsia="Calibri" w:cstheme="minorBidi"/>
          <w:szCs w:val="24"/>
        </w:rPr>
        <w:t>3.</w:t>
      </w:r>
      <w:r w:rsidRPr="000B6BB4">
        <w:rPr>
          <w:rFonts w:eastAsia="Calibri" w:cstheme="minorBidi"/>
          <w:szCs w:val="24"/>
        </w:rPr>
        <w:tab/>
      </w:r>
      <w:bookmarkStart w:name="_Hlk144303911" w:id="2"/>
      <w:r w:rsidRPr="000B6BB4">
        <w:rPr>
          <w:rFonts w:eastAsia="Calibri" w:cstheme="minorBidi"/>
          <w:szCs w:val="24"/>
        </w:rPr>
        <w:t xml:space="preserve">The opinion of the </w:t>
      </w:r>
      <w:r w:rsidRPr="000B6BB4">
        <w:rPr>
          <w:rFonts w:eastAsia="Calibri" w:cstheme="minorBidi"/>
          <w:szCs w:val="24"/>
          <w:u w:val="single"/>
        </w:rPr>
        <w:t>European Central Bank</w:t>
      </w:r>
      <w:r w:rsidRPr="000B6BB4">
        <w:rPr>
          <w:rFonts w:eastAsia="Calibri" w:cstheme="minorBidi"/>
          <w:szCs w:val="24"/>
        </w:rPr>
        <w:t xml:space="preserve"> was adopted on 5 July 2023</w:t>
      </w:r>
      <w:r w:rsidRPr="000B6BB4">
        <w:rPr>
          <w:rFonts w:eastAsia="Calibri" w:cstheme="minorBidi"/>
          <w:b/>
          <w:szCs w:val="24"/>
          <w:vertAlign w:val="superscript"/>
        </w:rPr>
        <w:footnoteReference w:id="2"/>
      </w:r>
      <w:r w:rsidRPr="000B6BB4">
        <w:rPr>
          <w:rFonts w:eastAsia="Calibri" w:cstheme="minorBidi"/>
          <w:szCs w:val="24"/>
        </w:rPr>
        <w:t xml:space="preserve">. The opinion of the </w:t>
      </w:r>
      <w:r w:rsidRPr="000B6BB4">
        <w:rPr>
          <w:rFonts w:eastAsia="Calibri" w:cstheme="minorBidi"/>
          <w:szCs w:val="24"/>
          <w:u w:val="single"/>
        </w:rPr>
        <w:t>European Economic and Social Committee</w:t>
      </w:r>
      <w:r w:rsidRPr="000B6BB4">
        <w:rPr>
          <w:rFonts w:eastAsia="Calibri" w:cstheme="minorBidi"/>
          <w:szCs w:val="24"/>
        </w:rPr>
        <w:t xml:space="preserve"> was adopted on 13 July 2023</w:t>
      </w:r>
      <w:r w:rsidRPr="000B6BB4">
        <w:rPr>
          <w:rFonts w:eastAsia="Calibri" w:cstheme="minorBidi"/>
          <w:b/>
          <w:szCs w:val="24"/>
          <w:vertAlign w:val="superscript"/>
        </w:rPr>
        <w:footnoteReference w:id="3"/>
      </w:r>
      <w:r w:rsidRPr="000B6BB4">
        <w:rPr>
          <w:rFonts w:eastAsia="Calibri" w:cstheme="minorBidi"/>
          <w:szCs w:val="24"/>
        </w:rPr>
        <w:t>.</w:t>
      </w:r>
    </w:p>
    <w:p w:rsidRPr="000B6BB4" w:rsidR="00C27D39" w:rsidP="00C27D39" w:rsidRDefault="00C27D39" w14:paraId="27883E5C" w14:textId="77777777">
      <w:pPr>
        <w:spacing w:before="0" w:after="0"/>
        <w:ind w:left="851" w:hanging="851"/>
        <w:rPr>
          <w:rFonts w:eastAsia="Calibri" w:cstheme="minorBidi"/>
          <w:szCs w:val="24"/>
        </w:rPr>
      </w:pPr>
      <w:r w:rsidRPr="000B6BB4">
        <w:rPr>
          <w:rFonts w:eastAsia="Calibri" w:cstheme="minorBidi"/>
          <w:szCs w:val="24"/>
        </w:rPr>
        <w:t xml:space="preserve">4. </w:t>
      </w:r>
      <w:r w:rsidRPr="000B6BB4">
        <w:rPr>
          <w:rFonts w:eastAsia="Calibri" w:cstheme="minorBidi"/>
          <w:szCs w:val="24"/>
        </w:rPr>
        <w:tab/>
      </w:r>
      <w:bookmarkEnd w:id="2"/>
      <w:r w:rsidRPr="000B6BB4">
        <w:rPr>
          <w:rFonts w:eastAsia="Calibri" w:cstheme="minorBidi"/>
          <w:szCs w:val="24"/>
        </w:rPr>
        <w:t xml:space="preserve">In the </w:t>
      </w:r>
      <w:r w:rsidRPr="000B6BB4">
        <w:rPr>
          <w:rFonts w:eastAsia="Calibri" w:cstheme="minorBidi"/>
          <w:szCs w:val="24"/>
          <w:u w:val="single"/>
        </w:rPr>
        <w:t>European Parliament, the Committee on Economic and Monetary Affairs</w:t>
      </w:r>
      <w:r w:rsidRPr="000B6BB4">
        <w:rPr>
          <w:rFonts w:eastAsia="Calibri" w:cstheme="minorBidi"/>
          <w:szCs w:val="24"/>
        </w:rPr>
        <w:t xml:space="preserve"> (ECON Committee) had the lead responsibility. The European Parliament adopted its first reading position on </w:t>
      </w:r>
      <w:r w:rsidRPr="000B6BB4">
        <w:rPr>
          <w:rFonts w:eastAsia="Calibri" w:cstheme="minorBidi"/>
        </w:rPr>
        <w:t>24 April 2024.</w:t>
      </w:r>
    </w:p>
    <w:p w:rsidRPr="000B6BB4" w:rsidR="00C27D39" w:rsidP="00C27D39" w:rsidRDefault="00C27D39" w14:paraId="30CD1734" w14:textId="77777777">
      <w:pPr>
        <w:spacing w:before="0" w:after="0"/>
        <w:ind w:left="851" w:hanging="851"/>
        <w:rPr>
          <w:rFonts w:eastAsia="Calibri" w:cstheme="minorBidi"/>
          <w:szCs w:val="24"/>
        </w:rPr>
      </w:pPr>
      <w:r w:rsidRPr="000B6BB4">
        <w:rPr>
          <w:rFonts w:eastAsia="Calibri" w:cstheme="minorBidi"/>
          <w:szCs w:val="24"/>
        </w:rPr>
        <w:t xml:space="preserve">5. </w:t>
      </w:r>
      <w:r w:rsidRPr="000B6BB4">
        <w:rPr>
          <w:rFonts w:eastAsia="Calibri" w:cstheme="minorBidi"/>
          <w:szCs w:val="24"/>
        </w:rPr>
        <w:tab/>
        <w:t xml:space="preserve">The Council’s </w:t>
      </w:r>
      <w:r w:rsidRPr="000B6BB4">
        <w:rPr>
          <w:rFonts w:eastAsia="Calibri" w:cstheme="minorBidi"/>
          <w:szCs w:val="24"/>
          <w:u w:val="single"/>
        </w:rPr>
        <w:t>Working Party on Financial Services and the Banking Union</w:t>
      </w:r>
      <w:r w:rsidRPr="000B6BB4">
        <w:rPr>
          <w:rFonts w:eastAsia="Calibri" w:cstheme="minorBidi"/>
          <w:szCs w:val="24"/>
        </w:rPr>
        <w:t xml:space="preserve"> discussed the proposal at its meetings on 24 May 2023, 7 July 2023, 20 July 2023, 18 September 2023, 9 October 2023, 31 October 2023, 21 November 2023, 27 February 2024, 25 March 2024, 26 April 2024, 23 and 24 May 2024, 3 June 2024 and 7 June 2024. The Permanent Representatives Committee approved the negotiating mandate on 19 June 2024 and granted the Presidency a mandate to</w:t>
      </w:r>
      <w:r>
        <w:rPr>
          <w:rFonts w:eastAsia="Calibri" w:cstheme="minorBidi"/>
          <w:szCs w:val="24"/>
        </w:rPr>
        <w:t xml:space="preserve"> enter</w:t>
      </w:r>
      <w:r w:rsidRPr="000B6BB4">
        <w:rPr>
          <w:rFonts w:eastAsia="Calibri" w:cstheme="minorBidi"/>
          <w:szCs w:val="24"/>
        </w:rPr>
        <w:t xml:space="preserve"> negotiations with the European Parliament. On that basis, negotiations took place with the European Parliament and the Commission with a view to an early second reading agreement.</w:t>
      </w:r>
    </w:p>
    <w:p w:rsidRPr="000B6BB4" w:rsidR="00C27D39" w:rsidP="00C27D39" w:rsidRDefault="00C27D39" w14:paraId="4700002E" w14:textId="77777777">
      <w:pPr>
        <w:spacing w:before="0" w:after="160" w:line="259" w:lineRule="auto"/>
        <w:rPr>
          <w:rFonts w:eastAsia="Calibri" w:cstheme="minorBidi"/>
          <w:szCs w:val="24"/>
        </w:rPr>
      </w:pPr>
      <w:r w:rsidRPr="000B6BB4">
        <w:rPr>
          <w:rFonts w:eastAsia="Calibri" w:cstheme="minorBidi"/>
          <w:szCs w:val="24"/>
        </w:rPr>
        <w:br w:type="page"/>
      </w:r>
    </w:p>
    <w:p w:rsidRPr="000B6BB4" w:rsidR="00C27D39" w:rsidP="00C27D39" w:rsidRDefault="00C27D39" w14:paraId="6613B9D4" w14:textId="77777777">
      <w:pPr>
        <w:spacing w:before="0" w:after="0"/>
        <w:ind w:left="851" w:hanging="851"/>
        <w:rPr>
          <w:rFonts w:eastAsia="Calibri" w:cstheme="minorBidi"/>
          <w:szCs w:val="24"/>
        </w:rPr>
      </w:pPr>
      <w:r w:rsidRPr="000B6BB4">
        <w:rPr>
          <w:rFonts w:eastAsia="Calibri" w:cstheme="minorBidi"/>
          <w:szCs w:val="24"/>
        </w:rPr>
        <w:t>6.</w:t>
      </w:r>
      <w:r w:rsidRPr="000B6BB4">
        <w:rPr>
          <w:rFonts w:eastAsia="Calibri" w:cstheme="minorBidi"/>
          <w:szCs w:val="24"/>
        </w:rPr>
        <w:tab/>
      </w:r>
      <w:bookmarkStart w:name="_Hlk213426171" w:id="3"/>
      <w:r w:rsidRPr="000B6BB4">
        <w:rPr>
          <w:rFonts w:eastAsia="Calibri" w:cstheme="minorBidi"/>
          <w:szCs w:val="24"/>
        </w:rPr>
        <w:t>The trilogues took place on 17 December 2024, 14 January 2025, 4 February 2025, 12 March 2025, 25 March 2025, 28 April 2025, 22 May 2025, 5 June 2025.</w:t>
      </w:r>
      <w:bookmarkEnd w:id="3"/>
    </w:p>
    <w:p w:rsidRPr="000B6BB4" w:rsidR="00C27D39" w:rsidP="00C27D39" w:rsidRDefault="00C27D39" w14:paraId="1DCCE10B" w14:textId="77777777">
      <w:pPr>
        <w:spacing w:before="0" w:after="0"/>
        <w:ind w:left="851" w:hanging="851"/>
        <w:rPr>
          <w:rFonts w:eastAsia="Calibri" w:cstheme="minorBidi"/>
          <w:szCs w:val="24"/>
        </w:rPr>
      </w:pPr>
      <w:r w:rsidRPr="000B6BB4">
        <w:rPr>
          <w:rFonts w:eastAsia="Calibri" w:cstheme="minorBidi"/>
          <w:szCs w:val="24"/>
        </w:rPr>
        <w:t xml:space="preserve">7. </w:t>
      </w:r>
      <w:r w:rsidRPr="000B6BB4">
        <w:rPr>
          <w:rFonts w:eastAsia="Calibri" w:cstheme="minorBidi"/>
          <w:szCs w:val="24"/>
        </w:rPr>
        <w:tab/>
        <w:t>In the last trilogue on 25 June 2025, a provisional political agreement was reached between co-legislators, resulting in the final compromise texts as set out in ST 15011 ADD1 2025, ST 15011 ADD2 2025 and ST 15011 ADD3 2025.</w:t>
      </w:r>
    </w:p>
    <w:p w:rsidRPr="000B6BB4" w:rsidR="00C27D39" w:rsidP="00C27D39" w:rsidRDefault="00C27D39" w14:paraId="57E23378" w14:textId="77777777">
      <w:pPr>
        <w:spacing w:before="0" w:after="0"/>
        <w:ind w:left="851" w:hanging="851"/>
        <w:rPr>
          <w:rFonts w:eastAsia="Calibri" w:cstheme="minorBidi"/>
          <w:szCs w:val="24"/>
        </w:rPr>
      </w:pPr>
      <w:r w:rsidRPr="000B6BB4">
        <w:rPr>
          <w:rFonts w:eastAsia="Calibri" w:cstheme="minorBidi"/>
          <w:szCs w:val="24"/>
        </w:rPr>
        <w:t xml:space="preserve">8. </w:t>
      </w:r>
      <w:r w:rsidRPr="000B6BB4">
        <w:rPr>
          <w:rFonts w:eastAsia="Calibri" w:cstheme="minorBidi"/>
          <w:szCs w:val="24"/>
        </w:rPr>
        <w:tab/>
        <w:t>On 5 November 2025, the ECON Committee of the European Parliament gave its endorsement to the compromise texts. On 6 November 2025, the Chair of the ECON committee sent a letter to the Chair of the Committee of Permanent Representatives indicating that, should the Council transmit to the European Parliament its position as agreed, subject to legal-linguistic review, she would recommend to the Plenary that the Council's position be accepted without amendments at Parliament's second reading (see the respective information note</w:t>
      </w:r>
      <w:r w:rsidRPr="000B6BB4">
        <w:rPr>
          <w:rFonts w:eastAsia="Calibri" w:cstheme="minorBidi"/>
          <w:b/>
          <w:szCs w:val="24"/>
          <w:vertAlign w:val="superscript"/>
        </w:rPr>
        <w:footnoteReference w:id="4"/>
      </w:r>
      <w:r w:rsidRPr="000B6BB4">
        <w:rPr>
          <w:rFonts w:eastAsia="Calibri" w:cstheme="minorBidi"/>
          <w:szCs w:val="24"/>
        </w:rPr>
        <w:t xml:space="preserve"> to </w:t>
      </w:r>
      <w:proofErr w:type="spellStart"/>
      <w:r w:rsidRPr="000B6BB4">
        <w:rPr>
          <w:rFonts w:eastAsia="Calibri" w:cstheme="minorBidi"/>
          <w:szCs w:val="24"/>
        </w:rPr>
        <w:t>Coreper</w:t>
      </w:r>
      <w:proofErr w:type="spellEnd"/>
      <w:r w:rsidRPr="000B6BB4">
        <w:rPr>
          <w:rFonts w:eastAsia="Calibri" w:cstheme="minorBidi"/>
          <w:szCs w:val="24"/>
        </w:rPr>
        <w:t xml:space="preserve">). </w:t>
      </w:r>
    </w:p>
    <w:p w:rsidRPr="000B6BB4" w:rsidR="00C27D39" w:rsidP="00C27D39" w:rsidRDefault="00C27D39" w14:paraId="1BDD5F95" w14:textId="77777777">
      <w:pPr>
        <w:spacing w:before="0" w:after="0"/>
        <w:ind w:left="851" w:hanging="851"/>
        <w:rPr>
          <w:rFonts w:eastAsia="Calibri" w:cstheme="minorBidi"/>
          <w:szCs w:val="24"/>
        </w:rPr>
      </w:pPr>
      <w:r w:rsidRPr="000B6BB4">
        <w:rPr>
          <w:rFonts w:eastAsia="Calibri" w:cstheme="minorBidi"/>
          <w:szCs w:val="24"/>
        </w:rPr>
        <w:t>9.</w:t>
      </w:r>
      <w:r w:rsidRPr="000B6BB4">
        <w:rPr>
          <w:rFonts w:eastAsia="Calibri" w:cstheme="minorBidi"/>
          <w:szCs w:val="24"/>
        </w:rPr>
        <w:tab/>
        <w:t xml:space="preserve">In light of the above, at its meeting on 12 November 2025, </w:t>
      </w:r>
      <w:proofErr w:type="spellStart"/>
      <w:r w:rsidRPr="000B6BB4">
        <w:rPr>
          <w:rFonts w:eastAsia="Calibri" w:cstheme="minorBidi"/>
          <w:szCs w:val="24"/>
        </w:rPr>
        <w:t>Coreper</w:t>
      </w:r>
      <w:proofErr w:type="spellEnd"/>
      <w:r w:rsidRPr="000B6BB4">
        <w:rPr>
          <w:rFonts w:eastAsia="Calibri" w:cstheme="minorBidi"/>
          <w:szCs w:val="24"/>
        </w:rPr>
        <w:t xml:space="preserve"> reached a political agreement, on the basis of the compromise texts. The compromise texts were subject to the legal-linguistic review, resulting in the final texts set out in </w:t>
      </w:r>
      <w:r>
        <w:rPr>
          <w:rFonts w:eastAsia="Calibri" w:cstheme="minorBidi"/>
          <w:szCs w:val="24"/>
        </w:rPr>
        <w:t>ST 15389/25, ST 15445/25 and ST 15484/25</w:t>
      </w:r>
      <w:r w:rsidRPr="000B6BB4">
        <w:rPr>
          <w:rFonts w:eastAsia="Calibri" w:cstheme="minorBidi"/>
          <w:szCs w:val="24"/>
        </w:rPr>
        <w:t xml:space="preserve"> to enable an early second-reading agreement.</w:t>
      </w:r>
    </w:p>
    <w:p w:rsidRPr="000B6BB4" w:rsidR="00C27D39" w:rsidP="00C27D39" w:rsidRDefault="00C27D39" w14:paraId="16A89A91" w14:textId="77777777">
      <w:pPr>
        <w:spacing w:before="0" w:after="0"/>
        <w:rPr>
          <w:rFonts w:cstheme="minorBidi"/>
        </w:rPr>
      </w:pPr>
    </w:p>
    <w:p w:rsidRPr="000B6BB4" w:rsidR="00C27D39" w:rsidP="00C27D39" w:rsidRDefault="00C27D39" w14:paraId="5D3E726F" w14:textId="77777777">
      <w:pPr>
        <w:spacing w:before="0" w:after="160" w:line="259" w:lineRule="auto"/>
        <w:rPr>
          <w:rFonts w:cstheme="minorBidi"/>
          <w:b/>
          <w:bCs/>
          <w:lang w:val="en-US"/>
        </w:rPr>
      </w:pPr>
      <w:r w:rsidRPr="000B6BB4">
        <w:rPr>
          <w:rFonts w:cstheme="minorBidi"/>
          <w:b/>
          <w:bCs/>
          <w:lang w:val="en-US"/>
        </w:rPr>
        <w:br w:type="page"/>
      </w:r>
    </w:p>
    <w:p w:rsidRPr="000B6BB4" w:rsidR="00C27D39" w:rsidP="00C27D39" w:rsidRDefault="00C27D39" w14:paraId="3FB8EA49" w14:textId="77777777">
      <w:pPr>
        <w:spacing w:before="0" w:after="0"/>
        <w:rPr>
          <w:rFonts w:cstheme="minorBidi"/>
          <w:lang w:val="en-US"/>
        </w:rPr>
      </w:pPr>
      <w:r w:rsidRPr="000B6BB4">
        <w:rPr>
          <w:rFonts w:cstheme="minorBidi"/>
          <w:b/>
          <w:bCs/>
          <w:lang w:val="en-US"/>
        </w:rPr>
        <w:t xml:space="preserve">II. </w:t>
      </w:r>
      <w:r>
        <w:rPr>
          <w:rFonts w:cstheme="minorBidi"/>
          <w:b/>
          <w:bCs/>
          <w:lang w:val="en-US"/>
        </w:rPr>
        <w:tab/>
      </w:r>
      <w:r w:rsidRPr="000B6BB4">
        <w:rPr>
          <w:rFonts w:cstheme="minorBidi"/>
          <w:b/>
          <w:bCs/>
          <w:lang w:val="en-US"/>
        </w:rPr>
        <w:t>MAIN OBJECTIVE</w:t>
      </w:r>
    </w:p>
    <w:p w:rsidRPr="000B6BB4" w:rsidR="00C27D39" w:rsidP="00C27D39" w:rsidRDefault="00C27D39" w14:paraId="3400C3D1" w14:textId="77777777">
      <w:pPr>
        <w:spacing w:before="0" w:after="0"/>
        <w:rPr>
          <w:rFonts w:cstheme="minorBidi"/>
          <w:lang w:val="en-US"/>
        </w:rPr>
      </w:pPr>
    </w:p>
    <w:p w:rsidRPr="000B6BB4" w:rsidR="00C27D39" w:rsidP="00C27D39" w:rsidRDefault="00C27D39" w14:paraId="1C6505D7" w14:textId="77777777">
      <w:pPr>
        <w:spacing w:before="0" w:after="0"/>
        <w:ind w:left="851" w:hanging="851"/>
        <w:rPr>
          <w:rFonts w:eastAsia="Calibri" w:cstheme="minorBidi"/>
          <w:szCs w:val="24"/>
        </w:rPr>
      </w:pPr>
      <w:r w:rsidRPr="000B6BB4">
        <w:rPr>
          <w:rFonts w:eastAsia="Calibri" w:cstheme="minorBidi"/>
          <w:szCs w:val="24"/>
        </w:rPr>
        <w:t xml:space="preserve">10. </w:t>
      </w:r>
      <w:r w:rsidRPr="000B6BB4">
        <w:rPr>
          <w:rFonts w:eastAsia="Calibri" w:cstheme="minorBidi"/>
          <w:szCs w:val="24"/>
        </w:rPr>
        <w:tab/>
        <w:t xml:space="preserve">The CMDI package, provides for a targeted development of the existing framework with the aim of making the </w:t>
      </w:r>
      <w:r w:rsidRPr="000B6BB4">
        <w:rPr>
          <w:rFonts w:eastAsia="Calibri" w:cstheme="minorBidi"/>
          <w:b/>
          <w:bCs/>
          <w:szCs w:val="24"/>
        </w:rPr>
        <w:t>orderly resolution for small and medium</w:t>
      </w:r>
      <w:r w:rsidRPr="000B6BB4">
        <w:rPr>
          <w:rFonts w:eastAsia="Calibri" w:cstheme="minorBidi"/>
          <w:b/>
          <w:bCs/>
          <w:szCs w:val="24"/>
        </w:rPr>
        <w:noBreakHyphen/>
        <w:t>sized banks practicable</w:t>
      </w:r>
      <w:r w:rsidRPr="000B6BB4">
        <w:rPr>
          <w:rFonts w:eastAsia="Calibri" w:cstheme="minorBidi"/>
          <w:szCs w:val="24"/>
        </w:rPr>
        <w:t xml:space="preserve"> by authorising resolution authorities to draw, in exceptional cases and under strict conditions, on funds from deposit guarantee schemes</w:t>
      </w:r>
      <w:r>
        <w:rPr>
          <w:rFonts w:eastAsia="Calibri" w:cstheme="minorBidi"/>
          <w:szCs w:val="24"/>
        </w:rPr>
        <w:t xml:space="preserve"> (DGS)</w:t>
      </w:r>
      <w:r w:rsidRPr="000B6BB4">
        <w:rPr>
          <w:rFonts w:eastAsia="Calibri" w:cstheme="minorBidi"/>
          <w:szCs w:val="24"/>
        </w:rPr>
        <w:t xml:space="preserve"> to finance the implementation of a bank’s transfer resolution strategy if the internal loss-absorbing capacity of such bank is not sufficient to access the resolution fund. By spelling out the funding hierarchy and operational mechanics, the reform aims to </w:t>
      </w:r>
      <w:r w:rsidRPr="000B6BB4">
        <w:rPr>
          <w:rFonts w:eastAsia="Calibri" w:cstheme="minorBidi"/>
          <w:b/>
          <w:bCs/>
          <w:szCs w:val="24"/>
        </w:rPr>
        <w:t>minimise recourse to taxpayers’ money</w:t>
      </w:r>
      <w:r w:rsidRPr="000B6BB4">
        <w:rPr>
          <w:rFonts w:eastAsia="Calibri" w:cstheme="minorBidi"/>
          <w:szCs w:val="24"/>
        </w:rPr>
        <w:t xml:space="preserve"> while preserving depositor access and financial stability and upholding the resolution framework’s key principle of primary loss absorption by shareholders and creditors to protect the integrity of resolution funding arrangements.</w:t>
      </w:r>
    </w:p>
    <w:p w:rsidRPr="000B6BB4" w:rsidR="00C27D39" w:rsidP="00C27D39" w:rsidRDefault="00C27D39" w14:paraId="6A9DC592" w14:textId="77777777">
      <w:pPr>
        <w:spacing w:before="0" w:after="0"/>
        <w:ind w:left="851" w:hanging="851"/>
        <w:rPr>
          <w:rFonts w:eastAsia="Calibri" w:cstheme="minorBidi"/>
          <w:szCs w:val="24"/>
        </w:rPr>
      </w:pPr>
      <w:r w:rsidRPr="000B6BB4">
        <w:rPr>
          <w:rFonts w:eastAsia="Calibri" w:cstheme="minorBidi"/>
          <w:szCs w:val="24"/>
        </w:rPr>
        <w:t xml:space="preserve">11. </w:t>
      </w:r>
      <w:r w:rsidRPr="000B6BB4">
        <w:rPr>
          <w:rFonts w:eastAsia="Calibri" w:cstheme="minorBidi"/>
          <w:szCs w:val="24"/>
        </w:rPr>
        <w:tab/>
        <w:t xml:space="preserve">To reduce fragmentation across the Union, the reform also aims to </w:t>
      </w:r>
      <w:r w:rsidRPr="000B6BB4">
        <w:rPr>
          <w:rFonts w:eastAsia="Calibri" w:cstheme="minorBidi"/>
          <w:b/>
          <w:bCs/>
          <w:szCs w:val="24"/>
        </w:rPr>
        <w:t>harmonise the treatment of alternative and preventive measures</w:t>
      </w:r>
      <w:r w:rsidRPr="000B6BB4">
        <w:rPr>
          <w:rFonts w:eastAsia="Calibri" w:cstheme="minorBidi"/>
          <w:szCs w:val="24"/>
        </w:rPr>
        <w:t xml:space="preserve"> and strengthens cross</w:t>
      </w:r>
      <w:r w:rsidRPr="000B6BB4">
        <w:rPr>
          <w:rFonts w:eastAsia="Calibri" w:cstheme="minorBidi"/>
          <w:szCs w:val="24"/>
        </w:rPr>
        <w:noBreakHyphen/>
        <w:t xml:space="preserve">border coordination between supervisors and resolution authorities.  </w:t>
      </w:r>
    </w:p>
    <w:p w:rsidRPr="000B6BB4" w:rsidR="00C27D39" w:rsidP="00C27D39" w:rsidRDefault="00C27D39" w14:paraId="41B16248" w14:textId="77777777">
      <w:pPr>
        <w:spacing w:before="0" w:after="0"/>
        <w:jc w:val="center"/>
        <w:rPr>
          <w:rFonts w:cstheme="minorBidi"/>
          <w:lang w:val="en-US"/>
        </w:rPr>
      </w:pPr>
    </w:p>
    <w:p w:rsidRPr="000B6BB4" w:rsidR="00C27D39" w:rsidP="00C27D39" w:rsidRDefault="00C27D39" w14:paraId="4D1441BE" w14:textId="77777777">
      <w:pPr>
        <w:spacing w:before="0" w:after="160" w:line="259" w:lineRule="auto"/>
        <w:rPr>
          <w:rFonts w:cstheme="minorBidi"/>
          <w:b/>
          <w:bCs/>
          <w:lang w:val="en-US"/>
        </w:rPr>
      </w:pPr>
      <w:r w:rsidRPr="000B6BB4">
        <w:rPr>
          <w:rFonts w:cstheme="minorBidi"/>
          <w:b/>
          <w:bCs/>
          <w:lang w:val="en-US"/>
        </w:rPr>
        <w:br w:type="page"/>
      </w:r>
    </w:p>
    <w:p w:rsidRPr="000B6BB4" w:rsidR="00C27D39" w:rsidP="00C27D39" w:rsidRDefault="00C27D39" w14:paraId="1D2AEAD8" w14:textId="77777777">
      <w:pPr>
        <w:spacing w:before="0" w:after="0"/>
        <w:rPr>
          <w:rFonts w:cstheme="minorBidi"/>
          <w:lang w:val="en-US"/>
        </w:rPr>
      </w:pPr>
      <w:r w:rsidRPr="000B6BB4">
        <w:rPr>
          <w:rFonts w:cstheme="minorBidi"/>
          <w:b/>
          <w:bCs/>
          <w:lang w:val="en-US"/>
        </w:rPr>
        <w:t xml:space="preserve">III. </w:t>
      </w:r>
      <w:r>
        <w:rPr>
          <w:rFonts w:cstheme="minorBidi"/>
          <w:b/>
          <w:bCs/>
          <w:lang w:val="en-US"/>
        </w:rPr>
        <w:tab/>
      </w:r>
      <w:r w:rsidRPr="000B6BB4">
        <w:rPr>
          <w:rFonts w:cstheme="minorBidi"/>
          <w:b/>
          <w:bCs/>
          <w:lang w:val="en-US"/>
        </w:rPr>
        <w:t>ANALYSIS OF THE COUNCIL'S POSITION AT FIRST READING</w:t>
      </w:r>
    </w:p>
    <w:p w:rsidRPr="000B6BB4" w:rsidR="00C27D39" w:rsidP="00C27D39" w:rsidRDefault="00C27D39" w14:paraId="12802BA0" w14:textId="77777777">
      <w:pPr>
        <w:spacing w:before="0" w:after="0"/>
        <w:rPr>
          <w:rFonts w:cstheme="minorBidi"/>
          <w:lang w:val="en-US"/>
        </w:rPr>
      </w:pPr>
    </w:p>
    <w:p w:rsidRPr="000B6BB4" w:rsidR="00C27D39" w:rsidP="00C27D39" w:rsidRDefault="00C27D39" w14:paraId="5A1653B8" w14:textId="77777777">
      <w:pPr>
        <w:spacing w:before="0" w:after="0"/>
        <w:rPr>
          <w:rFonts w:cstheme="minorBidi"/>
          <w:lang w:val="en-US"/>
        </w:rPr>
      </w:pPr>
      <w:r w:rsidRPr="000B6BB4">
        <w:rPr>
          <w:rFonts w:cstheme="minorBidi"/>
          <w:b/>
          <w:bCs/>
          <w:lang w:val="en-US"/>
        </w:rPr>
        <w:t>Procedural context</w:t>
      </w:r>
    </w:p>
    <w:p w:rsidRPr="000B6BB4" w:rsidR="00C27D39" w:rsidP="00C27D39" w:rsidRDefault="00C27D39" w14:paraId="25969555" w14:textId="77777777">
      <w:pPr>
        <w:spacing w:before="0" w:after="0"/>
        <w:rPr>
          <w:rFonts w:cstheme="minorBidi"/>
          <w:lang w:val="en-US"/>
        </w:rPr>
      </w:pPr>
    </w:p>
    <w:p w:rsidRPr="000B6BB4" w:rsidR="00C27D39" w:rsidP="00C27D39" w:rsidRDefault="00C27D39" w14:paraId="1CEBAF67" w14:textId="77777777">
      <w:pPr>
        <w:spacing w:before="0" w:after="0"/>
        <w:ind w:left="851" w:hanging="851"/>
        <w:rPr>
          <w:rFonts w:eastAsia="Calibri" w:cstheme="minorBidi"/>
          <w:szCs w:val="24"/>
        </w:rPr>
      </w:pPr>
      <w:r w:rsidRPr="000B6BB4">
        <w:rPr>
          <w:rFonts w:eastAsia="Calibri" w:cstheme="minorBidi"/>
          <w:szCs w:val="24"/>
        </w:rPr>
        <w:t xml:space="preserve">12. </w:t>
      </w:r>
      <w:r w:rsidRPr="000B6BB4">
        <w:rPr>
          <w:rFonts w:eastAsia="Calibri" w:cstheme="minorBidi"/>
          <w:szCs w:val="24"/>
        </w:rPr>
        <w:tab/>
        <w:t xml:space="preserve">On the basis of the Commission proposal, the Parliament and the Council conducted negotiations with the aim of concluding an early-second reading agreement on the basis of the Council's first-reading position. The Council’s position fully reflects the compromise reached between the two co-legislators. </w:t>
      </w:r>
    </w:p>
    <w:p w:rsidRPr="000B6BB4" w:rsidR="00C27D39" w:rsidP="00C27D39" w:rsidRDefault="00C27D39" w14:paraId="18B4CDE0" w14:textId="77777777">
      <w:pPr>
        <w:spacing w:before="0" w:after="0"/>
        <w:jc w:val="center"/>
        <w:rPr>
          <w:rFonts w:cstheme="minorBidi"/>
          <w:lang w:val="en-US"/>
        </w:rPr>
      </w:pPr>
    </w:p>
    <w:p w:rsidRPr="000B6BB4" w:rsidR="00C27D39" w:rsidP="00C27D39" w:rsidRDefault="00C27D39" w14:paraId="6B4ABA7A" w14:textId="77777777">
      <w:pPr>
        <w:spacing w:before="0" w:after="0"/>
        <w:rPr>
          <w:rFonts w:cstheme="minorBidi"/>
          <w:b/>
          <w:bCs/>
          <w:lang w:val="en-US"/>
        </w:rPr>
      </w:pPr>
      <w:r w:rsidRPr="000B6BB4">
        <w:rPr>
          <w:rFonts w:cstheme="minorBidi"/>
          <w:b/>
          <w:bCs/>
          <w:lang w:val="en-US"/>
        </w:rPr>
        <w:t>Summary of the main issues</w:t>
      </w:r>
    </w:p>
    <w:p w:rsidRPr="000B6BB4" w:rsidR="00C27D39" w:rsidP="00C27D39" w:rsidRDefault="00C27D39" w14:paraId="2CE0CBB0" w14:textId="77777777">
      <w:pPr>
        <w:spacing w:before="0" w:after="0"/>
        <w:ind w:left="851" w:hanging="851"/>
        <w:rPr>
          <w:rFonts w:eastAsia="Calibri" w:cstheme="minorBidi"/>
          <w:b/>
          <w:bCs/>
          <w:szCs w:val="24"/>
        </w:rPr>
      </w:pPr>
    </w:p>
    <w:p w:rsidRPr="000B6BB4" w:rsidR="00C27D39" w:rsidP="00C27D39" w:rsidRDefault="00C27D39" w14:paraId="46F2F208" w14:textId="77777777">
      <w:pPr>
        <w:spacing w:before="0" w:after="0"/>
        <w:ind w:left="851" w:hanging="851"/>
        <w:rPr>
          <w:rFonts w:eastAsia="Calibri" w:cstheme="minorBidi"/>
          <w:szCs w:val="24"/>
        </w:rPr>
      </w:pPr>
      <w:r w:rsidRPr="000B6BB4">
        <w:rPr>
          <w:rFonts w:eastAsia="Calibri" w:cstheme="minorBidi"/>
          <w:szCs w:val="24"/>
        </w:rPr>
        <w:t xml:space="preserve">13. </w:t>
      </w:r>
      <w:r w:rsidRPr="000B6BB4">
        <w:rPr>
          <w:rFonts w:eastAsia="Calibri" w:cstheme="minorBidi"/>
          <w:szCs w:val="24"/>
        </w:rPr>
        <w:tab/>
        <w:t>Compared to the EP’s position, the Council's position at first reading on</w:t>
      </w:r>
      <w:r>
        <w:rPr>
          <w:rFonts w:eastAsia="Calibri" w:cstheme="minorBidi"/>
          <w:szCs w:val="24"/>
        </w:rPr>
        <w:t xml:space="preserve"> the</w:t>
      </w:r>
      <w:r w:rsidRPr="000B6BB4">
        <w:rPr>
          <w:rFonts w:eastAsia="Calibri" w:cstheme="minorBidi"/>
          <w:szCs w:val="24"/>
        </w:rPr>
        <w:t xml:space="preserve"> BRRD contains the following main elements, on which an agreement between the co-legislators has been found: </w:t>
      </w:r>
    </w:p>
    <w:p w:rsidRPr="000B6BB4" w:rsidR="00C27D39" w:rsidP="00C27D39" w:rsidRDefault="00C27D39" w14:paraId="713C079A" w14:textId="77777777">
      <w:pPr>
        <w:spacing w:before="0" w:after="0"/>
        <w:ind w:left="851" w:hanging="851"/>
        <w:rPr>
          <w:rFonts w:eastAsia="Calibri" w:cstheme="minorBidi"/>
          <w:szCs w:val="24"/>
        </w:rPr>
      </w:pPr>
      <w:r w:rsidRPr="000B6BB4">
        <w:rPr>
          <w:rFonts w:eastAsia="Calibri" w:cstheme="minorBidi"/>
          <w:szCs w:val="24"/>
        </w:rPr>
        <w:t>14.</w:t>
      </w:r>
      <w:r w:rsidRPr="000B6BB4">
        <w:rPr>
          <w:rFonts w:eastAsia="Calibri" w:cstheme="minorBidi"/>
          <w:b/>
          <w:bCs/>
          <w:szCs w:val="24"/>
        </w:rPr>
        <w:tab/>
      </w:r>
      <w:r w:rsidRPr="000B6BB4">
        <w:rPr>
          <w:rFonts w:eastAsia="Calibri" w:cstheme="minorBidi"/>
          <w:szCs w:val="24"/>
        </w:rPr>
        <w:t>The Public Interest Assessment (PIA) is tightened by requiring a demonstration showing that, if the resolution objectives were at risk, resolution better achieves its statutory objectives than liquidation before the former may be used. The Least Cost Test (LCT) is simplified by capping DGS interventions at the gross amount of covered deposits, while the existing super</w:t>
      </w:r>
      <w:r w:rsidRPr="000B6BB4">
        <w:rPr>
          <w:rFonts w:eastAsia="Calibri" w:cstheme="minorBidi"/>
          <w:szCs w:val="24"/>
        </w:rPr>
        <w:noBreakHyphen/>
        <w:t>preference of covered (insured) deposits is preserved within a three</w:t>
      </w:r>
      <w:r w:rsidRPr="000B6BB4">
        <w:rPr>
          <w:rFonts w:eastAsia="Calibri" w:cstheme="minorBidi"/>
          <w:szCs w:val="24"/>
        </w:rPr>
        <w:noBreakHyphen/>
        <w:t>tier creditor hierarchy. The Council’s position clarifies when and how industry</w:t>
      </w:r>
      <w:r w:rsidRPr="000B6BB4">
        <w:rPr>
          <w:rFonts w:eastAsia="Calibri" w:cstheme="minorBidi"/>
          <w:szCs w:val="24"/>
        </w:rPr>
        <w:noBreakHyphen/>
        <w:t>funded tools may be mobilised for resolution financing, subject to explicit sequencing and stricter safeguards and burden</w:t>
      </w:r>
      <w:r w:rsidRPr="000B6BB4">
        <w:rPr>
          <w:rFonts w:eastAsia="Calibri" w:cstheme="minorBidi"/>
          <w:szCs w:val="24"/>
        </w:rPr>
        <w:noBreakHyphen/>
        <w:t>sharing requirements. Consequently, resolution authorities retain the power to resolve banks only where the tightened PIA and simplified LCT are satisfied and resolution demonstrably outperforms liquidation, ensuring liquidation remains a viable, legally grounded option for smaller banks where appropriate. Access to funding for resolution from DGS and other industry-funded tools is therefore tightly framed and conditional so that private resources are prioritised and taxpayer exposure is limited. Overall, the Council’s approach makes resolution more operationally practicable for small and medium</w:t>
      </w:r>
      <w:r w:rsidRPr="000B6BB4">
        <w:rPr>
          <w:rFonts w:eastAsia="Calibri" w:cstheme="minorBidi"/>
          <w:szCs w:val="24"/>
        </w:rPr>
        <w:noBreakHyphen/>
        <w:t>sized banks than under the current CMDI framework while reinforcing the principle that DGS funding for resolution is exceptional, contingent on sufficient loss absorption by shareholders and creditors, and that MREL remains the cornerstone of resolvability.</w:t>
      </w:r>
    </w:p>
    <w:p w:rsidRPr="000B6BB4" w:rsidR="00C27D39" w:rsidP="00C27D39" w:rsidRDefault="00C27D39" w14:paraId="26FC91F6" w14:textId="77777777">
      <w:pPr>
        <w:spacing w:before="0" w:after="0"/>
        <w:ind w:left="851" w:hanging="851"/>
        <w:rPr>
          <w:rFonts w:cstheme="minorBidi"/>
          <w:lang w:val="en-US"/>
        </w:rPr>
      </w:pPr>
    </w:p>
    <w:p w:rsidRPr="000B6BB4" w:rsidR="00C27D39" w:rsidP="00C27D39" w:rsidRDefault="00C27D39" w14:paraId="42785D50" w14:textId="77777777">
      <w:pPr>
        <w:spacing w:before="0" w:after="160" w:line="259" w:lineRule="auto"/>
        <w:rPr>
          <w:rFonts w:cstheme="minorBidi"/>
          <w:b/>
          <w:bCs/>
          <w:lang w:val="en-US"/>
        </w:rPr>
      </w:pPr>
      <w:r w:rsidRPr="000B6BB4">
        <w:rPr>
          <w:rFonts w:cstheme="minorBidi"/>
          <w:b/>
          <w:bCs/>
          <w:lang w:val="en-US"/>
        </w:rPr>
        <w:br w:type="page"/>
      </w:r>
    </w:p>
    <w:p w:rsidRPr="00DA7A0F" w:rsidR="00C27D39" w:rsidP="00C27D39" w:rsidRDefault="00C27D39" w14:paraId="1EA0A2D3" w14:textId="77777777">
      <w:pPr>
        <w:spacing w:before="0" w:after="200" w:line="276" w:lineRule="auto"/>
        <w:rPr>
          <w:rFonts w:cstheme="minorBidi"/>
          <w:highlight w:val="yellow"/>
          <w:lang w:val="en-US"/>
        </w:rPr>
      </w:pPr>
    </w:p>
    <w:p w:rsidRPr="000B6BB4" w:rsidR="00C27D39" w:rsidP="00C27D39" w:rsidRDefault="00C27D39" w14:paraId="13934D8D" w14:textId="77777777">
      <w:pPr>
        <w:spacing w:before="0" w:after="0"/>
        <w:rPr>
          <w:rFonts w:cstheme="minorBidi"/>
          <w:b/>
          <w:bCs/>
          <w:lang w:val="en-US"/>
        </w:rPr>
      </w:pPr>
      <w:r w:rsidRPr="000B6BB4">
        <w:rPr>
          <w:rFonts w:cstheme="minorBidi"/>
          <w:b/>
          <w:bCs/>
          <w:lang w:val="en-US"/>
        </w:rPr>
        <w:t xml:space="preserve">IV. </w:t>
      </w:r>
      <w:r>
        <w:rPr>
          <w:rFonts w:cstheme="minorBidi"/>
          <w:b/>
          <w:bCs/>
          <w:lang w:val="en-US"/>
        </w:rPr>
        <w:tab/>
      </w:r>
      <w:r w:rsidRPr="000B6BB4">
        <w:rPr>
          <w:rFonts w:cstheme="minorBidi"/>
          <w:b/>
          <w:bCs/>
          <w:lang w:val="en-US"/>
        </w:rPr>
        <w:t>CONCLUSION</w:t>
      </w:r>
    </w:p>
    <w:p w:rsidRPr="000B6BB4" w:rsidR="00C27D39" w:rsidP="00C27D39" w:rsidRDefault="00C27D39" w14:paraId="1512C5FC" w14:textId="77777777">
      <w:pPr>
        <w:spacing w:before="0" w:after="0"/>
        <w:rPr>
          <w:rFonts w:cstheme="minorBidi"/>
          <w:lang w:val="en-US"/>
        </w:rPr>
      </w:pPr>
    </w:p>
    <w:p w:rsidRPr="000B6BB4" w:rsidR="00C27D39" w:rsidP="00C27D39" w:rsidRDefault="00C27D39" w14:paraId="0C420B06" w14:textId="77777777">
      <w:pPr>
        <w:spacing w:before="0" w:after="0"/>
        <w:ind w:left="851" w:hanging="851"/>
        <w:rPr>
          <w:rFonts w:eastAsia="Calibri" w:cstheme="minorBidi"/>
          <w:szCs w:val="24"/>
        </w:rPr>
      </w:pPr>
      <w:r w:rsidRPr="000B6BB4">
        <w:rPr>
          <w:rFonts w:eastAsia="Calibri" w:cstheme="minorBidi"/>
          <w:szCs w:val="24"/>
        </w:rPr>
        <w:t xml:space="preserve">15. </w:t>
      </w:r>
      <w:r w:rsidRPr="000B6BB4">
        <w:rPr>
          <w:rFonts w:eastAsia="Calibri" w:cstheme="minorBidi"/>
          <w:szCs w:val="24"/>
        </w:rPr>
        <w:tab/>
        <w:t xml:space="preserve">The Council's position underlines the main objective of the Commission proposal and fully reflects the compromise reached in the informal negotiations between the Council and the European Parliament, with the support of the Commission. </w:t>
      </w:r>
    </w:p>
    <w:p w:rsidR="007A7A4B" w:rsidRDefault="007A7A4B" w14:paraId="568BF737" w14:textId="77777777">
      <w:pPr>
        <w:pStyle w:val="FinalLine"/>
      </w:pPr>
    </w:p>
    <w:sectPr w:rsidR="007A7A4B" w:rsidSect="00C27D39">
      <w:footerReference w:type="even" r:id="R293d8662df3047cd"/>
      <w:footerReference w:type="first" r:id="R760c565a776a4d43"/>
      <w:headerReference w:type="default" r:id="Rf3c064aa079e47c8"/>
      <w:headerReference w:type="even" r:id="R00c75e65ef1a4690"/>
      <w:headerReference w:type="first" r:id="Rd6c0390762544459"/>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15445</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15445</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C27D39" w:rsidTr="00C27D39" w14:paraId="047D9FCD" w14:textId="77777777">
      <w:trPr>
        <w:jc w:val="center"/>
      </w:trPr>
      <w:tc>
        <w:tcPr>
          <w:tcW w:w="5000" w:type="pct"/>
          <w:gridSpan w:val="7"/>
          <w:shd w:val="clear" w:color="auto" w:fill="auto"/>
          <w:tcMar>
            <w:top w:w="57" w:type="dxa"/>
          </w:tcMar>
        </w:tcPr>
        <w:p w:rsidRPr="00D94637" w:rsidR="00C27D39" w:rsidP="00D94637" w:rsidRDefault="00C27D39" w14:paraId="12F2B7B0" w14:textId="77777777">
          <w:pPr>
            <w:pStyle w:val="FooterText"/>
            <w:pBdr>
              <w:top w:val="single" w:color="auto" w:sz="4" w:space="1"/>
            </w:pBdr>
            <w:spacing w:before="200"/>
            <w:rPr>
              <w:sz w:val="2"/>
              <w:szCs w:val="2"/>
            </w:rPr>
          </w:pPr>
          <w:bookmarkStart w:name="FOOTER_STANDARD" w:id="1"/>
        </w:p>
      </w:tc>
    </w:tr>
    <w:tr w:rsidRPr="00B310DC" w:rsidR="00C27D39" w:rsidTr="00C27D39" w14:paraId="0CE7476F" w14:textId="77777777">
      <w:trPr>
        <w:jc w:val="center"/>
      </w:trPr>
      <w:tc>
        <w:tcPr>
          <w:tcW w:w="2500" w:type="pct"/>
          <w:gridSpan w:val="2"/>
          <w:shd w:val="clear" w:color="auto" w:fill="auto"/>
          <w:tcMar>
            <w:top w:w="0" w:type="dxa"/>
          </w:tcMar>
        </w:tcPr>
        <w:p w:rsidRPr="00AD7BF2" w:rsidR="00C27D39" w:rsidP="004F54B2" w:rsidRDefault="00C27D39" w14:paraId="62682C2D" w14:textId="2309F693">
          <w:pPr>
            <w:pStyle w:val="FooterText"/>
          </w:pPr>
          <w:r>
            <w:t>15445/1/25</w:t>
          </w:r>
          <w:r w:rsidRPr="002511D8">
            <w:t xml:space="preserve"> </w:t>
          </w:r>
          <w:r>
            <w:t>REV 1 ADD 1</w:t>
          </w:r>
        </w:p>
      </w:tc>
      <w:tc>
        <w:tcPr>
          <w:tcW w:w="625" w:type="pct"/>
          <w:shd w:val="clear" w:color="auto" w:fill="auto"/>
          <w:tcMar>
            <w:top w:w="0" w:type="dxa"/>
          </w:tcMar>
        </w:tcPr>
        <w:p w:rsidRPr="00AD7BF2" w:rsidR="00C27D39" w:rsidP="00D94637" w:rsidRDefault="00C27D39" w14:paraId="517396BC" w14:textId="77777777">
          <w:pPr>
            <w:pStyle w:val="FooterText"/>
            <w:jc w:val="center"/>
          </w:pPr>
        </w:p>
      </w:tc>
      <w:tc>
        <w:tcPr>
          <w:tcW w:w="1286" w:type="pct"/>
          <w:gridSpan w:val="3"/>
          <w:shd w:val="clear" w:color="auto" w:fill="auto"/>
          <w:tcMar>
            <w:top w:w="0" w:type="dxa"/>
          </w:tcMar>
        </w:tcPr>
        <w:p w:rsidRPr="002511D8" w:rsidR="00C27D39" w:rsidP="00D94637" w:rsidRDefault="00C27D39" w14:paraId="5A6A82B6" w14:textId="77777777">
          <w:pPr>
            <w:pStyle w:val="FooterText"/>
            <w:jc w:val="center"/>
          </w:pPr>
        </w:p>
      </w:tc>
      <w:tc>
        <w:tcPr>
          <w:tcW w:w="589" w:type="pct"/>
          <w:shd w:val="clear" w:color="auto" w:fill="auto"/>
          <w:tcMar>
            <w:top w:w="0" w:type="dxa"/>
          </w:tcMar>
        </w:tcPr>
        <w:p w:rsidRPr="00B310DC" w:rsidR="00C27D39" w:rsidP="00D94637" w:rsidRDefault="00C27D39" w14:paraId="432566D8" w14:textId="21E3EA0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C27D39" w:rsidTr="00C27D39" w14:paraId="3DC9FBBD" w14:textId="77777777">
      <w:trPr>
        <w:jc w:val="center"/>
      </w:trPr>
      <w:tc>
        <w:tcPr>
          <w:tcW w:w="1774" w:type="pct"/>
          <w:shd w:val="clear" w:color="auto" w:fill="auto"/>
        </w:tcPr>
        <w:p w:rsidRPr="00AD7BF2" w:rsidR="00C27D39" w:rsidP="00D94637" w:rsidRDefault="00C27D39" w14:paraId="1FAC346F" w14:textId="29F54EEC">
          <w:pPr>
            <w:pStyle w:val="FooterText"/>
            <w:spacing w:before="40"/>
          </w:pPr>
        </w:p>
      </w:tc>
      <w:tc>
        <w:tcPr>
          <w:tcW w:w="1455" w:type="pct"/>
          <w:gridSpan w:val="3"/>
          <w:shd w:val="clear" w:color="auto" w:fill="auto"/>
        </w:tcPr>
        <w:p w:rsidRPr="00AD7BF2" w:rsidR="00C27D39" w:rsidP="00D204D6" w:rsidRDefault="00C27D39" w14:paraId="2C644843" w14:textId="7DFBC708">
          <w:pPr>
            <w:pStyle w:val="FooterText"/>
            <w:spacing w:before="40"/>
            <w:jc w:val="center"/>
          </w:pPr>
          <w:r>
            <w:t>GIP.INST</w:t>
          </w:r>
        </w:p>
      </w:tc>
      <w:tc>
        <w:tcPr>
          <w:tcW w:w="742" w:type="pct"/>
          <w:shd w:val="clear" w:color="auto" w:fill="auto"/>
        </w:tcPr>
        <w:p w:rsidRPr="00D94637" w:rsidR="00C27D39" w:rsidP="002F0099" w:rsidRDefault="00C27D39" w14:paraId="1E350630" w14:textId="2147FEEC">
          <w:pPr>
            <w:pStyle w:val="FooterText"/>
            <w:jc w:val="center"/>
            <w:rPr>
              <w:b/>
              <w:position w:val="-4"/>
              <w:sz w:val="36"/>
            </w:rPr>
          </w:pPr>
        </w:p>
      </w:tc>
      <w:tc>
        <w:tcPr>
          <w:tcW w:w="1029" w:type="pct"/>
          <w:gridSpan w:val="2"/>
          <w:shd w:val="clear" w:color="auto" w:fill="auto"/>
        </w:tcPr>
        <w:p w:rsidRPr="00695BAF" w:rsidR="00C27D39" w:rsidP="00D94637" w:rsidRDefault="00C27D39" w14:paraId="733B1CBA" w14:textId="37C30F30">
          <w:pPr>
            <w:pStyle w:val="FooterText"/>
            <w:jc w:val="right"/>
            <w:rPr>
              <w:caps/>
              <w:spacing w:val="-20"/>
              <w:sz w:val="16"/>
            </w:rPr>
          </w:pPr>
          <w:r>
            <w:rPr>
              <w:b/>
              <w:caps/>
              <w:spacing w:val="-20"/>
              <w:position w:val="-4"/>
              <w:sz w:val="36"/>
            </w:rPr>
            <w:t>EN</w:t>
          </w:r>
        </w:p>
      </w:tc>
    </w:tr>
    <w:bookmarkEnd w:id="1"/>
  </w:tbl>
  <w:p w:rsidRPr="00C27D39" w:rsidR="007A7A4B" w:rsidP="00C27D39" w:rsidRDefault="007A7A4B" w14:paraId="568BF74D"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15445</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15445</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C27D39" w:rsidTr="00C27D39" w14:paraId="047D9FCD" w14:textId="77777777">
      <w:trPr>
        <w:jc w:val="center"/>
      </w:trPr>
      <w:tc>
        <w:tcPr>
          <w:tcW w:w="5000" w:type="pct"/>
          <w:gridSpan w:val="7"/>
          <w:shd w:val="clear" w:color="auto" w:fill="auto"/>
          <w:tcMar>
            <w:top w:w="57" w:type="dxa"/>
          </w:tcMar>
        </w:tcPr>
        <w:p w:rsidRPr="00D94637" w:rsidR="00C27D39" w:rsidP="00D94637" w:rsidRDefault="00C27D39" w14:paraId="12F2B7B0" w14:textId="77777777">
          <w:pPr>
            <w:pStyle w:val="FooterText"/>
            <w:pBdr>
              <w:top w:val="single" w:color="auto" w:sz="4" w:space="1"/>
            </w:pBdr>
            <w:spacing w:before="200"/>
            <w:rPr>
              <w:sz w:val="2"/>
              <w:szCs w:val="2"/>
            </w:rPr>
          </w:pPr>
          <w:bookmarkStart w:name="FOOTER_STANDARD" w:id="1"/>
        </w:p>
      </w:tc>
    </w:tr>
    <w:tr w:rsidRPr="00B310DC" w:rsidR="00C27D39" w:rsidTr="00C27D39" w14:paraId="0CE7476F" w14:textId="77777777">
      <w:trPr>
        <w:jc w:val="center"/>
      </w:trPr>
      <w:tc>
        <w:tcPr>
          <w:tcW w:w="2500" w:type="pct"/>
          <w:gridSpan w:val="2"/>
          <w:shd w:val="clear" w:color="auto" w:fill="auto"/>
          <w:tcMar>
            <w:top w:w="0" w:type="dxa"/>
          </w:tcMar>
        </w:tcPr>
        <w:p w:rsidRPr="00AD7BF2" w:rsidR="00C27D39" w:rsidP="004F54B2" w:rsidRDefault="00C27D39" w14:paraId="62682C2D" w14:textId="2309F693">
          <w:pPr>
            <w:pStyle w:val="FooterText"/>
          </w:pPr>
          <w:r>
            <w:t>15445/1/25</w:t>
          </w:r>
          <w:r w:rsidRPr="002511D8">
            <w:t xml:space="preserve"> </w:t>
          </w:r>
          <w:r>
            <w:t>REV 1 ADD 1</w:t>
          </w:r>
        </w:p>
      </w:tc>
      <w:tc>
        <w:tcPr>
          <w:tcW w:w="625" w:type="pct"/>
          <w:shd w:val="clear" w:color="auto" w:fill="auto"/>
          <w:tcMar>
            <w:top w:w="0" w:type="dxa"/>
          </w:tcMar>
        </w:tcPr>
        <w:p w:rsidRPr="00AD7BF2" w:rsidR="00C27D39" w:rsidP="00D94637" w:rsidRDefault="00C27D39" w14:paraId="517396BC" w14:textId="77777777">
          <w:pPr>
            <w:pStyle w:val="FooterText"/>
            <w:jc w:val="center"/>
          </w:pPr>
        </w:p>
      </w:tc>
      <w:tc>
        <w:tcPr>
          <w:tcW w:w="1286" w:type="pct"/>
          <w:gridSpan w:val="3"/>
          <w:shd w:val="clear" w:color="auto" w:fill="auto"/>
          <w:tcMar>
            <w:top w:w="0" w:type="dxa"/>
          </w:tcMar>
        </w:tcPr>
        <w:p w:rsidRPr="002511D8" w:rsidR="00C27D39" w:rsidP="00D94637" w:rsidRDefault="00C27D39" w14:paraId="5A6A82B6" w14:textId="77777777">
          <w:pPr>
            <w:pStyle w:val="FooterText"/>
            <w:jc w:val="center"/>
          </w:pPr>
        </w:p>
      </w:tc>
      <w:tc>
        <w:tcPr>
          <w:tcW w:w="589" w:type="pct"/>
          <w:shd w:val="clear" w:color="auto" w:fill="auto"/>
          <w:tcMar>
            <w:top w:w="0" w:type="dxa"/>
          </w:tcMar>
        </w:tcPr>
        <w:p w:rsidRPr="00B310DC" w:rsidR="00C27D39" w:rsidP="00D94637" w:rsidRDefault="00C27D39" w14:paraId="432566D8" w14:textId="21E3EA0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C27D39" w:rsidTr="00C27D39" w14:paraId="3DC9FBBD" w14:textId="77777777">
      <w:trPr>
        <w:jc w:val="center"/>
      </w:trPr>
      <w:tc>
        <w:tcPr>
          <w:tcW w:w="1774" w:type="pct"/>
          <w:shd w:val="clear" w:color="auto" w:fill="auto"/>
        </w:tcPr>
        <w:p w:rsidRPr="00AD7BF2" w:rsidR="00C27D39" w:rsidP="00D94637" w:rsidRDefault="00C27D39" w14:paraId="1FAC346F" w14:textId="29F54EEC">
          <w:pPr>
            <w:pStyle w:val="FooterText"/>
            <w:spacing w:before="40"/>
          </w:pPr>
        </w:p>
      </w:tc>
      <w:tc>
        <w:tcPr>
          <w:tcW w:w="1455" w:type="pct"/>
          <w:gridSpan w:val="3"/>
          <w:shd w:val="clear" w:color="auto" w:fill="auto"/>
        </w:tcPr>
        <w:p w:rsidRPr="00AD7BF2" w:rsidR="00C27D39" w:rsidP="00D204D6" w:rsidRDefault="00C27D39" w14:paraId="2C644843" w14:textId="7DFBC708">
          <w:pPr>
            <w:pStyle w:val="FooterText"/>
            <w:spacing w:before="40"/>
            <w:jc w:val="center"/>
          </w:pPr>
          <w:r>
            <w:t>GIP.INST</w:t>
          </w:r>
        </w:p>
      </w:tc>
      <w:tc>
        <w:tcPr>
          <w:tcW w:w="742" w:type="pct"/>
          <w:shd w:val="clear" w:color="auto" w:fill="auto"/>
        </w:tcPr>
        <w:p w:rsidRPr="00D94637" w:rsidR="00C27D39" w:rsidP="002F0099" w:rsidRDefault="00C27D39" w14:paraId="1E350630" w14:textId="2147FEEC">
          <w:pPr>
            <w:pStyle w:val="FooterText"/>
            <w:jc w:val="center"/>
            <w:rPr>
              <w:b/>
              <w:position w:val="-4"/>
              <w:sz w:val="36"/>
            </w:rPr>
          </w:pPr>
        </w:p>
      </w:tc>
      <w:tc>
        <w:tcPr>
          <w:tcW w:w="1029" w:type="pct"/>
          <w:gridSpan w:val="2"/>
          <w:shd w:val="clear" w:color="auto" w:fill="auto"/>
        </w:tcPr>
        <w:p w:rsidRPr="00695BAF" w:rsidR="00C27D39" w:rsidP="00D94637" w:rsidRDefault="00C27D39" w14:paraId="733B1CBA" w14:textId="37C30F30">
          <w:pPr>
            <w:pStyle w:val="FooterText"/>
            <w:jc w:val="right"/>
            <w:rPr>
              <w:caps/>
              <w:spacing w:val="-20"/>
              <w:sz w:val="16"/>
            </w:rPr>
          </w:pPr>
          <w:r>
            <w:rPr>
              <w:b/>
              <w:caps/>
              <w:spacing w:val="-20"/>
              <w:position w:val="-4"/>
              <w:sz w:val="36"/>
            </w:rPr>
            <w:t>EN</w:t>
          </w:r>
        </w:p>
      </w:tc>
    </w:tr>
    <w:bookmarkEnd w:id="1"/>
  </w:tbl>
  <w:p w:rsidRPr="00C27D39" w:rsidR="007A7A4B" w:rsidP="00C27D39" w:rsidRDefault="007A7A4B" w14:paraId="568BF74D"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C27D39" w:rsidTr="00C27D39" w14:paraId="3EFCEB7D" w14:textId="77777777">
      <w:trPr>
        <w:jc w:val="center"/>
      </w:trPr>
      <w:tc>
        <w:tcPr>
          <w:tcW w:w="5000" w:type="pct"/>
          <w:gridSpan w:val="7"/>
          <w:shd w:val="clear" w:color="auto" w:fill="auto"/>
          <w:tcMar>
            <w:top w:w="57" w:type="dxa"/>
          </w:tcMar>
        </w:tcPr>
        <w:p w:rsidRPr="00D94637" w:rsidR="00C27D39" w:rsidP="00D94637" w:rsidRDefault="00C27D39" w14:paraId="0F655F12" w14:textId="77777777">
          <w:pPr>
            <w:pStyle w:val="FooterText"/>
            <w:pBdr>
              <w:top w:val="single" w:color="auto" w:sz="4" w:space="1"/>
            </w:pBdr>
            <w:spacing w:before="200"/>
            <w:rPr>
              <w:sz w:val="2"/>
              <w:szCs w:val="2"/>
            </w:rPr>
          </w:pPr>
        </w:p>
      </w:tc>
    </w:tr>
    <w:tr w:rsidRPr="00B310DC" w:rsidR="00C27D39" w:rsidTr="00C27D39" w14:paraId="22853D9F" w14:textId="77777777">
      <w:trPr>
        <w:jc w:val="center"/>
      </w:trPr>
      <w:tc>
        <w:tcPr>
          <w:tcW w:w="2500" w:type="pct"/>
          <w:gridSpan w:val="2"/>
          <w:shd w:val="clear" w:color="auto" w:fill="auto"/>
          <w:tcMar>
            <w:top w:w="0" w:type="dxa"/>
          </w:tcMar>
        </w:tcPr>
        <w:p w:rsidRPr="00AD7BF2" w:rsidR="00C27D39" w:rsidP="004F54B2" w:rsidRDefault="00C27D39" w14:paraId="07E2EBDC" w14:textId="73D9E6F6">
          <w:pPr>
            <w:pStyle w:val="FooterText"/>
          </w:pPr>
          <w:r>
            <w:t>15445/1/25</w:t>
          </w:r>
          <w:r w:rsidRPr="002511D8">
            <w:t xml:space="preserve"> </w:t>
          </w:r>
          <w:r>
            <w:t>REV 1 ADD 1</w:t>
          </w:r>
        </w:p>
      </w:tc>
      <w:tc>
        <w:tcPr>
          <w:tcW w:w="625" w:type="pct"/>
          <w:shd w:val="clear" w:color="auto" w:fill="auto"/>
          <w:tcMar>
            <w:top w:w="0" w:type="dxa"/>
          </w:tcMar>
        </w:tcPr>
        <w:p w:rsidRPr="00AD7BF2" w:rsidR="00C27D39" w:rsidP="00D94637" w:rsidRDefault="00C27D39" w14:paraId="277F1B68" w14:textId="77777777">
          <w:pPr>
            <w:pStyle w:val="FooterText"/>
            <w:jc w:val="center"/>
          </w:pPr>
        </w:p>
      </w:tc>
      <w:tc>
        <w:tcPr>
          <w:tcW w:w="1286" w:type="pct"/>
          <w:gridSpan w:val="3"/>
          <w:shd w:val="clear" w:color="auto" w:fill="auto"/>
          <w:tcMar>
            <w:top w:w="0" w:type="dxa"/>
          </w:tcMar>
        </w:tcPr>
        <w:p w:rsidRPr="002511D8" w:rsidR="00C27D39" w:rsidP="00D94637" w:rsidRDefault="00C27D39" w14:paraId="524B3F5E" w14:textId="77777777">
          <w:pPr>
            <w:pStyle w:val="FooterText"/>
            <w:jc w:val="center"/>
          </w:pPr>
        </w:p>
      </w:tc>
      <w:tc>
        <w:tcPr>
          <w:tcW w:w="589" w:type="pct"/>
          <w:shd w:val="clear" w:color="auto" w:fill="auto"/>
          <w:tcMar>
            <w:top w:w="0" w:type="dxa"/>
          </w:tcMar>
        </w:tcPr>
        <w:p w:rsidRPr="00B310DC" w:rsidR="00C27D39" w:rsidP="00D94637" w:rsidRDefault="00C27D39" w14:paraId="2BCAEA24" w14:textId="6D889B5D">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C27D39" w:rsidTr="00C27D39" w14:paraId="75D28C91" w14:textId="77777777">
      <w:trPr>
        <w:jc w:val="center"/>
      </w:trPr>
      <w:tc>
        <w:tcPr>
          <w:tcW w:w="1774" w:type="pct"/>
          <w:shd w:val="clear" w:color="auto" w:fill="auto"/>
        </w:tcPr>
        <w:p w:rsidRPr="00AD7BF2" w:rsidR="00C27D39" w:rsidP="00D94637" w:rsidRDefault="00C27D39" w14:paraId="6C99CEBB" w14:textId="5046AFE6">
          <w:pPr>
            <w:pStyle w:val="FooterText"/>
            <w:spacing w:before="40"/>
          </w:pPr>
        </w:p>
      </w:tc>
      <w:tc>
        <w:tcPr>
          <w:tcW w:w="1455" w:type="pct"/>
          <w:gridSpan w:val="3"/>
          <w:shd w:val="clear" w:color="auto" w:fill="auto"/>
        </w:tcPr>
        <w:p w:rsidRPr="00AD7BF2" w:rsidR="00C27D39" w:rsidP="00D204D6" w:rsidRDefault="00C27D39" w14:paraId="639CD132" w14:textId="5CC51E4C">
          <w:pPr>
            <w:pStyle w:val="FooterText"/>
            <w:spacing w:before="40"/>
            <w:jc w:val="center"/>
          </w:pPr>
          <w:r>
            <w:t>GIP.INST</w:t>
          </w:r>
        </w:p>
      </w:tc>
      <w:tc>
        <w:tcPr>
          <w:tcW w:w="742" w:type="pct"/>
          <w:shd w:val="clear" w:color="auto" w:fill="auto"/>
        </w:tcPr>
        <w:p w:rsidRPr="00D94637" w:rsidR="00C27D39" w:rsidP="002F0099" w:rsidRDefault="00C27D39" w14:paraId="12124F59" w14:textId="1D0EBDFB">
          <w:pPr>
            <w:pStyle w:val="FooterText"/>
            <w:jc w:val="center"/>
            <w:rPr>
              <w:b/>
              <w:position w:val="-4"/>
              <w:sz w:val="36"/>
            </w:rPr>
          </w:pPr>
        </w:p>
      </w:tc>
      <w:tc>
        <w:tcPr>
          <w:tcW w:w="1029" w:type="pct"/>
          <w:gridSpan w:val="2"/>
          <w:shd w:val="clear" w:color="auto" w:fill="auto"/>
        </w:tcPr>
        <w:p w:rsidRPr="00695BAF" w:rsidR="00C27D39" w:rsidP="00D94637" w:rsidRDefault="00C27D39" w14:paraId="637AB730" w14:textId="09ED8057">
          <w:pPr>
            <w:pStyle w:val="FooterText"/>
            <w:jc w:val="right"/>
            <w:rPr>
              <w:caps/>
              <w:spacing w:val="-20"/>
              <w:sz w:val="16"/>
            </w:rPr>
          </w:pPr>
          <w:r>
            <w:rPr>
              <w:b/>
              <w:caps/>
              <w:spacing w:val="-20"/>
              <w:position w:val="-4"/>
              <w:sz w:val="36"/>
            </w:rPr>
            <w:t>EN</w:t>
          </w:r>
        </w:p>
      </w:tc>
    </w:tr>
  </w:tbl>
  <w:p w:rsidRPr="00C27D39" w:rsidR="007A7A4B" w:rsidP="00C27D39" w:rsidRDefault="007A7A4B" w14:paraId="568BF75B"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568BF73A" w14:textId="77777777">
      <w:r>
        <w:separator/>
      </w:r>
    </w:p>
  </w:footnote>
  <w:footnote w:type="continuationSeparator" w:id="0">
    <w:p w:rsidR="00144FF1" w:rsidP="00A43C50" w:rsidRDefault="00144FF1" w14:paraId="568BF73B" w14:textId="77777777">
      <w:r>
        <w:continuationSeparator/>
      </w:r>
    </w:p>
  </w:footnote>
  <w:footnote w:id="2">
    <w:p w:rsidR="00C27D39" w:rsidP="00C27D39" w:rsidRDefault="00C27D39" w14:paraId="0B13D337" w14:textId="77777777">
      <w:pPr>
        <w:pStyle w:val="FootnoteText"/>
      </w:pPr>
      <w:r>
        <w:rPr>
          <w:rStyle w:val="FootnoteReference"/>
        </w:rPr>
        <w:footnoteRef/>
      </w:r>
      <w:r>
        <w:rPr>
          <w:rStyle w:val="FootnoteReference"/>
        </w:rPr>
        <w:t xml:space="preserve"> </w:t>
      </w:r>
      <w:r>
        <w:rPr>
          <w:bCs/>
          <w:sz w:val="16"/>
          <w:szCs w:val="16"/>
        </w:rPr>
        <w:t>ST 11577 2023 INIT</w:t>
      </w:r>
    </w:p>
  </w:footnote>
  <w:footnote w:id="3">
    <w:p w:rsidR="00C27D39" w:rsidP="00C27D39" w:rsidRDefault="00C27D39" w14:paraId="129A9BD5" w14:textId="77777777">
      <w:pPr>
        <w:pStyle w:val="FootnoteText"/>
        <w:rPr>
          <w:b/>
          <w:bCs/>
        </w:rPr>
      </w:pPr>
      <w:r w:rsidRPr="005C079A">
        <w:rPr>
          <w:rStyle w:val="FootnoteReference"/>
          <w:bCs/>
        </w:rPr>
        <w:footnoteRef/>
      </w:r>
      <w:r w:rsidRPr="005C079A">
        <w:rPr>
          <w:b/>
          <w:bCs/>
          <w:sz w:val="16"/>
          <w:szCs w:val="16"/>
        </w:rPr>
        <w:t xml:space="preserve"> </w:t>
      </w:r>
      <w:r>
        <w:rPr>
          <w:b/>
          <w:bCs/>
          <w:sz w:val="16"/>
          <w:szCs w:val="16"/>
        </w:rPr>
        <w:t>ST 15142 2025 INIT</w:t>
      </w:r>
    </w:p>
  </w:footnote>
  <w:footnote w:id="4">
    <w:p w:rsidRPr="001F45D1" w:rsidR="00C27D39" w:rsidP="00C27D39" w:rsidRDefault="00C27D39" w14:paraId="5058EC5B" w14:textId="77777777">
      <w:pPr>
        <w:pStyle w:val="FootnoteText"/>
      </w:pPr>
      <w:r>
        <w:rPr>
          <w:rStyle w:val="FootnoteReference"/>
        </w:rPr>
        <w:footnoteRef/>
      </w:r>
      <w:r>
        <w:t xml:space="preserve"> </w:t>
      </w:r>
      <w:r w:rsidRPr="001F45D1">
        <w:t>ST 1</w:t>
      </w:r>
      <w:r>
        <w:t>5146 2025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27D39" w:rsidR="007A7A4B" w:rsidP="00C27D39" w:rsidRDefault="00C27D39" w14:paraId="568BF73F" w14:textId="70D5B4EE">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27D39" w:rsidR="007A7A4B" w:rsidP="00C27D39" w:rsidRDefault="00C27D39" w14:paraId="568BF73F" w14:textId="70D5B4EE">
    <w:pPr>
      <w:pStyle w:val="HeaderCouncilLarge"/>
    </w:pPr>
    <w:r>
      <w:t> </w:t>
    </w:r>
  </w:p>
</w:hdr>
</file>

<file path=word/header9.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27D39" w:rsidR="007A7A4B" w:rsidP="00C27D39" w:rsidRDefault="00C27D39" w14:paraId="568BF74E" w14:textId="20526E37">
    <w:pPr>
      <w:pStyle w:val="HeaderCouncil"/>
    </w:pPr>
    <w:r>
      <w:rPr>
        <w:noProof/>
      </w:rPr>
      <w:drawing>
        <wp:anchor distT="0" distB="0" distL="114300" distR="114300" simplePos="0" relativeHeight="251658240" behindDoc="0" locked="0" layoutInCell="1" allowOverlap="1" wp14:editId="4A646DC9" wp14:anchorId="155AE942">
          <wp:simplePos x="0" y="0"/>
          <wp:positionH relativeFrom="column">
            <wp:align>center</wp:align>
          </wp:positionH>
          <wp:positionV relativeFrom="page">
            <wp:posOffset>9899650</wp:posOffset>
          </wp:positionV>
          <wp:extent cx="6120000" cy="684000"/>
          <wp:effectExtent l="0" t="0" r="0" b="0"/>
          <wp:wrapNone/>
          <wp:docPr id="2" name="DW_WATERMARK_bc28cdca-dac1-4d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4276" name="DW_WATERMARK_bc28cdca-dac1-4da9-"/>
                  <pic:cNvPicPr/>
                </pic:nvPicPr>
                <pic:blipFill>
                  <a:blip r:embed="R93fff3faa8364472">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t> </w:t>
    </w: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p16="http://schemas.microsoft.com/office/word/2012/wordml" w:abstractNumId="20" p16:restartNumberingAfterBreak="0">
    <w:nsid w:val="4FE70A6C"/>
    <w:multiLevelType w:val="hybridMultilevel"/>
    <w:tmpl w:val="CA083960"/>
    <w:lvl w:ilvl="0" w:tplc="3558E496">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xmlns:p16="http://schemas.microsoft.com/office/word/2012/wordml" w:abstractNumId="21" p16:restartNumberingAfterBreak="0">
    <w:nsid w:val="1B8025B2"/>
    <w:multiLevelType w:val="hybridMultilevel"/>
    <w:tmpl w:val="B352C64E"/>
    <w:lvl w:ilvl="0" w:tplc="D932D840">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xmlns:p16="http://schemas.microsoft.com/office/word/2012/wordml" w:abstractNumId="22" p16:restartNumberingAfterBreak="0">
    <w:nsid w:val="74B34E35"/>
    <w:multiLevelType w:val="hybridMultilevel"/>
    <w:tmpl w:val="18B8A564"/>
    <w:lvl w:ilvl="0" w:tplc="080C0001">
      <w:start w:val="1"/>
      <w:numFmt w:val="bullet"/>
      <w:lvlText w:val=""/>
      <w:lvlJc w:val="left"/>
      <w:pPr>
        <w:ind w:left="1935" w:hanging="360"/>
      </w:pPr>
      <w:rPr>
        <w:rFonts w:hint="default" w:ascii="Symbol" w:hAnsi="Symbol"/>
      </w:rPr>
    </w:lvl>
    <w:lvl w:ilvl="1" w:tplc="080C0003" w:tentative="1">
      <w:start w:val="1"/>
      <w:numFmt w:val="bullet"/>
      <w:lvlText w:val="o"/>
      <w:lvlJc w:val="left"/>
      <w:pPr>
        <w:ind w:left="2655" w:hanging="360"/>
      </w:pPr>
      <w:rPr>
        <w:rFonts w:hint="default" w:ascii="Courier New" w:hAnsi="Courier New" w:cs="Courier New"/>
      </w:rPr>
    </w:lvl>
    <w:lvl w:ilvl="2" w:tplc="080C0005" w:tentative="1">
      <w:start w:val="1"/>
      <w:numFmt w:val="bullet"/>
      <w:lvlText w:val=""/>
      <w:lvlJc w:val="left"/>
      <w:pPr>
        <w:ind w:left="3375" w:hanging="360"/>
      </w:pPr>
      <w:rPr>
        <w:rFonts w:hint="default" w:ascii="Wingdings" w:hAnsi="Wingdings"/>
      </w:rPr>
    </w:lvl>
    <w:lvl w:ilvl="3" w:tplc="080C0001" w:tentative="1">
      <w:start w:val="1"/>
      <w:numFmt w:val="bullet"/>
      <w:lvlText w:val=""/>
      <w:lvlJc w:val="left"/>
      <w:pPr>
        <w:ind w:left="4095" w:hanging="360"/>
      </w:pPr>
      <w:rPr>
        <w:rFonts w:hint="default" w:ascii="Symbol" w:hAnsi="Symbol"/>
      </w:rPr>
    </w:lvl>
    <w:lvl w:ilvl="4" w:tplc="080C0003" w:tentative="1">
      <w:start w:val="1"/>
      <w:numFmt w:val="bullet"/>
      <w:lvlText w:val="o"/>
      <w:lvlJc w:val="left"/>
      <w:pPr>
        <w:ind w:left="4815" w:hanging="360"/>
      </w:pPr>
      <w:rPr>
        <w:rFonts w:hint="default" w:ascii="Courier New" w:hAnsi="Courier New" w:cs="Courier New"/>
      </w:rPr>
    </w:lvl>
    <w:lvl w:ilvl="5" w:tplc="080C0005" w:tentative="1">
      <w:start w:val="1"/>
      <w:numFmt w:val="bullet"/>
      <w:lvlText w:val=""/>
      <w:lvlJc w:val="left"/>
      <w:pPr>
        <w:ind w:left="5535" w:hanging="360"/>
      </w:pPr>
      <w:rPr>
        <w:rFonts w:hint="default" w:ascii="Wingdings" w:hAnsi="Wingdings"/>
      </w:rPr>
    </w:lvl>
    <w:lvl w:ilvl="6" w:tplc="080C0001" w:tentative="1">
      <w:start w:val="1"/>
      <w:numFmt w:val="bullet"/>
      <w:lvlText w:val=""/>
      <w:lvlJc w:val="left"/>
      <w:pPr>
        <w:ind w:left="6255" w:hanging="360"/>
      </w:pPr>
      <w:rPr>
        <w:rFonts w:hint="default" w:ascii="Symbol" w:hAnsi="Symbol"/>
      </w:rPr>
    </w:lvl>
    <w:lvl w:ilvl="7" w:tplc="080C0003" w:tentative="1">
      <w:start w:val="1"/>
      <w:numFmt w:val="bullet"/>
      <w:lvlText w:val="o"/>
      <w:lvlJc w:val="left"/>
      <w:pPr>
        <w:ind w:left="6975" w:hanging="360"/>
      </w:pPr>
      <w:rPr>
        <w:rFonts w:hint="default" w:ascii="Courier New" w:hAnsi="Courier New" w:cs="Courier New"/>
      </w:rPr>
    </w:lvl>
    <w:lvl w:ilvl="8" w:tplc="080C0005" w:tentative="1">
      <w:start w:val="1"/>
      <w:numFmt w:val="bullet"/>
      <w:lvlText w:val=""/>
      <w:lvlJc w:val="left"/>
      <w:pPr>
        <w:ind w:left="7695" w:hanging="360"/>
      </w:pPr>
      <w:rPr>
        <w:rFonts w:hint="default" w:ascii="Wingdings" w:hAnsi="Wingdings"/>
      </w:r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p16="http://schemas.microsoft.com/office/word/2016/wordml/cid" w:numId="21">
    <w:abstractNumId w:val="20"/>
  </w:num>
  <w:num xmlns:p16="http://schemas.microsoft.com/office/word/2016/wordml/cid"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3-05&lt;/text&gt;&#13;&#10;  &lt;/metadata&gt;&#13;&#10;  &lt;metadata key=&quot;md_Prefix&quot;&gt;&#13;&#10;    &lt;text&gt;&lt;/text&gt;&#13;&#10;  &lt;/metadata&gt;&#13;&#10;  &lt;metadata key=&quot;md_DocumentNumber&quot;&gt;&#13;&#10;    &lt;text&gt;15445&lt;/text&gt;&#13;&#10;  &lt;/metadata&gt;&#13;&#10;  &lt;metadata key=&quot;md_YearDocumentNumber&quot;&gt;&#13;&#10;    &lt;text&gt;2025&lt;/text&gt;&#13;&#10;  &lt;/metadata&gt;&#13;&#10;  &lt;metadata key=&quot;md_Suffixes&quot;&gt;&#13;&#10;    &lt;text&gt;REV 1 ADD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EF 371&lt;/text&gt;&#13;&#10;      &lt;text&gt;ECOFIN 1519&lt;/text&gt;&#13;&#10;      &lt;text&gt;CODEC 1820&lt;/text&gt;&#13;&#10;    &lt;/textlist&gt;&#13;&#10;  &lt;/metadata&gt;&#13;&#10;  &lt;metadata key=&quot;md_ThirdPartyDistributionMarkers&quot;&gt;&#13;&#10;    &lt;textlist&gt;&#13;&#10;      &lt;text&gt;ECB&lt;/tex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3/0112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a DIRECTIVE OF THE EUROPEAN PARLIAMENT AND OF THE COUNCIL amending Directive 2014/59/EU as regards early intervention measures, conditions for resolution and funding of resolution action and Directive 2014/24/EU as regards valuation services in resolution - Statement of the Council's reasons - Adopted by the Council on 5 March 2026&quot;&gt;&amp;lt;FlowDocument xmlns=&quot;http://schemas.microsoft.com/winfx/2006/xaml/presentation&quot;&amp;gt;&amp;lt;Paragraph&amp;gt;Position of the Council at first reading with a view to the adoption of a DIRECTIVE OF THE EUROPEAN PARLIAMENT AND OF THE COUNCIL amending Directive 2014/59/EU as regards early intervention measures, conditions for resolution and funding of resolution action and Directive 2014/24/EU as regards valuation services in resolution&amp;lt;/Paragraph&amp;gt;&amp;lt;Paragraph&amp;gt;- Statement of the Council's reasons&amp;lt;/Paragraph&amp;gt;&amp;lt;Paragraph&amp;gt;- Adopted by the Council on 5 March 2026&amp;lt;/Paragraph&amp;gt;&amp;lt;/FlowDocument&amp;gt;&lt;/xaml&gt;&#13;&#10;  &lt;/metadata&gt;&#13;&#10;  &lt;metadata key=&quot;md_SubjectFootnote&quot;&gt;&#13;&#10;    &lt;text&gt;&lt;/text&gt;&#13;&#10;  &lt;/metadata&gt;&#13;&#10;  &lt;metadata key=&quot;md_DG&quot;&gt;&#13;&#10;    &lt;text&gt;GIP.INST&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 w:name="DW_TechnicalBlockHash" w:val="145f6f36ad45e7d94a8e217298326522c4b36199fbf99578c9aec57c9fd65734"/>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lang/>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lang/>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lang/>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lang/>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lang/>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lang/>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lang/>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lang/>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lang/>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C27D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C27D39"/>
    <w:rPr>
      <w:rFonts w:ascii="Arial New Roman" w:hAnsi="Arial New Roman" w:eastAsia="Times New Roman" w:cs="Arial"/>
      <w:b/>
      <w:i/>
      <w:dstrike/>
      <w:color w:val="606060"/>
      <w:w w:val="98"/>
      <w:sz w:val="10"/>
      <w:szCs w:val="20"/>
      <w:u w:val="words" w:color="606060"/>
      <w:lang w:val="en-GB" w:eastAsia="fr-BE"/>
    </w:rPr>
  </w:style>
  <w:style w:type="paragraph" w:styleId="TBEntRefer" w:customStyle="1">
    <w:name w:val="TBEntRefer"/>
    <w:basedOn w:val="TechnicalBlockBase"/>
    <w:link w:val="EntReferChar"/>
    <w:rsid w:val="00C27D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sz w:val="23"/>
      <w:szCs w:val="20"/>
      <w:u w:color="606060"/>
      <w:lang w:val="en-GB" w:eastAsia="fr-BE"/>
    </w:rPr>
  </w:style>
  <w:style w:type="paragraph" w:styleId="TBDistrbMarkers" w:customStyle="1">
    <w:name w:val="TBDistrbMarkers"/>
    <w:basedOn w:val="TBEntRefer"/>
    <w:qFormat/>
    <w:rsid w:val="00C27D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C27D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C27D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C27D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C27D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C27D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C27D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C27D39"/>
    <w:rPr>
      <w:rFonts w:ascii="Arial" w:hAnsi="Arial" w:eastAsia="Times New Roman" w:cs="Arial"/>
      <w:b/>
      <w:sz w:val="23"/>
      <w:szCs w:val="20"/>
      <w:u w:color="606060"/>
      <w:lang w:val="en-GB" w:eastAsia="fr-BE"/>
    </w:rPr>
  </w:style>
  <w:style w:type="paragraph" w:styleId="TBSubjectTable" w:customStyle="1">
    <w:name w:val="TBSubjectTable"/>
    <w:basedOn w:val="TechnicalBlockBase"/>
    <w:rsid w:val="00C27D39"/>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C27D39"/>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C27D39"/>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C27D39"/>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C27D39"/>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aliases w:val="Schriftart: 9 pt,Schriftart: 10 pt,Schriftart: 8 pt,WB-Fußnotentext,Reference,Fußnote,fn,Footnote Text Char2,Footnote Text Char Char1,Footnote Text Char1 Char Char,Footnote Text Char Char Char Char, Char Char Char Char Char,Ch,Char"/>
    <w:basedOn w:val="Normal"/>
    <w:link w:val="FootnoteTextChar"/>
    <w:uiPriority w:val="99"/>
    <w:unhideWhenUsed/>
    <w:qFormat/>
    <w:rsid w:val="009C6417"/>
    <w:pPr>
      <w:spacing w:before="0" w:after="0" w:line="240" w:lineRule="auto"/>
      <w:ind w:left="720" w:hanging="720"/>
    </w:pPr>
    <w:rPr>
      <w:szCs w:val="20"/>
    </w:rPr>
  </w:style>
  <w:style w:type="character" w:styleId="FootnoteTextChar" w:customStyle="1">
    <w:name w:val="Footnote Text Char"/>
    <w:aliases w:val="Schriftart: 9 pt Char,Schriftart: 10 pt Char,Schriftart: 8 pt Char,WB-Fußnotentext Char,Reference Char,Fußnote Char,fn Char,Footnote Text Char2 Char,Footnote Text Char Char1 Char,Footnote Text Char1 Char Char Char,Ch Char,Char Char"/>
    <w:basedOn w:val="DefaultParagraphFont"/>
    <w:link w:val="FootnoteText"/>
    <w:uiPriority w:val="99"/>
    <w:qFormat/>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C27D39"/>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C27D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975d73f62b174454" Type="http://schemas.openxmlformats.org/officeDocument/2006/relationships/header" Target="/word/header2.xml"/><Relationship Id="Rda2e4a7174344904" Type="http://schemas.openxmlformats.org/officeDocument/2006/relationships/footer" Target="/word/footer1.xml"/><Relationship Id="Rf7e9f2a33fc14aee" Type="http://schemas.openxmlformats.org/officeDocument/2006/relationships/footer" Target="/word/footer6.xml"/><Relationship Id="Ra674fb528a7d447f" Type="http://schemas.openxmlformats.org/officeDocument/2006/relationships/endnotes" Target="/word/endnotes.xml"/><Relationship Id="R71bdf99b415a4d61" Type="http://schemas.openxmlformats.org/officeDocument/2006/relationships/header" Target="/word/header5.xml"/><Relationship Id="Rfb350a2090c8490a" Type="http://schemas.openxmlformats.org/officeDocument/2006/relationships/footer" Target="/word/footer4.xml"/><Relationship Id="R00c75e65ef1a4690" Type="http://schemas.openxmlformats.org/officeDocument/2006/relationships/header" Target="/word/header8.xml"/><Relationship Id="rId3" Type="http://schemas.openxmlformats.org/officeDocument/2006/relationships/customXml" Target="../customXml/item3.xml"/><Relationship Id="R59b56124d3c2449e" Type="http://schemas.openxmlformats.org/officeDocument/2006/relationships/numbering" Target="/word/numbering.xml"/><Relationship Id="R9dba5772ba564ec3" Type="http://schemas.openxmlformats.org/officeDocument/2006/relationships/header" Target="/word/header3.xml"/><Relationship Id="R549172d791fa4289" Type="http://schemas.openxmlformats.org/officeDocument/2006/relationships/settings" Target="/word/settings.xml"/><Relationship Id="R2f9ac7c23ccc423c" Type="http://schemas.openxmlformats.org/officeDocument/2006/relationships/footer" Target="/word/footer2.xml"/><Relationship Id="rId2" Type="http://schemas.openxmlformats.org/officeDocument/2006/relationships/customXml" Target="../customXml/item2.xml"/><Relationship Id="Rade29584ab26446a" Type="http://schemas.openxmlformats.org/officeDocument/2006/relationships/footnotes" Target="/word/footnotes.xml"/><Relationship Id="R75ec1c3b606c47f9" Type="http://schemas.openxmlformats.org/officeDocument/2006/relationships/fontTable" Target="/word/fontTable.xml"/><Relationship Id="R6be1f71c8e734b49" Type="http://schemas.openxmlformats.org/officeDocument/2006/relationships/header" Target="/word/header1.xml"/><Relationship Id="R0575b20f38e549be" Type="http://schemas.openxmlformats.org/officeDocument/2006/relationships/header" Target="/word/header4.xml"/><Relationship Id="Re5a41e5e0b3c411e" Type="http://schemas.openxmlformats.org/officeDocument/2006/relationships/footer" Target="/word/footer5.xml"/><Relationship Id="R760c565a776a4d43" Type="http://schemas.openxmlformats.org/officeDocument/2006/relationships/footer" Target="/word/footer9.xml"/><Relationship Id="rId1" Type="http://schemas.openxmlformats.org/officeDocument/2006/relationships/customXml" Target="../customXml/item1.xml"/><Relationship Id="Rc4de52ca78804545" Type="http://schemas.openxmlformats.org/officeDocument/2006/relationships/image" Target="/media/image.bin"/><Relationship Id="R610d4a577c8d4322" Type="http://schemas.openxmlformats.org/officeDocument/2006/relationships/header" Target="/word/header6.xml"/><Relationship Id="R5352f207248c4da2" Type="http://schemas.openxmlformats.org/officeDocument/2006/relationships/glossaryDocument" Target="/word/glossary/document.xml"/><Relationship Id="R1b54d43e8fe049e7" Type="http://schemas.openxmlformats.org/officeDocument/2006/relationships/styles" Target="/word/styles.xml"/><Relationship Id="Rf3c064aa079e47c8" Type="http://schemas.openxmlformats.org/officeDocument/2006/relationships/header" Target="/word/header7.xml"/><Relationship Id="Rd6c0390762544459" Type="http://schemas.openxmlformats.org/officeDocument/2006/relationships/header" Target="/word/header9.xml"/><Relationship Id="R293d8662df3047cd" Type="http://schemas.openxmlformats.org/officeDocument/2006/relationships/footer" Target="/word/footer8.xml"/><Relationship Id="Ref2d8247ae384653" Type="http://schemas.openxmlformats.org/officeDocument/2006/relationships/webSettings" Target="/word/webSettings.xml"/><Relationship Id="R898f40db49bd42b3" Type="http://schemas.openxmlformats.org/officeDocument/2006/relationships/theme" Target="/word/theme/theme1.xml"/><Relationship Id="Re4151eddde1d488e" Type="http://schemas.openxmlformats.org/officeDocument/2006/relationships/footer" Target="/word/footer3.xml"/></Relationships>
</file>

<file path=word/_rels/header9.xml.rels>&#65279;<?xml version="1.0" encoding="utf-8"?><Relationships xmlns="http://schemas.openxmlformats.org/package/2006/relationships"><Relationship Type="http://schemas.openxmlformats.org/officeDocument/2006/relationships/image" Target="/media/image2.bin" Id="R93fff3faa8364472" /></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dc7e4e8689454270" /><Relationship Type="http://schemas.openxmlformats.org/officeDocument/2006/relationships/fontTable" Target="/word/glossary/fontTable2.xml" Id="Rd3f9ffd527fc48dd" /><Relationship Type="http://schemas.openxmlformats.org/officeDocument/2006/relationships/settings" Target="/word/glossary/settings2.xml" Id="Rb6adbd50efa8462d" /><Relationship Type="http://schemas.openxmlformats.org/officeDocument/2006/relationships/webSettings" Target="/word/glossary/webSettings2.xml" Id="Rccf512d87cc94ad9"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C1D285-083C-4FB4-B050-85CDF6414A7D}"/>
</file>

<file path=customXml/itemProps2.xml><?xml version="1.0" encoding="utf-8"?>
<ds:datastoreItem xmlns:ds="http://schemas.openxmlformats.org/officeDocument/2006/customXml" ds:itemID="{0A02371E-1B37-4B11-BD59-8C3CC4B43570}"/>
</file>

<file path=customXml/itemProps3.xml><?xml version="1.0" encoding="utf-8"?>
<ds:datastoreItem xmlns:ds="http://schemas.openxmlformats.org/officeDocument/2006/customXml" ds:itemID="{6CBB6872-D135-42EA-8F60-2D7A01BB3B64}"/>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Konstantinos%20CHANTZARAS</dc:creator>
  <cp:keywords/>
  <dc:description/>
  <cp:lastModifiedBy>Christian%20ANASTASIA</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2026-03-05T13:42:35Z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