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1840583583"/>
        <w:lock w:val="contentLocked"/>
      </w:sdtPr>
      <w:sdtEndPr>
        <w:rPr>
          <w:rFonts w:ascii="Times New Roman" w:eastAsiaTheme="minorHAnsi" w:hAnsi="Times New Roman" w:cs="Times New Roman"/>
          <w:sz w:val="24"/>
          <w:szCs w:val="22"/>
          <w:lang w:eastAsia="ro-RO" w:bidi="ro-RO"/>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750180" w:rsidRPr="005F5A6B" w14:paraId="1710F8AF" w14:textId="77777777" w:rsidTr="00EE7DE6">
            <w:trPr>
              <w:cantSplit/>
              <w:trHeight w:val="510"/>
              <w:jc w:val="center"/>
            </w:trPr>
            <w:tc>
              <w:tcPr>
                <w:tcW w:w="11344" w:type="dxa"/>
                <w:gridSpan w:val="6"/>
                <w:vAlign w:val="bottom"/>
              </w:tcPr>
              <w:p w14:paraId="389068CB" w14:textId="510C6224" w:rsidR="00750180" w:rsidRPr="005F5A6B" w:rsidRDefault="00750180" w:rsidP="00EE7DE6">
                <w:pPr>
                  <w:pStyle w:val="TBNormalTechnicalBlock"/>
                  <w:jc w:val="right"/>
                  <w:rPr>
                    <w:b w:val="0"/>
                    <w:bCs/>
                  </w:rPr>
                </w:pPr>
              </w:p>
            </w:tc>
          </w:tr>
          <w:tr w:rsidR="00750180" w:rsidRPr="006720F9" w14:paraId="3E9646F6" w14:textId="77777777" w:rsidTr="00296074">
            <w:trPr>
              <w:cantSplit/>
              <w:trHeight w:val="567"/>
              <w:jc w:val="center"/>
            </w:trPr>
            <w:tc>
              <w:tcPr>
                <w:tcW w:w="1820" w:type="dxa"/>
                <w:gridSpan w:val="2"/>
                <w:vAlign w:val="bottom"/>
              </w:tcPr>
              <w:p w14:paraId="01210940" w14:textId="77777777" w:rsidR="00750180" w:rsidRPr="006C5D93" w:rsidRDefault="00750180" w:rsidP="003C6CD1">
                <w:pPr>
                  <w:pStyle w:val="TBEntInstit"/>
                </w:pPr>
                <w:r w:rsidRPr="006C5D93">
                  <w:rPr>
                    <w:noProof/>
                  </w:rPr>
                  <w:drawing>
                    <wp:inline distT="0" distB="0" distL="0" distR="0" wp14:anchorId="7C1508C1" wp14:editId="4DFDDA02">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6B6C8E26" w14:textId="77777777" w:rsidR="00750180" w:rsidRPr="008414C3" w:rsidRDefault="00750180" w:rsidP="005125B1">
                <w:pPr>
                  <w:pStyle w:val="TBInstitution"/>
                </w:pPr>
                <w:r>
                  <w:t>Consiliul</w:t>
                </w:r>
                <w:r>
                  <w:br/>
                  <w:t>Uniunii Europene</w:t>
                </w:r>
              </w:p>
            </w:tc>
          </w:tr>
          <w:tr w:rsidR="00750180" w:rsidRPr="006720F9" w14:paraId="4B9271FF" w14:textId="77777777" w:rsidTr="00D5364D">
            <w:trPr>
              <w:gridBefore w:val="2"/>
              <w:wBefore w:w="1820" w:type="dxa"/>
              <w:cantSplit/>
              <w:trHeight w:val="1191"/>
              <w:jc w:val="center"/>
            </w:trPr>
            <w:tc>
              <w:tcPr>
                <w:tcW w:w="4558" w:type="dxa"/>
                <w:gridSpan w:val="2"/>
                <w:tcMar>
                  <w:top w:w="28" w:type="dxa"/>
                  <w:left w:w="85" w:type="dxa"/>
                </w:tcMar>
              </w:tcPr>
              <w:p w14:paraId="262D13D3" w14:textId="77777777" w:rsidR="00750180" w:rsidRPr="00327887" w:rsidRDefault="00750180" w:rsidP="00762DBC">
                <w:pPr>
                  <w:pStyle w:val="TBInstitutionSubwordmark"/>
                </w:pPr>
              </w:p>
            </w:tc>
            <w:tc>
              <w:tcPr>
                <w:tcW w:w="147" w:type="dxa"/>
                <w:vAlign w:val="bottom"/>
              </w:tcPr>
              <w:p w14:paraId="2A5E51EE" w14:textId="77777777" w:rsidR="00750180" w:rsidRPr="00093255" w:rsidRDefault="00750180" w:rsidP="00D5364D">
                <w:pPr>
                  <w:pStyle w:val="TBNormalTechnicalBlock"/>
                  <w:jc w:val="right"/>
                  <w:rPr>
                    <w:b w:val="0"/>
                    <w:bCs/>
                  </w:rPr>
                </w:pPr>
              </w:p>
            </w:tc>
            <w:tc>
              <w:tcPr>
                <w:tcW w:w="4819" w:type="dxa"/>
                <w:vMerge w:val="restart"/>
                <w:tcMar>
                  <w:top w:w="0" w:type="dxa"/>
                </w:tcMar>
              </w:tcPr>
              <w:p w14:paraId="7F79EDDA" w14:textId="77777777" w:rsidR="00750180" w:rsidRPr="0012121B" w:rsidRDefault="00750180" w:rsidP="001A5B8F">
                <w:pPr>
                  <w:pStyle w:val="TBNormalTechnicalBlock"/>
                </w:pPr>
                <w:r>
                  <w:t>Bruxelles, 5 martie 2026</w:t>
                </w:r>
              </w:p>
              <w:p w14:paraId="03A6AE99" w14:textId="77777777" w:rsidR="00750180" w:rsidRPr="00871A20" w:rsidRDefault="00750180" w:rsidP="009024D2">
                <w:pPr>
                  <w:pStyle w:val="TBNormalTechnicalBlock"/>
                  <w:rPr>
                    <w:bCs/>
                  </w:rPr>
                </w:pPr>
                <w:r w:rsidRPr="00E60683">
                  <w:rPr>
                    <w:bCs/>
                  </w:rPr>
                  <w:t xml:space="preserve">(OR. </w:t>
                </w:r>
                <w:r>
                  <w:rPr>
                    <w:bCs/>
                  </w:rPr>
                  <w:t>en</w:t>
                </w:r>
                <w:r w:rsidRPr="00871A20">
                  <w:rPr>
                    <w:bCs/>
                  </w:rPr>
                  <w:t>)</w:t>
                </w:r>
              </w:p>
              <w:p w14:paraId="2C84D45D" w14:textId="77777777" w:rsidR="00750180" w:rsidRPr="00871A20" w:rsidRDefault="00750180" w:rsidP="00871A20">
                <w:pPr>
                  <w:pStyle w:val="TBNormalTechnicalBlock"/>
                  <w:jc w:val="right"/>
                </w:pPr>
              </w:p>
              <w:p w14:paraId="7ED3B0C6" w14:textId="77777777" w:rsidR="00750180" w:rsidRPr="00871A20" w:rsidRDefault="00750180" w:rsidP="00871A20">
                <w:pPr>
                  <w:pStyle w:val="TBNormalTechnicalBlock"/>
                  <w:jc w:val="right"/>
                </w:pPr>
              </w:p>
              <w:p w14:paraId="1A319697" w14:textId="77777777" w:rsidR="00750180" w:rsidRPr="00F65A71" w:rsidRDefault="00750180" w:rsidP="009024D2">
                <w:pPr>
                  <w:pStyle w:val="TBNormalTechnicalBlock"/>
                  <w:rPr>
                    <w:bCs/>
                    <w:lang w:val="en-US"/>
                  </w:rPr>
                </w:pPr>
                <w:r>
                  <w:rPr>
                    <w:bCs/>
                    <w:lang w:val="en-US"/>
                  </w:rPr>
                  <w:t>15445/1</w:t>
                </w:r>
                <w:r w:rsidRPr="00F65A71">
                  <w:rPr>
                    <w:bCs/>
                    <w:lang w:val="en-US"/>
                  </w:rPr>
                  <w:t>/</w:t>
                </w:r>
                <w:r>
                  <w:rPr>
                    <w:bCs/>
                    <w:lang w:val="en-US"/>
                  </w:rPr>
                  <w:t>25</w:t>
                </w:r>
              </w:p>
              <w:p w14:paraId="7B6ADFAA" w14:textId="77777777" w:rsidR="00750180" w:rsidRPr="00F65A71" w:rsidRDefault="00750180" w:rsidP="009024D2">
                <w:pPr>
                  <w:pStyle w:val="TBNormalTechnicalBlock"/>
                  <w:rPr>
                    <w:lang w:val="en-US"/>
                  </w:rPr>
                </w:pPr>
                <w:r>
                  <w:rPr>
                    <w:lang w:val="en-US"/>
                  </w:rPr>
                  <w:t>REV 1 ADD 1</w:t>
                </w:r>
              </w:p>
              <w:p w14:paraId="4E138188" w14:textId="77777777" w:rsidR="00750180" w:rsidRPr="00F65A71" w:rsidRDefault="00750180" w:rsidP="00871A20">
                <w:pPr>
                  <w:pStyle w:val="TBNormalTechnicalBlock"/>
                  <w:jc w:val="right"/>
                  <w:rPr>
                    <w:lang w:val="en-US"/>
                  </w:rPr>
                </w:pPr>
              </w:p>
              <w:p w14:paraId="5D5D1326" w14:textId="77777777" w:rsidR="00750180" w:rsidRDefault="00750180" w:rsidP="009024D2">
                <w:pPr>
                  <w:pStyle w:val="TBNormalTechnicalBlock"/>
                </w:pPr>
              </w:p>
              <w:p w14:paraId="56B4835A" w14:textId="77777777" w:rsidR="00750180" w:rsidRDefault="00750180" w:rsidP="00871A20">
                <w:pPr>
                  <w:pStyle w:val="TBNormalTechnicalBlock"/>
                  <w:jc w:val="right"/>
                </w:pPr>
              </w:p>
              <w:p w14:paraId="661FF8C6" w14:textId="77777777" w:rsidR="00750180" w:rsidRDefault="00750180">
                <w:pPr>
                  <w:pStyle w:val="TBEntRefer"/>
                  <w:tabs>
                    <w:tab w:val="left" w:pos="2265"/>
                  </w:tabs>
                </w:pPr>
                <w:r>
                  <w:t>EF 371</w:t>
                </w:r>
              </w:p>
              <w:p w14:paraId="73979F0A" w14:textId="77777777" w:rsidR="00750180" w:rsidRDefault="00750180">
                <w:pPr>
                  <w:pStyle w:val="TBEntRefer"/>
                  <w:tabs>
                    <w:tab w:val="left" w:pos="2265"/>
                  </w:tabs>
                </w:pPr>
                <w:r>
                  <w:t>ECOFIN 1519</w:t>
                </w:r>
              </w:p>
              <w:p w14:paraId="1ABD3E0B" w14:textId="77777777" w:rsidR="00750180" w:rsidRDefault="00750180">
                <w:pPr>
                  <w:pStyle w:val="TBEntRefer"/>
                  <w:tabs>
                    <w:tab w:val="left" w:pos="2265"/>
                  </w:tabs>
                </w:pPr>
                <w:r>
                  <w:t>CODEC 1820</w:t>
                </w:r>
              </w:p>
              <w:p w14:paraId="6901E5C3" w14:textId="77777777" w:rsidR="00750180" w:rsidRPr="00073AB8" w:rsidRDefault="00750180" w:rsidP="00DF51D5">
                <w:pPr>
                  <w:pStyle w:val="TBEntRefer"/>
                  <w:tabs>
                    <w:tab w:val="left" w:pos="2262"/>
                  </w:tabs>
                  <w:rPr>
                    <w:sz w:val="4"/>
                    <w:szCs w:val="4"/>
                  </w:rPr>
                </w:pPr>
              </w:p>
              <w:p w14:paraId="08D86BC5" w14:textId="77777777" w:rsidR="00750180" w:rsidRDefault="00750180">
                <w:pPr>
                  <w:pStyle w:val="TBDistrbMarkers"/>
                </w:pPr>
                <w:r>
                  <w:t>ECB</w:t>
                </w:r>
              </w:p>
              <w:p w14:paraId="71AB16B1" w14:textId="77777777" w:rsidR="00750180" w:rsidRDefault="00750180">
                <w:pPr>
                  <w:pStyle w:val="TBDistrbMarkers"/>
                </w:pPr>
                <w:r>
                  <w:t>PARLNAT</w:t>
                </w:r>
              </w:p>
            </w:tc>
          </w:tr>
          <w:tr w:rsidR="00750180" w:rsidRPr="006720F9" w14:paraId="6352CE8A" w14:textId="77777777" w:rsidTr="00EE7DE6">
            <w:trPr>
              <w:gridBefore w:val="1"/>
              <w:wBefore w:w="850" w:type="dxa"/>
              <w:cantSplit/>
              <w:trHeight w:val="837"/>
              <w:jc w:val="center"/>
            </w:trPr>
            <w:tc>
              <w:tcPr>
                <w:tcW w:w="3832" w:type="dxa"/>
                <w:gridSpan w:val="2"/>
                <w:vAlign w:val="center"/>
              </w:tcPr>
              <w:p w14:paraId="4C2C1A7A" w14:textId="77777777" w:rsidR="00750180" w:rsidRDefault="00750180">
                <w:pPr>
                  <w:pStyle w:val="TBEntReferNew"/>
                  <w:pBdr>
                    <w:top w:val="double" w:sz="6" w:space="2" w:color="auto"/>
                    <w:bottom w:val="double" w:sz="6" w:space="2" w:color="auto"/>
                  </w:pBdr>
                  <w:rPr>
                    <w:sz w:val="23"/>
                    <w:szCs w:val="23"/>
                  </w:rPr>
                </w:pPr>
                <w:r>
                  <w:rPr>
                    <w:sz w:val="23"/>
                    <w:szCs w:val="23"/>
                  </w:rPr>
                  <w:t>Dosar interinstituțional:</w:t>
                </w:r>
              </w:p>
              <w:p w14:paraId="5300A82A" w14:textId="77777777" w:rsidR="00750180" w:rsidRDefault="00750180">
                <w:pPr>
                  <w:pStyle w:val="TBEntReferNew"/>
                  <w:pBdr>
                    <w:top w:val="double" w:sz="6" w:space="2" w:color="auto"/>
                    <w:bottom w:val="double" w:sz="6" w:space="2" w:color="auto"/>
                  </w:pBdr>
                  <w:rPr>
                    <w:sz w:val="23"/>
                    <w:szCs w:val="23"/>
                  </w:rPr>
                </w:pPr>
                <w:r>
                  <w:rPr>
                    <w:sz w:val="23"/>
                    <w:szCs w:val="23"/>
                  </w:rPr>
                  <w:t>2023/0112 (COD)</w:t>
                </w:r>
              </w:p>
            </w:tc>
            <w:tc>
              <w:tcPr>
                <w:tcW w:w="1843" w:type="dxa"/>
                <w:gridSpan w:val="2"/>
                <w:vMerge w:val="restart"/>
                <w:vAlign w:val="bottom"/>
              </w:tcPr>
              <w:p w14:paraId="5B403809" w14:textId="77777777" w:rsidR="00750180" w:rsidRPr="008F6E25" w:rsidRDefault="00750180" w:rsidP="00EE7DE6">
                <w:pPr>
                  <w:pStyle w:val="TBNormalTechnicalBlock"/>
                  <w:jc w:val="right"/>
                  <w:rPr>
                    <w:b w:val="0"/>
                    <w:bCs/>
                  </w:rPr>
                </w:pPr>
              </w:p>
            </w:tc>
            <w:tc>
              <w:tcPr>
                <w:tcW w:w="4819" w:type="dxa"/>
                <w:vMerge/>
              </w:tcPr>
              <w:p w14:paraId="49B296DF" w14:textId="77777777" w:rsidR="00750180" w:rsidRPr="00F26BF3" w:rsidRDefault="00750180">
                <w:pPr>
                  <w:pStyle w:val="TBEntRefer"/>
                  <w:rPr>
                    <w:szCs w:val="23"/>
                  </w:rPr>
                </w:pPr>
              </w:p>
            </w:tc>
          </w:tr>
          <w:tr w:rsidR="00750180" w:rsidRPr="007D65B2" w14:paraId="4591361C" w14:textId="77777777" w:rsidTr="00327887">
            <w:trPr>
              <w:gridBefore w:val="1"/>
              <w:wBefore w:w="850" w:type="dxa"/>
              <w:cantSplit/>
              <w:trHeight w:val="998"/>
              <w:jc w:val="center"/>
            </w:trPr>
            <w:tc>
              <w:tcPr>
                <w:tcW w:w="3832" w:type="dxa"/>
                <w:gridSpan w:val="2"/>
                <w:vAlign w:val="center"/>
              </w:tcPr>
              <w:p w14:paraId="7ACA62B0" w14:textId="77777777" w:rsidR="00750180" w:rsidRPr="007D65B2" w:rsidRDefault="00750180" w:rsidP="0058695F">
                <w:pPr>
                  <w:pStyle w:val="TBSousEmbargo"/>
                </w:pPr>
              </w:p>
            </w:tc>
            <w:tc>
              <w:tcPr>
                <w:tcW w:w="1843" w:type="dxa"/>
                <w:gridSpan w:val="2"/>
                <w:vMerge/>
                <w:vAlign w:val="center"/>
              </w:tcPr>
              <w:p w14:paraId="413902FB" w14:textId="77777777" w:rsidR="00750180" w:rsidRPr="008F6E25" w:rsidRDefault="00750180" w:rsidP="008F6E25">
                <w:pPr>
                  <w:pStyle w:val="TBNormalTechnicalBlock"/>
                  <w:rPr>
                    <w:b w:val="0"/>
                    <w:bCs/>
                  </w:rPr>
                </w:pPr>
              </w:p>
            </w:tc>
            <w:tc>
              <w:tcPr>
                <w:tcW w:w="4819" w:type="dxa"/>
                <w:vMerge/>
              </w:tcPr>
              <w:p w14:paraId="43343991" w14:textId="77777777" w:rsidR="00750180" w:rsidRPr="007D65B2" w:rsidRDefault="00750180">
                <w:pPr>
                  <w:pStyle w:val="TBEntRefer"/>
                  <w:rPr>
                    <w:szCs w:val="23"/>
                  </w:rPr>
                </w:pPr>
              </w:p>
            </w:tc>
          </w:tr>
        </w:tbl>
        <w:p w14:paraId="6ED5A01E" w14:textId="77777777" w:rsidR="00750180" w:rsidRPr="007D65B2" w:rsidRDefault="00750180"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750180" w:rsidRPr="008C093D" w14:paraId="2509A6D0" w14:textId="77777777" w:rsidTr="000E0DFC">
            <w:trPr>
              <w:jc w:val="center"/>
            </w:trPr>
            <w:tc>
              <w:tcPr>
                <w:tcW w:w="9640" w:type="dxa"/>
                <w:gridSpan w:val="2"/>
              </w:tcPr>
              <w:p w14:paraId="146C97D6" w14:textId="77777777" w:rsidR="00750180" w:rsidRPr="008C093D" w:rsidRDefault="00750180" w:rsidP="004F2640">
                <w:pPr>
                  <w:pStyle w:val="TBHeadingTable"/>
                </w:pPr>
                <w:r>
                  <w:t>EXPUNERE DE MOTIVE A CONSILIULUI</w:t>
                </w:r>
              </w:p>
            </w:tc>
          </w:tr>
          <w:tr w:rsidR="00750180" w:rsidRPr="00F13D39" w14:paraId="286BD282" w14:textId="77777777" w:rsidTr="00B511A2">
            <w:trPr>
              <w:jc w:val="center"/>
            </w:trPr>
            <w:tc>
              <w:tcPr>
                <w:tcW w:w="1985" w:type="dxa"/>
                <w:tcBorders>
                  <w:top w:val="single" w:sz="4" w:space="0" w:color="auto"/>
                  <w:bottom w:val="single" w:sz="4" w:space="0" w:color="auto"/>
                </w:tcBorders>
              </w:tcPr>
              <w:p w14:paraId="7E514AA2" w14:textId="77777777" w:rsidR="00750180" w:rsidRPr="00F13D39" w:rsidRDefault="00750180" w:rsidP="00F13D39">
                <w:pPr>
                  <w:pStyle w:val="TBSubjectTable"/>
                </w:pPr>
                <w:r>
                  <w:t>Subiect:</w:t>
                </w:r>
              </w:p>
            </w:tc>
            <w:tc>
              <w:tcPr>
                <w:tcW w:w="7660" w:type="dxa"/>
                <w:tcBorders>
                  <w:top w:val="single" w:sz="4" w:space="0" w:color="auto"/>
                  <w:bottom w:val="single" w:sz="4" w:space="0" w:color="auto"/>
                </w:tcBorders>
              </w:tcPr>
              <w:p w14:paraId="0FA91739" w14:textId="77777777" w:rsidR="00750180" w:rsidRDefault="00750180">
                <w:pPr>
                  <w:pStyle w:val="TBSubjectText"/>
                </w:pPr>
                <w:bookmarkStart w:id="0" w:name="SplitParasInCell_1"/>
                <w:bookmarkEnd w:id="0"/>
                <w:r>
                  <w:t>Poziție în primă lectură a Consiliului în vederea adoptării DIRECTIVEI PARLAMENTULUI EUROPEAN ȘI A CONSILIULUI de modificare a Directivei 2014/59/UE în ceea ce privește măsurile de intervenție timpurie, condițiile pentru declanșarea procedurii de rezoluție și finanțarea măsurilor de rezoluție, precum și a Directivei 2014/24/UE în ceea ce privește serviciile de evaluare în cadrul procedurii de rezoluție</w:t>
                </w:r>
              </w:p>
              <w:p w14:paraId="64ECAE9C" w14:textId="77777777" w:rsidR="00750180" w:rsidRDefault="00750180">
                <w:pPr>
                  <w:pStyle w:val="TBSubjectText"/>
                </w:pPr>
                <w:r>
                  <w:t>– Expunere de motive a Consiliului</w:t>
                </w:r>
              </w:p>
              <w:p w14:paraId="66F38CC2" w14:textId="77777777" w:rsidR="00750180" w:rsidRDefault="00750180">
                <w:pPr>
                  <w:pStyle w:val="TBSubjectText"/>
                </w:pPr>
                <w:r>
                  <w:t>– Adoptată de Consiliu la 5 martie 2026</w:t>
                </w:r>
              </w:p>
            </w:tc>
          </w:tr>
        </w:tbl>
        <w:p w14:paraId="4B778B82" w14:textId="77777777" w:rsidR="00750180" w:rsidRPr="00F751C6" w:rsidRDefault="00750180" w:rsidP="00F751C6">
          <w:pPr>
            <w:spacing w:before="20" w:after="240" w:line="20" w:lineRule="exact"/>
            <w:rPr>
              <w:sz w:val="2"/>
              <w:szCs w:val="2"/>
            </w:rPr>
          </w:pPr>
        </w:p>
      </w:sdtContent>
    </w:sdt>
    <w:p w14:paraId="6AFCA9C6" w14:textId="77777777" w:rsidR="00702804" w:rsidRPr="00AA4D67" w:rsidRDefault="00702804">
      <w:pPr>
        <w:sectPr w:rsidR="00702804" w:rsidRPr="00AA4D67" w:rsidSect="00750180">
          <w:headerReference w:type="even" r:id="rId11"/>
          <w:headerReference w:type="default" r:id="rId12"/>
          <w:footerReference w:type="even" r:id="rId13"/>
          <w:footerReference w:type="default" r:id="rId14"/>
          <w:headerReference w:type="first" r:id="rId15"/>
          <w:footerReference w:type="first" r:id="rId16"/>
          <w:pgSz w:w="11907" w:h="16840" w:code="9"/>
          <w:pgMar w:top="624" w:right="1134" w:bottom="1134" w:left="1134" w:header="567" w:footer="567" w:gutter="0"/>
          <w:pgNumType w:start="1"/>
          <w:cols w:space="720"/>
          <w:titlePg/>
          <w:docGrid w:linePitch="360"/>
        </w:sectPr>
      </w:pPr>
      <w:bookmarkStart w:id="2" w:name="DQCErrorScopeF0728704670BFB7BCCE1FEC34FC"/>
      <w:bookmarkStart w:id="3" w:name="DQCErrorScopeA1F55764C758EB9806B4E3CE870"/>
      <w:bookmarkStart w:id="4" w:name="DQCErrorScope31DB6BF414C986C1CE135624E79"/>
      <w:bookmarkStart w:id="5" w:name="DQC_RangeToBeChecked"/>
      <w:bookmarkEnd w:id="2"/>
      <w:bookmarkEnd w:id="3"/>
      <w:bookmarkEnd w:id="4"/>
    </w:p>
    <w:p w14:paraId="7A0A0883" w14:textId="77777777" w:rsidR="00702804" w:rsidRPr="00AA4D67" w:rsidRDefault="00702804" w:rsidP="003621D8">
      <w:pPr>
        <w:pStyle w:val="ListParagraph"/>
        <w:numPr>
          <w:ilvl w:val="0"/>
          <w:numId w:val="21"/>
        </w:numPr>
        <w:spacing w:before="0" w:after="0" w:line="360" w:lineRule="auto"/>
        <w:ind w:left="567" w:hanging="567"/>
        <w:rPr>
          <w:rFonts w:ascii="Times New Roman" w:hAnsi="Times New Roman" w:cs="Times New Roman"/>
          <w:b/>
          <w:bCs/>
          <w:sz w:val="24"/>
          <w:szCs w:val="24"/>
        </w:rPr>
      </w:pPr>
      <w:r w:rsidRPr="00AA4D67">
        <w:rPr>
          <w:rFonts w:ascii="Times New Roman" w:hAnsi="Times New Roman"/>
          <w:b/>
          <w:sz w:val="24"/>
        </w:rPr>
        <w:lastRenderedPageBreak/>
        <w:t>INTRODUCERE</w:t>
      </w:r>
    </w:p>
    <w:p w14:paraId="6DF585E5" w14:textId="77777777" w:rsidR="00702804" w:rsidRPr="00AA4D67" w:rsidRDefault="00702804" w:rsidP="003621D8">
      <w:pPr>
        <w:pStyle w:val="ListParagraph"/>
        <w:ind w:left="567"/>
      </w:pPr>
    </w:p>
    <w:p w14:paraId="7F1E8937" w14:textId="77777777" w:rsidR="00702804" w:rsidRPr="00AA4D67" w:rsidRDefault="00702804" w:rsidP="003621D8">
      <w:pPr>
        <w:numPr>
          <w:ilvl w:val="0"/>
          <w:numId w:val="22"/>
        </w:numPr>
        <w:spacing w:before="0" w:after="0"/>
        <w:ind w:hanging="648"/>
        <w:contextualSpacing/>
        <w:rPr>
          <w:rFonts w:eastAsia="Calibri" w:cstheme="minorBidi"/>
          <w:szCs w:val="24"/>
        </w:rPr>
      </w:pPr>
      <w:r w:rsidRPr="00AA4D67">
        <w:t xml:space="preserve">La 19 aprilie 2023, </w:t>
      </w:r>
      <w:r w:rsidRPr="00AA4D67">
        <w:rPr>
          <w:u w:val="single"/>
        </w:rPr>
        <w:t>Comisia</w:t>
      </w:r>
      <w:r w:rsidRPr="00AA4D67">
        <w:t xml:space="preserve"> a prezentat Consiliului și Parlamentului European pachetul de revizuire privind gestionarea crizelor și asigurarea depozitelor (CMDI) (denumit în continuare „propunerea”), constând într-o comunicare și patru acte juridice, dintre care actul juridic privind subscrierile în serie a fost în cele din urmă separat de propunere și adoptat separat de </w:t>
      </w:r>
      <w:proofErr w:type="spellStart"/>
      <w:r w:rsidRPr="00AA4D67">
        <w:t>colegiuitori</w:t>
      </w:r>
      <w:proofErr w:type="spellEnd"/>
      <w:r w:rsidRPr="00AA4D67">
        <w:t xml:space="preserve"> (prin urmare, trimiterile de mai jos la CMDI sau la propunere se interpretează ca trimiteri la celelalte trei acte juridice):</w:t>
      </w:r>
    </w:p>
    <w:p w14:paraId="5182F9E4" w14:textId="77777777" w:rsidR="00702804" w:rsidRPr="00AA4D67" w:rsidRDefault="00702804" w:rsidP="00C27D39">
      <w:pPr>
        <w:spacing w:before="0" w:after="0"/>
        <w:ind w:left="1215"/>
        <w:contextualSpacing/>
        <w:rPr>
          <w:rFonts w:eastAsia="Calibri" w:cstheme="minorBidi"/>
          <w:szCs w:val="24"/>
        </w:rPr>
      </w:pPr>
    </w:p>
    <w:p w14:paraId="28B983DC" w14:textId="77777777" w:rsidR="00702804" w:rsidRPr="00AA4D67" w:rsidRDefault="00702804" w:rsidP="00750180">
      <w:pPr>
        <w:numPr>
          <w:ilvl w:val="0"/>
          <w:numId w:val="23"/>
        </w:numPr>
        <w:spacing w:before="0" w:after="0"/>
        <w:ind w:left="1701" w:hanging="567"/>
        <w:contextualSpacing/>
        <w:rPr>
          <w:rFonts w:eastAsia="Calibri" w:cstheme="minorBidi"/>
          <w:szCs w:val="24"/>
        </w:rPr>
      </w:pPr>
      <w:r w:rsidRPr="00AA4D67">
        <w:t>Propunere de DIRECTIVĂ A PARLAMENTULUI EUROPEAN ȘI A CONSILIULUI de modificare a Directivei 2014/59/UE în ceea ce privește măsurile de intervenție timpurie, condițiile pentru declanșarea procedurii de rezoluție și finanțarea măsurilor de rezoluție („BRRD”);</w:t>
      </w:r>
    </w:p>
    <w:p w14:paraId="70045534" w14:textId="77777777" w:rsidR="00702804" w:rsidRPr="00AA4D67" w:rsidRDefault="00702804" w:rsidP="00750180">
      <w:pPr>
        <w:numPr>
          <w:ilvl w:val="0"/>
          <w:numId w:val="23"/>
        </w:numPr>
        <w:spacing w:before="0" w:after="0"/>
        <w:ind w:left="1701" w:hanging="567"/>
        <w:contextualSpacing/>
        <w:rPr>
          <w:rFonts w:eastAsia="Calibri" w:cstheme="minorBidi"/>
          <w:szCs w:val="24"/>
        </w:rPr>
      </w:pPr>
      <w:r w:rsidRPr="00AA4D67">
        <w:t>Propunere de DIRECTIVĂ A PARLAMENTULUI EUROPEAN ȘI A CONSILIULUI de modificare a Directivei 2014/49/UE în ceea ce privește domeniul de aplicare al protecției depozitelor, utilizarea fondurilor schemelor de garantare a depozitelor, cooperarea transfrontalieră și transparența („DGSD”);</w:t>
      </w:r>
    </w:p>
    <w:p w14:paraId="71459443" w14:textId="77777777" w:rsidR="00702804" w:rsidRPr="00AA4D67" w:rsidRDefault="00702804" w:rsidP="00750180">
      <w:pPr>
        <w:numPr>
          <w:ilvl w:val="0"/>
          <w:numId w:val="23"/>
        </w:numPr>
        <w:spacing w:before="0" w:after="0"/>
        <w:ind w:left="1701" w:hanging="567"/>
        <w:contextualSpacing/>
        <w:rPr>
          <w:rFonts w:eastAsia="Calibri" w:cstheme="minorBidi"/>
          <w:szCs w:val="24"/>
        </w:rPr>
      </w:pPr>
      <w:r w:rsidRPr="00AA4D67">
        <w:t>Propunere de REGULAMENT AL PARLAMENTULUI EUROPEAN ȘI AL CONSILIULUI de modificare a Regulamentului (UE) nr. 806/2014 în ceea ce privește măsurile de intervenție timpurie, condițiile pentru declanșarea procedurii de rezoluție și finanțarea măsurilor de rezoluție („SRMR”);</w:t>
      </w:r>
    </w:p>
    <w:p w14:paraId="1555CF98" w14:textId="77777777" w:rsidR="00702804" w:rsidRPr="00AA4D67" w:rsidRDefault="00702804" w:rsidP="00750180">
      <w:pPr>
        <w:numPr>
          <w:ilvl w:val="0"/>
          <w:numId w:val="23"/>
        </w:numPr>
        <w:spacing w:before="0" w:after="0"/>
        <w:ind w:left="1701" w:hanging="567"/>
        <w:contextualSpacing/>
        <w:rPr>
          <w:rFonts w:eastAsia="Calibri" w:cstheme="minorBidi"/>
          <w:szCs w:val="24"/>
        </w:rPr>
      </w:pPr>
      <w:r w:rsidRPr="00AA4D67">
        <w:t>Propunere de DIRECTIVĂ A PARLAMENTULUI EUROPEAN ȘI A CONSILIULUI de modificare a Directivei 2014/59/UE și a Regulamentului (UE) nr. 806/2014 în ceea ce privește anumite aspecte ale cerinței minime de fonduri proprii și datorii eligibile („subscrierile în serie”).</w:t>
      </w:r>
    </w:p>
    <w:p w14:paraId="1809BA6F" w14:textId="77777777" w:rsidR="00702804" w:rsidRPr="00AA4D67" w:rsidRDefault="00702804" w:rsidP="00C27D39">
      <w:pPr>
        <w:spacing w:before="0" w:after="200" w:line="276" w:lineRule="auto"/>
        <w:rPr>
          <w:rFonts w:eastAsia="Calibri" w:cstheme="minorBidi"/>
          <w:szCs w:val="24"/>
        </w:rPr>
      </w:pPr>
      <w:r w:rsidRPr="00AA4D67">
        <w:br w:type="page"/>
      </w:r>
    </w:p>
    <w:p w14:paraId="4842015A" w14:textId="77777777" w:rsidR="00702804" w:rsidRPr="00AA4D67" w:rsidRDefault="00702804" w:rsidP="003621D8">
      <w:pPr>
        <w:spacing w:before="0" w:after="0"/>
        <w:ind w:left="567" w:hanging="567"/>
        <w:rPr>
          <w:rFonts w:eastAsia="Calibri" w:cstheme="minorBidi"/>
          <w:szCs w:val="24"/>
        </w:rPr>
      </w:pPr>
      <w:r w:rsidRPr="00AA4D67">
        <w:lastRenderedPageBreak/>
        <w:t>2.</w:t>
      </w:r>
      <w:r w:rsidRPr="00AA4D67">
        <w:tab/>
        <w:t>BRRD și SRMR se întemeiază pe articolul 114 din Tratatul privind funcționarea Uniunii Europene (TFUE), iar DGSD se întemeiază pe articolul 53 alineatul (1) din TFUE (procedura legislativă ordinară).</w:t>
      </w:r>
    </w:p>
    <w:p w14:paraId="273AA90C" w14:textId="77777777" w:rsidR="00702804" w:rsidRPr="00AA4D67" w:rsidRDefault="00702804" w:rsidP="003621D8">
      <w:pPr>
        <w:spacing w:before="0" w:after="0"/>
        <w:ind w:left="567" w:hanging="567"/>
        <w:rPr>
          <w:rFonts w:eastAsia="Calibri" w:cstheme="minorBidi"/>
          <w:szCs w:val="24"/>
        </w:rPr>
      </w:pPr>
      <w:r w:rsidRPr="00AA4D67">
        <w:t>3.</w:t>
      </w:r>
      <w:r w:rsidRPr="00AA4D67">
        <w:tab/>
        <w:t xml:space="preserve">Avizul </w:t>
      </w:r>
      <w:r w:rsidRPr="00AA4D67">
        <w:rPr>
          <w:u w:val="single"/>
        </w:rPr>
        <w:t>Băncii Centrale Europene</w:t>
      </w:r>
      <w:r w:rsidRPr="00AA4D67">
        <w:t xml:space="preserve"> a fost adoptat la 5 iulie 2023</w:t>
      </w:r>
      <w:r w:rsidRPr="00AA4D67">
        <w:rPr>
          <w:rFonts w:eastAsia="Calibri" w:cstheme="minorBidi"/>
          <w:b/>
          <w:szCs w:val="24"/>
          <w:vertAlign w:val="superscript"/>
        </w:rPr>
        <w:footnoteReference w:id="1"/>
      </w:r>
      <w:r w:rsidRPr="00AA4D67">
        <w:t xml:space="preserve">. Avizul </w:t>
      </w:r>
      <w:r w:rsidRPr="00AA4D67">
        <w:rPr>
          <w:u w:val="single"/>
        </w:rPr>
        <w:t>Comitetului Economic și Social European</w:t>
      </w:r>
      <w:r w:rsidRPr="00AA4D67">
        <w:t xml:space="preserve"> a fost adoptat la 13 iulie 2023</w:t>
      </w:r>
      <w:r w:rsidRPr="00AA4D67">
        <w:rPr>
          <w:rFonts w:eastAsia="Calibri" w:cstheme="minorBidi"/>
          <w:b/>
          <w:szCs w:val="24"/>
          <w:vertAlign w:val="superscript"/>
        </w:rPr>
        <w:footnoteReference w:id="2"/>
      </w:r>
      <w:r w:rsidRPr="00AA4D67">
        <w:t>.</w:t>
      </w:r>
    </w:p>
    <w:p w14:paraId="1073F28D" w14:textId="77777777" w:rsidR="00702804" w:rsidRPr="00AA4D67" w:rsidRDefault="00702804" w:rsidP="003621D8">
      <w:pPr>
        <w:spacing w:before="0" w:after="0"/>
        <w:ind w:left="567" w:hanging="567"/>
        <w:rPr>
          <w:rFonts w:eastAsia="Calibri" w:cstheme="minorBidi"/>
          <w:szCs w:val="24"/>
        </w:rPr>
      </w:pPr>
      <w:r w:rsidRPr="00AA4D67">
        <w:t>4.</w:t>
      </w:r>
      <w:r w:rsidRPr="00AA4D67">
        <w:tab/>
        <w:t xml:space="preserve">În cadrul </w:t>
      </w:r>
      <w:r w:rsidRPr="00AA4D67">
        <w:rPr>
          <w:u w:val="single"/>
        </w:rPr>
        <w:t>Parlamentului European</w:t>
      </w:r>
      <w:r w:rsidRPr="00AA4D67">
        <w:t xml:space="preserve">, responsabilitatea principală i-a revenit </w:t>
      </w:r>
      <w:r w:rsidRPr="00AA4D67">
        <w:rPr>
          <w:u w:val="single"/>
        </w:rPr>
        <w:t>Comisiei pentru afaceri economice și monetare</w:t>
      </w:r>
      <w:r w:rsidRPr="00AA4D67">
        <w:t xml:space="preserve"> (Comisia ECON). Parlamentul European și-a adoptat poziția în primă lectură la 24 aprilie 2024.</w:t>
      </w:r>
    </w:p>
    <w:p w14:paraId="4B2CBFBF" w14:textId="745708C9" w:rsidR="00702804" w:rsidRPr="00AA4D67" w:rsidRDefault="00702804" w:rsidP="003621D8">
      <w:pPr>
        <w:spacing w:before="0" w:after="0"/>
        <w:ind w:left="567" w:hanging="567"/>
        <w:rPr>
          <w:rFonts w:eastAsia="Calibri" w:cstheme="minorBidi"/>
          <w:szCs w:val="24"/>
        </w:rPr>
      </w:pPr>
      <w:r w:rsidRPr="00AA4D67">
        <w:t>5.</w:t>
      </w:r>
      <w:r w:rsidRPr="00AA4D67">
        <w:tab/>
      </w:r>
      <w:r w:rsidRPr="00AA4D67">
        <w:rPr>
          <w:u w:val="single"/>
        </w:rPr>
        <w:t>Grupul de lucru pentru servicii financiare și uniunea bancară</w:t>
      </w:r>
      <w:r w:rsidRPr="00AA4D67">
        <w:t xml:space="preserve"> al Consiliului a discutat propunerea în cadrul reuniunilor sale din 24 mai 2023, 7 iulie 2023, 20 iulie 2023,</w:t>
      </w:r>
      <w:r w:rsidR="00750180">
        <w:br/>
      </w:r>
      <w:r w:rsidRPr="00AA4D67">
        <w:t>18 septembrie 2023, 9 octombrie 2023, 31 octombrie 2023, 21 noiembrie 2023,</w:t>
      </w:r>
      <w:r w:rsidR="003621D8">
        <w:br/>
      </w:r>
      <w:r w:rsidRPr="00AA4D67">
        <w:t>27</w:t>
      </w:r>
      <w:r w:rsidR="00750180">
        <w:t> </w:t>
      </w:r>
      <w:r w:rsidRPr="00AA4D67">
        <w:t>februarie 2024, 25 martie 2024, 26 aprilie 2024, 23 și 24 mai 2024, 3 iunie 2024 și</w:t>
      </w:r>
      <w:r w:rsidR="003621D8">
        <w:br/>
      </w:r>
      <w:r w:rsidRPr="00AA4D67">
        <w:t>7</w:t>
      </w:r>
      <w:r w:rsidR="00750180">
        <w:t> </w:t>
      </w:r>
      <w:r w:rsidRPr="00AA4D67">
        <w:t>iunie 2024. Comitetul Reprezentanților Permanenți a aprobat mandatul de negociere la 19</w:t>
      </w:r>
      <w:r w:rsidR="003621D8">
        <w:t> </w:t>
      </w:r>
      <w:r w:rsidRPr="00AA4D67">
        <w:t>iunie 2024 și a mandatat președinția să înceapă negocierile cu Parlamentul European. Pe această bază au fost purtate negocieri cu Parlamentul European și cu Comisia, în vederea obținerii unui acord timpuriu în a doua lectură.</w:t>
      </w:r>
    </w:p>
    <w:p w14:paraId="0EC4E8E4" w14:textId="77777777" w:rsidR="00702804" w:rsidRPr="00AA4D67" w:rsidRDefault="00702804" w:rsidP="00C27D39">
      <w:pPr>
        <w:spacing w:before="0" w:after="160" w:line="259" w:lineRule="auto"/>
        <w:rPr>
          <w:rFonts w:eastAsia="Calibri" w:cstheme="minorBidi"/>
          <w:szCs w:val="24"/>
        </w:rPr>
      </w:pPr>
      <w:r w:rsidRPr="00AA4D67">
        <w:br w:type="page"/>
      </w:r>
    </w:p>
    <w:p w14:paraId="332738E3" w14:textId="211A9C65" w:rsidR="00702804" w:rsidRPr="00AA4D67" w:rsidRDefault="00702804" w:rsidP="003621D8">
      <w:pPr>
        <w:spacing w:before="0" w:after="0"/>
        <w:ind w:left="567" w:hanging="567"/>
        <w:rPr>
          <w:rFonts w:eastAsia="Calibri" w:cstheme="minorBidi"/>
          <w:szCs w:val="24"/>
        </w:rPr>
      </w:pPr>
      <w:r w:rsidRPr="00AA4D67">
        <w:lastRenderedPageBreak/>
        <w:t>6.</w:t>
      </w:r>
      <w:r w:rsidRPr="00AA4D67">
        <w:tab/>
      </w:r>
      <w:proofErr w:type="spellStart"/>
      <w:r w:rsidRPr="00AA4D67">
        <w:t>Trilogurile</w:t>
      </w:r>
      <w:proofErr w:type="spellEnd"/>
      <w:r w:rsidRPr="00AA4D67">
        <w:t xml:space="preserve"> au avut loc la 17 decembrie 2024, 14 ianuarie 2025, 4 februarie 2025,</w:t>
      </w:r>
      <w:r w:rsidR="00750180">
        <w:br/>
      </w:r>
      <w:r w:rsidRPr="00AA4D67">
        <w:t>12 martie 2025, 25 martie 2025, 28 aprilie 2025, 22 mai 2025 și 5 iunie 2025.</w:t>
      </w:r>
    </w:p>
    <w:p w14:paraId="02BE2FF0" w14:textId="77777777" w:rsidR="00702804" w:rsidRPr="00AA4D67" w:rsidRDefault="00702804" w:rsidP="003621D8">
      <w:pPr>
        <w:spacing w:before="0" w:after="0"/>
        <w:ind w:left="567" w:hanging="567"/>
        <w:rPr>
          <w:rFonts w:eastAsia="Calibri" w:cstheme="minorBidi"/>
          <w:szCs w:val="24"/>
        </w:rPr>
      </w:pPr>
      <w:r w:rsidRPr="00AA4D67">
        <w:t>7.</w:t>
      </w:r>
      <w:r w:rsidRPr="00AA4D67">
        <w:tab/>
        <w:t xml:space="preserve">În cadrul ultimului </w:t>
      </w:r>
      <w:proofErr w:type="spellStart"/>
      <w:r w:rsidRPr="00AA4D67">
        <w:t>trilog</w:t>
      </w:r>
      <w:proofErr w:type="spellEnd"/>
      <w:r w:rsidRPr="00AA4D67">
        <w:t xml:space="preserve"> din 25 iunie 2025, </w:t>
      </w:r>
      <w:proofErr w:type="spellStart"/>
      <w:r w:rsidRPr="00AA4D67">
        <w:t>colegiuitorii</w:t>
      </w:r>
      <w:proofErr w:type="spellEnd"/>
      <w:r w:rsidRPr="00AA4D67">
        <w:t xml:space="preserve"> au ajuns la un acord politic provizoriu, care a avut ca rezultat textele finale de compromis, astfel cum figurează în documentele ST 15011/25 ADD1, ST 15011/25 ADD2 și ST 15011/25 ADD3.</w:t>
      </w:r>
    </w:p>
    <w:p w14:paraId="5541CB00" w14:textId="77777777" w:rsidR="00702804" w:rsidRPr="00AA4D67" w:rsidRDefault="00702804" w:rsidP="003621D8">
      <w:pPr>
        <w:spacing w:before="0" w:after="0"/>
        <w:ind w:left="567" w:hanging="567"/>
        <w:rPr>
          <w:rFonts w:eastAsia="Calibri" w:cstheme="minorBidi"/>
          <w:szCs w:val="24"/>
        </w:rPr>
      </w:pPr>
      <w:r w:rsidRPr="00AA4D67">
        <w:t>8.</w:t>
      </w:r>
      <w:r w:rsidRPr="00AA4D67">
        <w:tab/>
        <w:t>La 5 noiembrie 2025, Comisia ECON a Parlamentului European și-a exprimat sprijinul pentru textele de compromis. La 6 noiembrie 2025, președinta Comisiei ECON a trimis o scrisoare președintelui Comitetului Reprezentanților Permanenți prin care indica faptul că, în cazul în care Consiliul va transmite Parlamentului European poziția sa în forma convenită, sub rezerva revizuirii textului de către experții juriști-lingviști, ea va recomanda plenului să accepte fără amendamente poziția Consiliului în cadrul celei de a doua lecturi a Parlamentului (a se vedea nota de informare respectivă</w:t>
      </w:r>
      <w:r w:rsidRPr="00AA4D67">
        <w:rPr>
          <w:rFonts w:eastAsia="Calibri" w:cstheme="minorBidi"/>
          <w:b/>
          <w:szCs w:val="24"/>
          <w:vertAlign w:val="superscript"/>
        </w:rPr>
        <w:footnoteReference w:id="3"/>
      </w:r>
      <w:r w:rsidRPr="00AA4D67">
        <w:t xml:space="preserve"> adresată </w:t>
      </w:r>
      <w:proofErr w:type="spellStart"/>
      <w:r w:rsidRPr="00AA4D67">
        <w:t>Coreperului</w:t>
      </w:r>
      <w:proofErr w:type="spellEnd"/>
      <w:r w:rsidRPr="00AA4D67">
        <w:t>).</w:t>
      </w:r>
    </w:p>
    <w:p w14:paraId="58159D69" w14:textId="77777777" w:rsidR="00702804" w:rsidRPr="00AA4D67" w:rsidRDefault="00702804" w:rsidP="003621D8">
      <w:pPr>
        <w:spacing w:before="0" w:after="0"/>
        <w:ind w:left="567" w:hanging="567"/>
        <w:rPr>
          <w:rFonts w:eastAsia="Calibri" w:cstheme="minorBidi"/>
          <w:szCs w:val="24"/>
        </w:rPr>
      </w:pPr>
      <w:r w:rsidRPr="00AA4D67">
        <w:t>9.</w:t>
      </w:r>
      <w:r w:rsidRPr="00AA4D67">
        <w:tab/>
        <w:t xml:space="preserve">Având în vedere cele de mai sus, în cadrul reuniunii sale din 12 noiembrie 2025, </w:t>
      </w:r>
      <w:proofErr w:type="spellStart"/>
      <w:r w:rsidRPr="00AA4D67">
        <w:t>Coreperul</w:t>
      </w:r>
      <w:proofErr w:type="spellEnd"/>
      <w:r w:rsidRPr="00AA4D67">
        <w:t xml:space="preserve"> a ajuns la un acord politic, pe baza textelor de compromis. Textele de compromis au făcut obiectul revizuirii de către experții juriști-lingviști, având ca rezultat textele finale care figurează în documentele ST 15389/25, ST 15445/25 și ST 15484/25, pentru a permite un acord timpuriu în a doua lectură.</w:t>
      </w:r>
    </w:p>
    <w:p w14:paraId="7642FC4F" w14:textId="77777777" w:rsidR="00702804" w:rsidRPr="00AA4D67" w:rsidRDefault="00702804" w:rsidP="00C27D39">
      <w:pPr>
        <w:spacing w:before="0" w:after="160" w:line="259" w:lineRule="auto"/>
        <w:rPr>
          <w:rFonts w:cstheme="minorBidi"/>
          <w:b/>
          <w:bCs/>
        </w:rPr>
      </w:pPr>
      <w:r w:rsidRPr="00AA4D67">
        <w:br w:type="page"/>
      </w:r>
    </w:p>
    <w:p w14:paraId="02D6489B" w14:textId="77777777" w:rsidR="00702804" w:rsidRPr="00AA4D67" w:rsidRDefault="00702804" w:rsidP="00750180">
      <w:pPr>
        <w:tabs>
          <w:tab w:val="left" w:pos="567"/>
        </w:tabs>
        <w:spacing w:before="0" w:after="0"/>
        <w:rPr>
          <w:rFonts w:cstheme="minorBidi"/>
        </w:rPr>
      </w:pPr>
      <w:r w:rsidRPr="00AA4D67">
        <w:rPr>
          <w:b/>
        </w:rPr>
        <w:lastRenderedPageBreak/>
        <w:t>II.</w:t>
      </w:r>
      <w:r w:rsidRPr="00AA4D67">
        <w:rPr>
          <w:b/>
        </w:rPr>
        <w:tab/>
        <w:t>OBIECTIVUL PRINCIPAL</w:t>
      </w:r>
    </w:p>
    <w:p w14:paraId="71AC16FB" w14:textId="77777777" w:rsidR="00702804" w:rsidRPr="00AA4D67" w:rsidRDefault="00702804" w:rsidP="00C27D39">
      <w:pPr>
        <w:spacing w:before="0" w:after="0"/>
        <w:rPr>
          <w:rFonts w:cstheme="minorBidi"/>
        </w:rPr>
      </w:pPr>
    </w:p>
    <w:p w14:paraId="71FA8F9F" w14:textId="77777777" w:rsidR="00702804" w:rsidRPr="00AA4D67" w:rsidRDefault="00702804" w:rsidP="00750180">
      <w:pPr>
        <w:spacing w:before="0" w:after="0"/>
        <w:ind w:left="567" w:hanging="567"/>
        <w:rPr>
          <w:rFonts w:eastAsia="Calibri" w:cstheme="minorBidi"/>
          <w:szCs w:val="24"/>
        </w:rPr>
      </w:pPr>
      <w:r w:rsidRPr="00AA4D67">
        <w:t>10.</w:t>
      </w:r>
      <w:r w:rsidRPr="00AA4D67">
        <w:tab/>
        <w:t xml:space="preserve">Pachetul CMDI prevede o dezvoltare specifică a cadrului existent cu scopul de a face </w:t>
      </w:r>
      <w:r w:rsidRPr="00AA4D67">
        <w:rPr>
          <w:b/>
        </w:rPr>
        <w:t>practicabilă rezoluția ordonată pentru băncile mici și mijlocii</w:t>
      </w:r>
      <w:r w:rsidRPr="00AA4D67">
        <w:t xml:space="preserve">, autorizând autoritățile de rezoluție să utilizeze, în cazuri excepționale și în condiții stricte, fonduri din schemele de garantare a depozitelor (SGD) pentru a finanța punerea în aplicare a strategiei de rezoluție prin transfer a unei bănci în cazul în care capacitatea internă de absorbție a pierderilor a unei astfel de bănci nu este suficientă pentru a accesa fondul de rezoluție. Prin precizarea ierarhiei finanțării și a mecanismelor operaționale, reforma urmărește să </w:t>
      </w:r>
      <w:r w:rsidRPr="00AA4D67">
        <w:rPr>
          <w:b/>
        </w:rPr>
        <w:t>reducă la minimum recurgerea la banii contribuabililor</w:t>
      </w:r>
      <w:r w:rsidRPr="00AA4D67">
        <w:t>, menținând în același timp accesul deponenților și stabilitatea financiară și menținând principiul-cheie al cadrului de rezoluție potrivit căruia pierderile să fie absorbite în primul rând de acționari și creditori, pentru a proteja integritatea mecanismelor de finanțare a rezoluției.</w:t>
      </w:r>
    </w:p>
    <w:p w14:paraId="3464C205" w14:textId="77777777" w:rsidR="00702804" w:rsidRPr="00AA4D67" w:rsidRDefault="00702804" w:rsidP="00750180">
      <w:pPr>
        <w:spacing w:before="0" w:after="0"/>
        <w:ind w:left="567" w:hanging="567"/>
        <w:rPr>
          <w:rFonts w:eastAsia="Calibri" w:cstheme="minorBidi"/>
          <w:szCs w:val="24"/>
        </w:rPr>
      </w:pPr>
      <w:r w:rsidRPr="00AA4D67">
        <w:t>11.</w:t>
      </w:r>
      <w:r w:rsidRPr="00AA4D67">
        <w:tab/>
        <w:t xml:space="preserve">Pentru a reduce fragmentarea în Uniune, reforma urmărește, în plus, </w:t>
      </w:r>
      <w:r w:rsidRPr="00AA4D67">
        <w:rPr>
          <w:b/>
        </w:rPr>
        <w:t>armonizarea tratamentului măsurilor alternative și preventive</w:t>
      </w:r>
      <w:r w:rsidRPr="00AA4D67">
        <w:t xml:space="preserve"> și consolidează coordonarea transfrontalieră între supraveghetori și autoritățile de rezoluție.</w:t>
      </w:r>
    </w:p>
    <w:p w14:paraId="36FDB2E5" w14:textId="77777777" w:rsidR="00702804" w:rsidRPr="00AA4D67" w:rsidRDefault="00702804" w:rsidP="00C27D39">
      <w:pPr>
        <w:spacing w:before="0" w:after="160" w:line="259" w:lineRule="auto"/>
        <w:rPr>
          <w:rFonts w:cstheme="minorBidi"/>
          <w:b/>
          <w:bCs/>
        </w:rPr>
      </w:pPr>
      <w:r w:rsidRPr="00AA4D67">
        <w:br w:type="page"/>
      </w:r>
    </w:p>
    <w:p w14:paraId="3DC4D2EF" w14:textId="77777777" w:rsidR="00702804" w:rsidRPr="00AA4D67" w:rsidRDefault="00702804" w:rsidP="00750180">
      <w:pPr>
        <w:tabs>
          <w:tab w:val="left" w:pos="567"/>
        </w:tabs>
        <w:spacing w:before="0" w:after="0"/>
        <w:rPr>
          <w:rFonts w:cstheme="minorBidi"/>
        </w:rPr>
      </w:pPr>
      <w:r w:rsidRPr="00AA4D67">
        <w:rPr>
          <w:b/>
        </w:rPr>
        <w:lastRenderedPageBreak/>
        <w:t>III.</w:t>
      </w:r>
      <w:r w:rsidRPr="00AA4D67">
        <w:rPr>
          <w:b/>
        </w:rPr>
        <w:tab/>
        <w:t>ANALIZA POZIȚIEI ÎN PRIMĂ LECTURĂ A CONSILIULUI</w:t>
      </w:r>
    </w:p>
    <w:p w14:paraId="42DCE933" w14:textId="77777777" w:rsidR="00702804" w:rsidRPr="00AA4D67" w:rsidRDefault="00702804" w:rsidP="00C27D39">
      <w:pPr>
        <w:spacing w:before="0" w:after="0"/>
        <w:rPr>
          <w:rFonts w:cstheme="minorBidi"/>
        </w:rPr>
      </w:pPr>
    </w:p>
    <w:p w14:paraId="2FEB2338" w14:textId="77777777" w:rsidR="00702804" w:rsidRPr="00AA4D67" w:rsidRDefault="00702804" w:rsidP="00C27D39">
      <w:pPr>
        <w:spacing w:before="0" w:after="0"/>
        <w:rPr>
          <w:rFonts w:cstheme="minorBidi"/>
        </w:rPr>
      </w:pPr>
      <w:r w:rsidRPr="00AA4D67">
        <w:rPr>
          <w:b/>
        </w:rPr>
        <w:t>Context procedural</w:t>
      </w:r>
    </w:p>
    <w:p w14:paraId="6AB2DF14" w14:textId="77777777" w:rsidR="00702804" w:rsidRPr="00AA4D67" w:rsidRDefault="00702804" w:rsidP="00C27D39">
      <w:pPr>
        <w:spacing w:before="0" w:after="0"/>
        <w:rPr>
          <w:rFonts w:cstheme="minorBidi"/>
        </w:rPr>
      </w:pPr>
    </w:p>
    <w:p w14:paraId="6B24E3E5" w14:textId="77777777" w:rsidR="00702804" w:rsidRPr="00AA4D67" w:rsidRDefault="00702804" w:rsidP="00750180">
      <w:pPr>
        <w:spacing w:before="0" w:after="0"/>
        <w:ind w:left="567" w:hanging="567"/>
        <w:rPr>
          <w:rFonts w:eastAsia="Calibri" w:cstheme="minorBidi"/>
          <w:szCs w:val="24"/>
        </w:rPr>
      </w:pPr>
      <w:r w:rsidRPr="00AA4D67">
        <w:t>12.</w:t>
      </w:r>
      <w:r w:rsidRPr="00AA4D67">
        <w:tab/>
        <w:t xml:space="preserve">Pe baza propunerii Comisiei, Parlamentul și Consiliul au desfășurat negocieri în vederea încheierii unui acord timpuriu în a doua lectură pe baza poziției în primă lectură a Consiliului. Poziția Consiliului reflectă pe deplin compromisul la care au ajuns cei doi </w:t>
      </w:r>
      <w:proofErr w:type="spellStart"/>
      <w:r w:rsidRPr="00AA4D67">
        <w:t>colegiuitori</w:t>
      </w:r>
      <w:proofErr w:type="spellEnd"/>
      <w:r w:rsidRPr="00AA4D67">
        <w:t>.</w:t>
      </w:r>
    </w:p>
    <w:p w14:paraId="0147BC09" w14:textId="77777777" w:rsidR="00702804" w:rsidRPr="00AA4D67" w:rsidRDefault="00702804" w:rsidP="00C27D39">
      <w:pPr>
        <w:spacing w:before="0" w:after="0"/>
        <w:jc w:val="center"/>
        <w:rPr>
          <w:rFonts w:cstheme="minorBidi"/>
        </w:rPr>
      </w:pPr>
    </w:p>
    <w:p w14:paraId="380551DA" w14:textId="77777777" w:rsidR="00702804" w:rsidRPr="00AA4D67" w:rsidRDefault="00702804" w:rsidP="00C27D39">
      <w:pPr>
        <w:spacing w:before="0" w:after="0"/>
        <w:rPr>
          <w:rFonts w:cstheme="minorBidi"/>
          <w:b/>
          <w:bCs/>
        </w:rPr>
      </w:pPr>
      <w:r w:rsidRPr="00AA4D67">
        <w:rPr>
          <w:b/>
        </w:rPr>
        <w:t>Sinteza principalelor aspecte</w:t>
      </w:r>
    </w:p>
    <w:p w14:paraId="3F21F4F5" w14:textId="77777777" w:rsidR="00702804" w:rsidRPr="00AA4D67" w:rsidRDefault="00702804" w:rsidP="00C27D39">
      <w:pPr>
        <w:spacing w:before="0" w:after="0"/>
        <w:ind w:left="851" w:hanging="851"/>
        <w:rPr>
          <w:rFonts w:eastAsia="Calibri" w:cstheme="minorBidi"/>
          <w:b/>
          <w:bCs/>
          <w:szCs w:val="24"/>
        </w:rPr>
      </w:pPr>
    </w:p>
    <w:p w14:paraId="14BF3B5D" w14:textId="77777777" w:rsidR="00702804" w:rsidRPr="00AA4D67" w:rsidRDefault="00702804" w:rsidP="00750180">
      <w:pPr>
        <w:spacing w:before="0" w:after="0"/>
        <w:ind w:left="567" w:hanging="567"/>
        <w:rPr>
          <w:rFonts w:eastAsia="Calibri" w:cstheme="minorBidi"/>
          <w:szCs w:val="24"/>
        </w:rPr>
      </w:pPr>
      <w:r w:rsidRPr="00AA4D67">
        <w:t>13.</w:t>
      </w:r>
      <w:r w:rsidRPr="00AA4D67">
        <w:tab/>
        <w:t xml:space="preserve">În comparație cu poziția PE, poziția în primă lectură a Consiliului cu privire la BRRD conține următoarele elemente principale, asupra cărora s-a ajuns la un acord între </w:t>
      </w:r>
      <w:proofErr w:type="spellStart"/>
      <w:r w:rsidRPr="00AA4D67">
        <w:t>colegiuitori</w:t>
      </w:r>
      <w:proofErr w:type="spellEnd"/>
      <w:r w:rsidRPr="00AA4D67">
        <w:t>.</w:t>
      </w:r>
    </w:p>
    <w:p w14:paraId="075528E5" w14:textId="77777777" w:rsidR="00702804" w:rsidRPr="00AA4D67" w:rsidRDefault="00702804" w:rsidP="00750180">
      <w:pPr>
        <w:spacing w:before="0" w:after="0"/>
        <w:ind w:left="567" w:hanging="567"/>
        <w:rPr>
          <w:rFonts w:eastAsia="Calibri" w:cstheme="minorBidi"/>
          <w:szCs w:val="24"/>
        </w:rPr>
      </w:pPr>
      <w:r w:rsidRPr="00AA4D67">
        <w:t>14.</w:t>
      </w:r>
      <w:r w:rsidRPr="00AA4D67">
        <w:rPr>
          <w:b/>
        </w:rPr>
        <w:tab/>
      </w:r>
      <w:r w:rsidRPr="00AA4D67">
        <w:t xml:space="preserve">Evaluarea interesului public (PIA) devine mai strictă prin solicitarea unei demonstrații care să arate, înainte ca rezoluția să poată fi utilizată, că, în cazul în care obiectivele rezoluției ar fi în pericol, aceasta își atinge mai bine obiectivele statutare decât lichidarea. Testul celui mai mic cost (LCT) este simplificat prin plafonarea intervențiilor SGD la cuantumul brut al depozitelor acoperite, în timp ce </w:t>
      </w:r>
      <w:proofErr w:type="spellStart"/>
      <w:r w:rsidRPr="00AA4D67">
        <w:t>superpreferința</w:t>
      </w:r>
      <w:proofErr w:type="spellEnd"/>
      <w:r w:rsidRPr="00AA4D67">
        <w:t xml:space="preserve"> existentă acordată depozitelor acoperite (asigurate) este păstrată în cadrul unei ierarhii a creditorilor pe trei niveluri. Poziția Consiliului clarifică momentul și modul în care instrumentele finanțate de sectorul bancar pot fi mobilizate pentru finanțarea rezoluției, sub rezerva unei etapizări explicite și a unui nivel de strictețe mai ridicat în ceea ce privește garanțiile și cerințele de repartizare a sarcinilor. În consecință, autoritățile de rezoluție își păstrează competența de rezoluție a băncilor numai în cazul în care sunt îndeplinite condițiile de PIA mai strictă și LCT simplificat, iar rezoluția obține în mod demonstrabil rezultate mai bune decât lichidarea, asigurându-se faptul că lichidarea rămâne o opțiune viabilă, întemeiată din punct de vedere juridic, pentru băncile mai mici, după caz. Accesul la finanțare pentru rezoluție din partea SGD și a altor instrumente finanțate de sectorul bancar este, prin urmare, strict încadrat și condiționat, astfel încât să se acorde prioritate resurselor private, iar expunerea contribuabililor să fie limitată. În general, abordarea Consiliului face ca rezoluția să fie mai practicabilă din punct de vedere operațional pentru băncile mici și mijlocii decât în cadrul CMDI actual, consolidând totodată principiul potrivit căruia finanțarea pentru rezoluție din partea SGD are caracter excepțional, fiind condiționată de absorbția suficientă a pierderilor de către acționari și creditori, iar MREL rămâne piatra de temelie a posibilității de rezoluție.</w:t>
      </w:r>
    </w:p>
    <w:p w14:paraId="6C294575" w14:textId="77777777" w:rsidR="00702804" w:rsidRPr="00AA4D67" w:rsidRDefault="00702804" w:rsidP="00C27D39">
      <w:pPr>
        <w:spacing w:before="0" w:after="160" w:line="259" w:lineRule="auto"/>
        <w:rPr>
          <w:rFonts w:cstheme="minorBidi"/>
          <w:b/>
          <w:bCs/>
        </w:rPr>
      </w:pPr>
      <w:r w:rsidRPr="00AA4D67">
        <w:br w:type="page"/>
      </w:r>
    </w:p>
    <w:p w14:paraId="5ABF3DFB" w14:textId="77777777" w:rsidR="00702804" w:rsidRPr="00AA4D67" w:rsidRDefault="00702804" w:rsidP="00750180">
      <w:pPr>
        <w:tabs>
          <w:tab w:val="left" w:pos="567"/>
        </w:tabs>
        <w:spacing w:before="0" w:after="0"/>
        <w:rPr>
          <w:rFonts w:cstheme="minorBidi"/>
          <w:b/>
          <w:bCs/>
        </w:rPr>
      </w:pPr>
      <w:r w:rsidRPr="00AA4D67">
        <w:rPr>
          <w:b/>
        </w:rPr>
        <w:lastRenderedPageBreak/>
        <w:t>IV.</w:t>
      </w:r>
      <w:r w:rsidRPr="00AA4D67">
        <w:rPr>
          <w:b/>
        </w:rPr>
        <w:tab/>
        <w:t>CONCLUZIE</w:t>
      </w:r>
    </w:p>
    <w:p w14:paraId="75B9BE84" w14:textId="77777777" w:rsidR="00702804" w:rsidRPr="00AA4D67" w:rsidRDefault="00702804" w:rsidP="00750180">
      <w:pPr>
        <w:tabs>
          <w:tab w:val="left" w:pos="567"/>
        </w:tabs>
        <w:spacing w:before="0" w:after="0"/>
        <w:rPr>
          <w:rFonts w:cstheme="minorBidi"/>
        </w:rPr>
      </w:pPr>
    </w:p>
    <w:p w14:paraId="71CEC337" w14:textId="77777777" w:rsidR="00702804" w:rsidRPr="00AA4D67" w:rsidRDefault="00702804" w:rsidP="00750180">
      <w:pPr>
        <w:spacing w:before="0" w:after="0"/>
        <w:ind w:left="567" w:hanging="567"/>
        <w:rPr>
          <w:rFonts w:eastAsia="Calibri" w:cstheme="minorBidi"/>
          <w:szCs w:val="24"/>
        </w:rPr>
      </w:pPr>
      <w:r w:rsidRPr="00AA4D67">
        <w:t>15.</w:t>
      </w:r>
      <w:r w:rsidRPr="00AA4D67">
        <w:tab/>
        <w:t>Poziția Consiliului evidențiază obiectivul principal al propunerii Comisiei și reflectă pe deplin compromisul la care s-a ajuns în cadrul negocierilor informale dintre Consiliu și Parlamentul European, cu sprijinul Comisiei.</w:t>
      </w:r>
    </w:p>
    <w:bookmarkEnd w:id="5"/>
    <w:p w14:paraId="2423F929" w14:textId="77777777" w:rsidR="00702804" w:rsidRDefault="00702804">
      <w:pPr>
        <w:pStyle w:val="FinalLine"/>
      </w:pPr>
    </w:p>
    <w:sectPr w:rsidR="00702804" w:rsidSect="00750180">
      <w:headerReference w:type="even" r:id="rId17"/>
      <w:headerReference w:type="default" r:id="rId18"/>
      <w:footerReference w:type="even" r:id="rId19"/>
      <w:headerReference w:type="first" r:id="rId20"/>
      <w:footerReference w:type="first" r:id="rId21"/>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031EC" w14:textId="77777777" w:rsidR="00144FF1" w:rsidRDefault="00144FF1" w:rsidP="00A43C50">
      <w:r>
        <w:separator/>
      </w:r>
    </w:p>
  </w:endnote>
  <w:endnote w:type="continuationSeparator" w:id="0">
    <w:p w14:paraId="0F5F39A0" w14:textId="77777777" w:rsidR="00144FF1" w:rsidRDefault="00144FF1"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D7E5" w14:textId="77777777" w:rsidR="00750180" w:rsidRDefault="00750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50180" w:rsidRPr="00D94637" w14:paraId="6C98D9C8" w14:textId="77777777" w:rsidTr="00750180">
      <w:trPr>
        <w:jc w:val="center"/>
      </w:trPr>
      <w:tc>
        <w:tcPr>
          <w:tcW w:w="5000" w:type="pct"/>
          <w:gridSpan w:val="7"/>
          <w:shd w:val="clear" w:color="auto" w:fill="auto"/>
          <w:tcMar>
            <w:top w:w="57" w:type="dxa"/>
          </w:tcMar>
        </w:tcPr>
        <w:p w14:paraId="7555833E" w14:textId="77777777" w:rsidR="00750180" w:rsidRPr="00D94637" w:rsidRDefault="00750180" w:rsidP="00D94637">
          <w:pPr>
            <w:pStyle w:val="FooterText"/>
            <w:pBdr>
              <w:top w:val="single" w:sz="4" w:space="1" w:color="auto"/>
            </w:pBdr>
            <w:spacing w:before="200"/>
            <w:rPr>
              <w:sz w:val="2"/>
              <w:szCs w:val="2"/>
            </w:rPr>
          </w:pPr>
          <w:bookmarkStart w:id="1" w:name="FOOTER_STANDARD"/>
        </w:p>
      </w:tc>
    </w:tr>
    <w:tr w:rsidR="00750180" w:rsidRPr="00B310DC" w14:paraId="62AAF9B0" w14:textId="77777777" w:rsidTr="00750180">
      <w:trPr>
        <w:jc w:val="center"/>
      </w:trPr>
      <w:tc>
        <w:tcPr>
          <w:tcW w:w="2500" w:type="pct"/>
          <w:gridSpan w:val="2"/>
          <w:shd w:val="clear" w:color="auto" w:fill="auto"/>
          <w:tcMar>
            <w:top w:w="0" w:type="dxa"/>
          </w:tcMar>
        </w:tcPr>
        <w:p w14:paraId="3EE7BC07" w14:textId="5222613F" w:rsidR="00750180" w:rsidRPr="00AD7BF2" w:rsidRDefault="00750180" w:rsidP="004F54B2">
          <w:pPr>
            <w:pStyle w:val="FooterText"/>
          </w:pPr>
          <w:r>
            <w:t>15445/1/25</w:t>
          </w:r>
          <w:r w:rsidRPr="002511D8">
            <w:t xml:space="preserve"> </w:t>
          </w:r>
          <w:r>
            <w:t>REV 1 ADD 1</w:t>
          </w:r>
        </w:p>
      </w:tc>
      <w:tc>
        <w:tcPr>
          <w:tcW w:w="625" w:type="pct"/>
          <w:shd w:val="clear" w:color="auto" w:fill="auto"/>
          <w:tcMar>
            <w:top w:w="0" w:type="dxa"/>
          </w:tcMar>
        </w:tcPr>
        <w:p w14:paraId="5B252172" w14:textId="77777777" w:rsidR="00750180" w:rsidRPr="00AD7BF2" w:rsidRDefault="00750180" w:rsidP="00D94637">
          <w:pPr>
            <w:pStyle w:val="FooterText"/>
            <w:jc w:val="center"/>
          </w:pPr>
        </w:p>
      </w:tc>
      <w:tc>
        <w:tcPr>
          <w:tcW w:w="1286" w:type="pct"/>
          <w:gridSpan w:val="3"/>
          <w:shd w:val="clear" w:color="auto" w:fill="auto"/>
          <w:tcMar>
            <w:top w:w="0" w:type="dxa"/>
          </w:tcMar>
        </w:tcPr>
        <w:p w14:paraId="3A810880" w14:textId="77777777" w:rsidR="00750180" w:rsidRPr="002511D8" w:rsidRDefault="00750180" w:rsidP="00D94637">
          <w:pPr>
            <w:pStyle w:val="FooterText"/>
            <w:jc w:val="center"/>
          </w:pPr>
        </w:p>
      </w:tc>
      <w:tc>
        <w:tcPr>
          <w:tcW w:w="589" w:type="pct"/>
          <w:shd w:val="clear" w:color="auto" w:fill="auto"/>
          <w:tcMar>
            <w:top w:w="0" w:type="dxa"/>
          </w:tcMar>
        </w:tcPr>
        <w:p w14:paraId="032FFA89" w14:textId="20CB2352" w:rsidR="00750180" w:rsidRPr="00B310DC" w:rsidRDefault="0075018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750180" w:rsidRPr="00D94637" w14:paraId="77857412" w14:textId="77777777" w:rsidTr="00750180">
      <w:trPr>
        <w:jc w:val="center"/>
      </w:trPr>
      <w:tc>
        <w:tcPr>
          <w:tcW w:w="1774" w:type="pct"/>
          <w:shd w:val="clear" w:color="auto" w:fill="auto"/>
        </w:tcPr>
        <w:p w14:paraId="5439BD50" w14:textId="14CA12F5" w:rsidR="00750180" w:rsidRPr="00AD7BF2" w:rsidRDefault="00750180" w:rsidP="00D94637">
          <w:pPr>
            <w:pStyle w:val="FooterText"/>
            <w:spacing w:before="40"/>
          </w:pPr>
        </w:p>
      </w:tc>
      <w:tc>
        <w:tcPr>
          <w:tcW w:w="1455" w:type="pct"/>
          <w:gridSpan w:val="3"/>
          <w:shd w:val="clear" w:color="auto" w:fill="auto"/>
        </w:tcPr>
        <w:p w14:paraId="462097E1" w14:textId="3B1E66D7" w:rsidR="00750180" w:rsidRPr="00AD7BF2" w:rsidRDefault="00750180" w:rsidP="00D204D6">
          <w:pPr>
            <w:pStyle w:val="FooterText"/>
            <w:spacing w:before="40"/>
            <w:jc w:val="center"/>
          </w:pPr>
          <w:r>
            <w:t>GIP.INST</w:t>
          </w:r>
        </w:p>
      </w:tc>
      <w:tc>
        <w:tcPr>
          <w:tcW w:w="742" w:type="pct"/>
          <w:shd w:val="clear" w:color="auto" w:fill="auto"/>
        </w:tcPr>
        <w:p w14:paraId="6B6F6934" w14:textId="7F74B9DB" w:rsidR="00750180" w:rsidRPr="00D94637" w:rsidRDefault="00750180" w:rsidP="002F0099">
          <w:pPr>
            <w:pStyle w:val="FooterText"/>
            <w:jc w:val="center"/>
            <w:rPr>
              <w:b/>
              <w:position w:val="-4"/>
              <w:sz w:val="36"/>
            </w:rPr>
          </w:pPr>
        </w:p>
      </w:tc>
      <w:tc>
        <w:tcPr>
          <w:tcW w:w="1029" w:type="pct"/>
          <w:gridSpan w:val="2"/>
          <w:shd w:val="clear" w:color="auto" w:fill="auto"/>
        </w:tcPr>
        <w:p w14:paraId="2C23E142" w14:textId="3CD35B35" w:rsidR="00750180" w:rsidRPr="00695BAF" w:rsidRDefault="00750180" w:rsidP="00D94637">
          <w:pPr>
            <w:pStyle w:val="FooterText"/>
            <w:jc w:val="right"/>
            <w:rPr>
              <w:caps/>
              <w:spacing w:val="-20"/>
              <w:sz w:val="16"/>
            </w:rPr>
          </w:pPr>
          <w:r>
            <w:rPr>
              <w:b/>
              <w:caps/>
              <w:spacing w:val="-20"/>
              <w:position w:val="-4"/>
              <w:sz w:val="36"/>
            </w:rPr>
            <w:t>RO</w:t>
          </w:r>
        </w:p>
      </w:tc>
    </w:tr>
    <w:bookmarkEnd w:id="1"/>
  </w:tbl>
  <w:p w14:paraId="67B4BC50" w14:textId="77777777" w:rsidR="00AA4D67" w:rsidRPr="00750180" w:rsidRDefault="00AA4D67" w:rsidP="00750180">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750180" w:rsidRPr="00D94637" w14:paraId="76AE889D" w14:textId="77777777" w:rsidTr="00750180">
      <w:trPr>
        <w:jc w:val="center"/>
      </w:trPr>
      <w:tc>
        <w:tcPr>
          <w:tcW w:w="5000" w:type="pct"/>
          <w:gridSpan w:val="7"/>
          <w:shd w:val="clear" w:color="auto" w:fill="auto"/>
          <w:tcMar>
            <w:top w:w="57" w:type="dxa"/>
          </w:tcMar>
        </w:tcPr>
        <w:p w14:paraId="022F9688" w14:textId="77777777" w:rsidR="00750180" w:rsidRPr="00D94637" w:rsidRDefault="00750180" w:rsidP="00D94637">
          <w:pPr>
            <w:pStyle w:val="FooterText"/>
            <w:pBdr>
              <w:top w:val="single" w:sz="4" w:space="1" w:color="auto"/>
            </w:pBdr>
            <w:spacing w:before="200"/>
            <w:rPr>
              <w:sz w:val="2"/>
              <w:szCs w:val="2"/>
            </w:rPr>
          </w:pPr>
        </w:p>
      </w:tc>
    </w:tr>
    <w:tr w:rsidR="00750180" w:rsidRPr="00B310DC" w14:paraId="5E3E485F" w14:textId="77777777" w:rsidTr="00750180">
      <w:trPr>
        <w:jc w:val="center"/>
      </w:trPr>
      <w:tc>
        <w:tcPr>
          <w:tcW w:w="2500" w:type="pct"/>
          <w:gridSpan w:val="2"/>
          <w:shd w:val="clear" w:color="auto" w:fill="auto"/>
          <w:tcMar>
            <w:top w:w="0" w:type="dxa"/>
          </w:tcMar>
        </w:tcPr>
        <w:p w14:paraId="20BBEB7F" w14:textId="28A7B963" w:rsidR="00750180" w:rsidRPr="00AD7BF2" w:rsidRDefault="00750180" w:rsidP="004F54B2">
          <w:pPr>
            <w:pStyle w:val="FooterText"/>
          </w:pPr>
          <w:r>
            <w:t>15445/1/25</w:t>
          </w:r>
          <w:r w:rsidRPr="002511D8">
            <w:t xml:space="preserve"> </w:t>
          </w:r>
          <w:r>
            <w:t>REV 1 ADD 1</w:t>
          </w:r>
        </w:p>
      </w:tc>
      <w:tc>
        <w:tcPr>
          <w:tcW w:w="625" w:type="pct"/>
          <w:shd w:val="clear" w:color="auto" w:fill="auto"/>
          <w:tcMar>
            <w:top w:w="0" w:type="dxa"/>
          </w:tcMar>
        </w:tcPr>
        <w:p w14:paraId="6446264D" w14:textId="77777777" w:rsidR="00750180" w:rsidRPr="00AD7BF2" w:rsidRDefault="00750180" w:rsidP="00D94637">
          <w:pPr>
            <w:pStyle w:val="FooterText"/>
            <w:jc w:val="center"/>
          </w:pPr>
        </w:p>
      </w:tc>
      <w:tc>
        <w:tcPr>
          <w:tcW w:w="1286" w:type="pct"/>
          <w:gridSpan w:val="3"/>
          <w:shd w:val="clear" w:color="auto" w:fill="auto"/>
          <w:tcMar>
            <w:top w:w="0" w:type="dxa"/>
          </w:tcMar>
        </w:tcPr>
        <w:p w14:paraId="72383688" w14:textId="77777777" w:rsidR="00750180" w:rsidRPr="002511D8" w:rsidRDefault="00750180" w:rsidP="00D94637">
          <w:pPr>
            <w:pStyle w:val="FooterText"/>
            <w:jc w:val="center"/>
          </w:pPr>
        </w:p>
      </w:tc>
      <w:tc>
        <w:tcPr>
          <w:tcW w:w="589" w:type="pct"/>
          <w:shd w:val="clear" w:color="auto" w:fill="auto"/>
          <w:tcMar>
            <w:top w:w="0" w:type="dxa"/>
          </w:tcMar>
        </w:tcPr>
        <w:p w14:paraId="7190E216" w14:textId="4FC6457A" w:rsidR="00750180" w:rsidRPr="00B310DC" w:rsidRDefault="0075018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750180" w:rsidRPr="00D94637" w14:paraId="0FCE1BE7" w14:textId="77777777" w:rsidTr="00750180">
      <w:trPr>
        <w:jc w:val="center"/>
      </w:trPr>
      <w:tc>
        <w:tcPr>
          <w:tcW w:w="1774" w:type="pct"/>
          <w:shd w:val="clear" w:color="auto" w:fill="auto"/>
        </w:tcPr>
        <w:p w14:paraId="166B5163" w14:textId="649E5C99" w:rsidR="00750180" w:rsidRPr="00AD7BF2" w:rsidRDefault="00750180" w:rsidP="00D94637">
          <w:pPr>
            <w:pStyle w:val="FooterText"/>
            <w:spacing w:before="40"/>
          </w:pPr>
        </w:p>
      </w:tc>
      <w:tc>
        <w:tcPr>
          <w:tcW w:w="1455" w:type="pct"/>
          <w:gridSpan w:val="3"/>
          <w:shd w:val="clear" w:color="auto" w:fill="auto"/>
        </w:tcPr>
        <w:p w14:paraId="2E1DF385" w14:textId="31DF4597" w:rsidR="00750180" w:rsidRPr="00AD7BF2" w:rsidRDefault="00750180" w:rsidP="00D204D6">
          <w:pPr>
            <w:pStyle w:val="FooterText"/>
            <w:spacing w:before="40"/>
            <w:jc w:val="center"/>
          </w:pPr>
          <w:r>
            <w:t>GIP.INST</w:t>
          </w:r>
        </w:p>
      </w:tc>
      <w:tc>
        <w:tcPr>
          <w:tcW w:w="742" w:type="pct"/>
          <w:shd w:val="clear" w:color="auto" w:fill="auto"/>
        </w:tcPr>
        <w:p w14:paraId="4E1403C4" w14:textId="4CD12D15" w:rsidR="00750180" w:rsidRPr="00D94637" w:rsidRDefault="00750180" w:rsidP="002F0099">
          <w:pPr>
            <w:pStyle w:val="FooterText"/>
            <w:jc w:val="center"/>
            <w:rPr>
              <w:b/>
              <w:position w:val="-4"/>
              <w:sz w:val="36"/>
            </w:rPr>
          </w:pPr>
        </w:p>
      </w:tc>
      <w:tc>
        <w:tcPr>
          <w:tcW w:w="1029" w:type="pct"/>
          <w:gridSpan w:val="2"/>
          <w:shd w:val="clear" w:color="auto" w:fill="auto"/>
        </w:tcPr>
        <w:p w14:paraId="70E156DC" w14:textId="0B42F928" w:rsidR="00750180" w:rsidRPr="00695BAF" w:rsidRDefault="00750180" w:rsidP="00D94637">
          <w:pPr>
            <w:pStyle w:val="FooterText"/>
            <w:jc w:val="right"/>
            <w:rPr>
              <w:caps/>
              <w:spacing w:val="-20"/>
              <w:sz w:val="16"/>
            </w:rPr>
          </w:pPr>
          <w:r>
            <w:rPr>
              <w:b/>
              <w:caps/>
              <w:spacing w:val="-20"/>
              <w:position w:val="-4"/>
              <w:sz w:val="36"/>
            </w:rPr>
            <w:t>RO</w:t>
          </w:r>
        </w:p>
      </w:tc>
    </w:tr>
  </w:tbl>
  <w:p w14:paraId="317879BA" w14:textId="77777777" w:rsidR="00AA4D67" w:rsidRPr="00750180" w:rsidRDefault="00AA4D67" w:rsidP="00750180">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BA3F7" w14:textId="77777777" w:rsidR="003B1792" w:rsidRPr="00750180" w:rsidRDefault="003B1792" w:rsidP="007501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3368" w14:textId="77777777" w:rsidR="003B1792" w:rsidRPr="00750180" w:rsidRDefault="003B1792" w:rsidP="00750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20DBF" w14:textId="77777777" w:rsidR="00144FF1" w:rsidRDefault="00144FF1" w:rsidP="00A43C50">
      <w:r>
        <w:separator/>
      </w:r>
    </w:p>
  </w:footnote>
  <w:footnote w:type="continuationSeparator" w:id="0">
    <w:p w14:paraId="6ADC52AC" w14:textId="77777777" w:rsidR="00144FF1" w:rsidRDefault="00144FF1" w:rsidP="00A43C50">
      <w:r>
        <w:continuationSeparator/>
      </w:r>
    </w:p>
  </w:footnote>
  <w:footnote w:id="1">
    <w:p w14:paraId="0CF95881" w14:textId="77777777" w:rsidR="00702804" w:rsidRPr="00750180" w:rsidRDefault="00702804" w:rsidP="00C27D39">
      <w:pPr>
        <w:pStyle w:val="FootnoteText"/>
        <w:rPr>
          <w:szCs w:val="24"/>
        </w:rPr>
      </w:pPr>
      <w:r w:rsidRPr="00750180">
        <w:rPr>
          <w:rStyle w:val="FootnoteReference"/>
          <w:szCs w:val="24"/>
        </w:rPr>
        <w:footnoteRef/>
      </w:r>
      <w:r w:rsidRPr="00750180">
        <w:rPr>
          <w:szCs w:val="24"/>
        </w:rPr>
        <w:tab/>
        <w:t>Doc. ST 11577/23 INIT.</w:t>
      </w:r>
    </w:p>
  </w:footnote>
  <w:footnote w:id="2">
    <w:p w14:paraId="54C4FF24" w14:textId="77777777" w:rsidR="00702804" w:rsidRPr="00750180" w:rsidRDefault="00702804" w:rsidP="00C27D39">
      <w:pPr>
        <w:pStyle w:val="FootnoteText"/>
        <w:rPr>
          <w:b/>
          <w:bCs/>
          <w:szCs w:val="24"/>
        </w:rPr>
      </w:pPr>
      <w:r w:rsidRPr="00750180">
        <w:rPr>
          <w:rStyle w:val="FootnoteReference"/>
          <w:bCs/>
          <w:szCs w:val="24"/>
        </w:rPr>
        <w:footnoteRef/>
      </w:r>
      <w:r w:rsidRPr="00750180">
        <w:rPr>
          <w:b/>
          <w:szCs w:val="24"/>
        </w:rPr>
        <w:tab/>
      </w:r>
      <w:r w:rsidRPr="00750180">
        <w:rPr>
          <w:b/>
          <w:szCs w:val="24"/>
        </w:rPr>
        <w:t>Doc. ST 15142/25 INIT.</w:t>
      </w:r>
    </w:p>
  </w:footnote>
  <w:footnote w:id="3">
    <w:p w14:paraId="247CDD59" w14:textId="77777777" w:rsidR="00702804" w:rsidRPr="00AA4D67" w:rsidRDefault="00702804" w:rsidP="00C27D39">
      <w:pPr>
        <w:pStyle w:val="FootnoteText"/>
      </w:pPr>
      <w:r w:rsidRPr="00AA4D67">
        <w:rPr>
          <w:rStyle w:val="FootnoteReference"/>
        </w:rPr>
        <w:footnoteRef/>
      </w:r>
      <w:r w:rsidRPr="00AA4D67">
        <w:tab/>
      </w:r>
      <w:r w:rsidRPr="00AA4D67">
        <w:t>Doc. ST 15146/25.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7DC84" w14:textId="77777777" w:rsidR="00750180" w:rsidRDefault="00750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2A6C" w14:textId="67D6F778" w:rsidR="00AA4D67" w:rsidRPr="00750180" w:rsidRDefault="00750180" w:rsidP="00750180">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A781" w14:textId="0C3B6033" w:rsidR="00AA4D67" w:rsidRPr="00750180" w:rsidRDefault="00750180" w:rsidP="00750180">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82635" w14:textId="77777777" w:rsidR="003B1792" w:rsidRPr="00750180" w:rsidRDefault="003B1792" w:rsidP="007501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F70F" w14:textId="77777777" w:rsidR="003B1792" w:rsidRPr="00750180" w:rsidRDefault="003B1792" w:rsidP="007501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C92E9" w14:textId="77777777" w:rsidR="003B1792" w:rsidRPr="00750180" w:rsidRDefault="003B1792" w:rsidP="00750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5" w15:restartNumberingAfterBreak="0">
    <w:nsid w:val="1B8025B2"/>
    <w:multiLevelType w:val="hybridMultilevel"/>
    <w:tmpl w:val="B352C64E"/>
    <w:lvl w:ilvl="0" w:tplc="D932D840">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0" w15:restartNumberingAfterBreak="0">
    <w:nsid w:val="4FE70A6C"/>
    <w:multiLevelType w:val="hybridMultilevel"/>
    <w:tmpl w:val="CA083960"/>
    <w:lvl w:ilvl="0" w:tplc="3558E496">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8" w15:restartNumberingAfterBreak="0">
    <w:nsid w:val="74B34E35"/>
    <w:multiLevelType w:val="hybridMultilevel"/>
    <w:tmpl w:val="18B8A564"/>
    <w:lvl w:ilvl="0" w:tplc="080C0001">
      <w:start w:val="1"/>
      <w:numFmt w:val="bullet"/>
      <w:lvlText w:val=""/>
      <w:lvlJc w:val="left"/>
      <w:pPr>
        <w:ind w:left="1935" w:hanging="360"/>
      </w:pPr>
      <w:rPr>
        <w:rFonts w:ascii="Symbol" w:hAnsi="Symbol" w:hint="default"/>
      </w:rPr>
    </w:lvl>
    <w:lvl w:ilvl="1" w:tplc="080C0003" w:tentative="1">
      <w:start w:val="1"/>
      <w:numFmt w:val="bullet"/>
      <w:lvlText w:val="o"/>
      <w:lvlJc w:val="left"/>
      <w:pPr>
        <w:ind w:left="2655" w:hanging="360"/>
      </w:pPr>
      <w:rPr>
        <w:rFonts w:ascii="Courier New" w:hAnsi="Courier New" w:cs="Courier New" w:hint="default"/>
      </w:rPr>
    </w:lvl>
    <w:lvl w:ilvl="2" w:tplc="080C0005" w:tentative="1">
      <w:start w:val="1"/>
      <w:numFmt w:val="bullet"/>
      <w:lvlText w:val=""/>
      <w:lvlJc w:val="left"/>
      <w:pPr>
        <w:ind w:left="3375" w:hanging="360"/>
      </w:pPr>
      <w:rPr>
        <w:rFonts w:ascii="Wingdings" w:hAnsi="Wingdings" w:hint="default"/>
      </w:rPr>
    </w:lvl>
    <w:lvl w:ilvl="3" w:tplc="080C0001" w:tentative="1">
      <w:start w:val="1"/>
      <w:numFmt w:val="bullet"/>
      <w:lvlText w:val=""/>
      <w:lvlJc w:val="left"/>
      <w:pPr>
        <w:ind w:left="4095" w:hanging="360"/>
      </w:pPr>
      <w:rPr>
        <w:rFonts w:ascii="Symbol" w:hAnsi="Symbol" w:hint="default"/>
      </w:rPr>
    </w:lvl>
    <w:lvl w:ilvl="4" w:tplc="080C0003" w:tentative="1">
      <w:start w:val="1"/>
      <w:numFmt w:val="bullet"/>
      <w:lvlText w:val="o"/>
      <w:lvlJc w:val="left"/>
      <w:pPr>
        <w:ind w:left="4815" w:hanging="360"/>
      </w:pPr>
      <w:rPr>
        <w:rFonts w:ascii="Courier New" w:hAnsi="Courier New" w:cs="Courier New" w:hint="default"/>
      </w:rPr>
    </w:lvl>
    <w:lvl w:ilvl="5" w:tplc="080C0005" w:tentative="1">
      <w:start w:val="1"/>
      <w:numFmt w:val="bullet"/>
      <w:lvlText w:val=""/>
      <w:lvlJc w:val="left"/>
      <w:pPr>
        <w:ind w:left="5535" w:hanging="360"/>
      </w:pPr>
      <w:rPr>
        <w:rFonts w:ascii="Wingdings" w:hAnsi="Wingdings" w:hint="default"/>
      </w:rPr>
    </w:lvl>
    <w:lvl w:ilvl="6" w:tplc="080C0001" w:tentative="1">
      <w:start w:val="1"/>
      <w:numFmt w:val="bullet"/>
      <w:lvlText w:val=""/>
      <w:lvlJc w:val="left"/>
      <w:pPr>
        <w:ind w:left="6255" w:hanging="360"/>
      </w:pPr>
      <w:rPr>
        <w:rFonts w:ascii="Symbol" w:hAnsi="Symbol" w:hint="default"/>
      </w:rPr>
    </w:lvl>
    <w:lvl w:ilvl="7" w:tplc="080C0003" w:tentative="1">
      <w:start w:val="1"/>
      <w:numFmt w:val="bullet"/>
      <w:lvlText w:val="o"/>
      <w:lvlJc w:val="left"/>
      <w:pPr>
        <w:ind w:left="6975" w:hanging="360"/>
      </w:pPr>
      <w:rPr>
        <w:rFonts w:ascii="Courier New" w:hAnsi="Courier New" w:cs="Courier New" w:hint="default"/>
      </w:rPr>
    </w:lvl>
    <w:lvl w:ilvl="8" w:tplc="080C0005" w:tentative="1">
      <w:start w:val="1"/>
      <w:numFmt w:val="bullet"/>
      <w:lvlText w:val=""/>
      <w:lvlJc w:val="left"/>
      <w:pPr>
        <w:ind w:left="7695" w:hanging="360"/>
      </w:pPr>
      <w:rPr>
        <w:rFonts w:ascii="Wingdings" w:hAnsi="Wingdings" w:hint="default"/>
      </w:rPr>
    </w:lvl>
  </w:abstractNum>
  <w:abstractNum w:abstractNumId="1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2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2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377899525">
    <w:abstractNumId w:val="0"/>
  </w:num>
  <w:num w:numId="2" w16cid:durableId="1898860123">
    <w:abstractNumId w:val="7"/>
  </w:num>
  <w:num w:numId="3" w16cid:durableId="1762139777">
    <w:abstractNumId w:val="9"/>
  </w:num>
  <w:num w:numId="4" w16cid:durableId="172958614">
    <w:abstractNumId w:val="6"/>
  </w:num>
  <w:num w:numId="5" w16cid:durableId="1111781133">
    <w:abstractNumId w:val="4"/>
  </w:num>
  <w:num w:numId="6" w16cid:durableId="984434915">
    <w:abstractNumId w:val="15"/>
  </w:num>
  <w:num w:numId="7" w16cid:durableId="2041466340">
    <w:abstractNumId w:val="21"/>
  </w:num>
  <w:num w:numId="8" w16cid:durableId="185950818">
    <w:abstractNumId w:val="16"/>
  </w:num>
  <w:num w:numId="9" w16cid:durableId="1917586522">
    <w:abstractNumId w:val="1"/>
  </w:num>
  <w:num w:numId="10" w16cid:durableId="918949902">
    <w:abstractNumId w:val="17"/>
  </w:num>
  <w:num w:numId="11" w16cid:durableId="729156888">
    <w:abstractNumId w:val="13"/>
  </w:num>
  <w:num w:numId="12" w16cid:durableId="1143422874">
    <w:abstractNumId w:val="2"/>
  </w:num>
  <w:num w:numId="13" w16cid:durableId="1923248335">
    <w:abstractNumId w:val="20"/>
  </w:num>
  <w:num w:numId="14" w16cid:durableId="1753309155">
    <w:abstractNumId w:val="22"/>
  </w:num>
  <w:num w:numId="15" w16cid:durableId="560679344">
    <w:abstractNumId w:val="11"/>
  </w:num>
  <w:num w:numId="16" w16cid:durableId="1190216670">
    <w:abstractNumId w:val="19"/>
  </w:num>
  <w:num w:numId="17" w16cid:durableId="2076077709">
    <w:abstractNumId w:val="14"/>
  </w:num>
  <w:num w:numId="18" w16cid:durableId="310523639">
    <w:abstractNumId w:val="12"/>
  </w:num>
  <w:num w:numId="19" w16cid:durableId="2123333253">
    <w:abstractNumId w:val="8"/>
  </w:num>
  <w:num w:numId="20" w16cid:durableId="31224835">
    <w:abstractNumId w:val="3"/>
  </w:num>
  <w:num w:numId="21" w16cid:durableId="1790930647">
    <w:abstractNumId w:val="10"/>
  </w:num>
  <w:num w:numId="22" w16cid:durableId="2127407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200249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6145"/>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499639327941066919&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 translate=&quot;false&quot;&gt;_x000d__x000a_    &lt;basicdatatype&gt;_x000d__x000a_      &lt;heading key=&quot;uh_60&quot; text=&quot;EXPUNERE DE MOTIVE A CONSILIULUI&quot; /&gt;_x000d__x000a_    &lt;/basicdatatype&gt;_x000d__x000a_  &lt;/metadata&gt;_x000d__x000a_  &lt;metadata key=&quot;md_HeadingText&quot; translate=&quot;false&quot;&gt;_x000d__x000a_    &lt;headingtext text=&quot;EXPUNERE DE MOTIVE A CONSILIULUI&quot;&gt;_x000d__x000a_      &lt;formattedtext&gt;_x000d__x000a_        &lt;xaml text=&quot;EXPUNERE DE MOTIVE A CONSILIULUI&quot;&gt;&amp;lt;FlowDocument xmlns=&quot;http://schemas.microsoft.com/winfx/2006/xaml/presentation&quot;&amp;gt;&amp;lt;Paragraph&amp;gt;EXPUNERE DE MOTIVE A CONSILIULUI&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10&quot; text=&quot;Statement&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3-05&lt;/text&gt;_x000d__x000a_  &lt;/metadata&gt;_x000d__x000a_  &lt;metadata key=&quot;md_Prefix&quot; translate=&quot;false&quot;&gt;_x000d__x000a_    &lt;text&gt;&lt;/text&gt;_x000d__x000a_  &lt;/metadata&gt;_x000d__x000a_  &lt;metadata key=&quot;md_DocumentNumber&quot; translate=&quot;false&quot;&gt;_x000d__x000a_    &lt;text&gt;15445&lt;/text&gt;_x000d__x000a_  &lt;/metadata&gt;_x000d__x000a_  &lt;metadata key=&quot;md_YearDocumentNumber&quot; translate=&quot;false&quot;&gt;_x000d__x000a_    &lt;text&gt;2025&lt;/text&gt;_x000d__x000a_  &lt;/metadata&gt;_x000d__x000a_  &lt;metadata key=&quot;md_Suffixes&quot; translate=&quot;false&quot;&gt;_x000d__x000a_    &lt;text&gt;REV 1 ADD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EF 371&lt;/text&gt;_x000d__x000a_      &lt;text&gt;ECOFIN 1519&lt;/text&gt;_x000d__x000a_      &lt;text&gt;CODEC 1820&lt;/text&gt;_x000d__x000a_    &lt;/textlist&gt;_x000d__x000a_  &lt;/metadata&gt;_x000d__x000a_  &lt;metadata key=&quot;md_ThirdPartyDistributionMarkers&quot; translate=&quot;false&quot;&gt;_x000d__x000a_    &lt;textlist&gt;_x000d__x000a_      &lt;text&gt;ECB&lt;/tex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translate=&quot;false&quot;&gt;_x000d__x000a_    &lt;text&gt;&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gt;_x000d__x000a_      &lt;text&gt;2023/0112 (COD)&lt;/text&gt;_x000d__x000a_    &lt;/textlist&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DIRECTIVEI PARLAMENTULUI EUROPEAN &amp;#536;I A CONSILIULUI de modificare a Directivei 2014/59/UE în ceea ce prive&amp;#537;te m&amp;#259;surile de interven&amp;#539;ie timpurie, condi&amp;#539;iile pentru declan&amp;#537;area procedurii de rezolu&amp;#539;ie &amp;#537;i finan&amp;#539;area m&amp;#259;surilor de rezolu&amp;#539;ie, precum &amp;#537;i a Directivei 2014/24/UE în ceea ce prive&amp;#537;te serviciile de evaluare în cadrul procedurii de rezolu&amp;#539;ie &amp;#8211; Expunere de motive a Consiliului &amp;#8211; Adoptat&amp;#259; de Consiliu la 5 martie 2026&quot;&gt;&amp;lt;FlowDocument FontFamily=&quot;Segoe UI&quot; FontSize=&quot;12&quot; PagePadding=&quot;2,2,2,2&quot; AllowDrop=&quot;False&quot; xmlns=&quot;http://schemas.microsoft.com/winfx/2006/xaml/presentation&quot;&amp;gt;&amp;lt;Paragraph&amp;gt;Pozi&amp;#539;ie în prim&amp;#259; lectur&amp;#259; a Consiliului în vederea adopt&amp;#259;rii DIRECTIVEI PARLAMENTULUI EUROPEAN &amp;#536;I A CONSILIULUI de modificare a Directivei 2014/59/UE în ceea ce prive&amp;#537;te m&amp;#259;surile de interven&amp;#539;ie timpurie, condi&amp;#539;iile pentru declan&amp;#537;area procedurii de rezolu&amp;#539;ie &amp;#537;i finan&amp;#539;area m&amp;#259;surilor de rezolu&amp;#539;ie, precum &amp;#537;i a Directivei 2014/24/UE în ceea ce prive&amp;#537;te serviciile de evaluare în cadrul procedurii de rezolu&amp;#539;ie&amp;lt;/Paragraph&amp;gt;&amp;lt;Paragraph&amp;gt;&amp;#8211; Expunere de motive a Consiliului&amp;lt;/Paragraph&amp;gt;&amp;lt;Paragraph&amp;gt;&amp;#8211; Adoptat&amp;#259; de Consiliu la 5 martie 2026&amp;lt;/Paragraph&amp;gt;&amp;lt;/FlowDocument&amp;gt;&lt;/xaml&gt;_x000d__x000a_  &lt;/metadata&gt;_x000d__x000a_  &lt;metadata key=&quot;md_SubjectFootnote&quot;&gt;_x000d__x000a_    &lt;text&gt;&lt;/text&gt;_x000d__x000a_  &lt;/metadata&gt;_x000d__x000a_  &lt;metadata key=&quot;md_DG&quot; translate=&quot;false&quot;&gt;_x000d__x000a_    &lt;text&gt;GIP.INST&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 /&gt;_x000d__x000a_  &lt;metadata key=&quot;md_Rectif_Source2_UniqueHeading&quot; /&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 /&gt;_x000d__x000a_  &lt;metadata key=&quot;md_CoverPageDocWithCouncilFooter&quot; translate=&quot;false&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translate=&quot;false&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 /&gt;_x000d__x000a_  &lt;/metadata&gt;_x000d__x000a_  &lt;metadata key=&quot;md_VisualRepresentation&quot; translate=&quot;false&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 translate=&quot;false&quot;&gt;_x000d__x000a_    &lt;xaml text=&quot;&quot;&gt;&amp;lt;FlowDocument xmlns=&quot;http://schemas.microsoft.com/winfx/2006/xaml/presentation&quot;&amp;gt;&amp;lt;Paragraph&amp;gt;&amp;lt;/Paragraph&amp;gt;&amp;lt;/FlowDocument&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3-05 16:36:18"/>
    <w:docVar w:name="DW_AutoOpen" w:val="True"/>
    <w:docVar w:name="DW_DocType" w:val="DW_COUNCIL"/>
    <w:docVar w:name="DW_TechnicalBlockHash" w:val="9e067b9de786b919746a171a1f578c64d93955eecf26a332bf2e69dd9786693a"/>
  </w:docVars>
  <w:rsids>
    <w:rsidRoot w:val="00A86151"/>
    <w:rsid w:val="00034B7D"/>
    <w:rsid w:val="00052D7C"/>
    <w:rsid w:val="00144FF1"/>
    <w:rsid w:val="001C16E9"/>
    <w:rsid w:val="002B2127"/>
    <w:rsid w:val="00335E5E"/>
    <w:rsid w:val="003558E4"/>
    <w:rsid w:val="003621D8"/>
    <w:rsid w:val="003B1792"/>
    <w:rsid w:val="003B3627"/>
    <w:rsid w:val="003C184A"/>
    <w:rsid w:val="00443A64"/>
    <w:rsid w:val="0054146C"/>
    <w:rsid w:val="00546796"/>
    <w:rsid w:val="00702804"/>
    <w:rsid w:val="00750180"/>
    <w:rsid w:val="007F499B"/>
    <w:rsid w:val="00854E58"/>
    <w:rsid w:val="00894139"/>
    <w:rsid w:val="00A43C50"/>
    <w:rsid w:val="00A70985"/>
    <w:rsid w:val="00A86151"/>
    <w:rsid w:val="00AA4D67"/>
    <w:rsid w:val="00AE4AF8"/>
    <w:rsid w:val="00B62777"/>
    <w:rsid w:val="00C27D4A"/>
    <w:rsid w:val="00CE0430"/>
    <w:rsid w:val="00D3039B"/>
    <w:rsid w:val="00D368D3"/>
    <w:rsid w:val="00D93DFA"/>
    <w:rsid w:val="00FA1D6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BAFB0B"/>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750180"/>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750180"/>
    <w:rPr>
      <w:rFonts w:ascii="Arial New Roman" w:eastAsia="Times New Roman" w:hAnsi="Arial New Roman" w:cs="Arial"/>
      <w:b/>
      <w:i/>
      <w:dstrike/>
      <w:color w:val="606060"/>
      <w:w w:val="98"/>
      <w:sz w:val="10"/>
      <w:szCs w:val="20"/>
      <w:u w:val="words" w:color="606060"/>
      <w:lang w:eastAsia="fr-BE" w:bidi="ar-SA"/>
    </w:rPr>
  </w:style>
  <w:style w:type="paragraph" w:customStyle="1" w:styleId="TBEntRefer">
    <w:name w:val="TBEntRefer"/>
    <w:basedOn w:val="TechnicalBlockBase"/>
    <w:link w:val="EntReferChar"/>
    <w:rsid w:val="00750180"/>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sz w:val="23"/>
      <w:szCs w:val="20"/>
      <w:u w:color="606060"/>
      <w:lang w:eastAsia="fr-BE" w:bidi="ar-SA"/>
    </w:rPr>
  </w:style>
  <w:style w:type="paragraph" w:customStyle="1" w:styleId="TBDistrbMarkers">
    <w:name w:val="TBDistrbMarkers"/>
    <w:basedOn w:val="TBEntRefer"/>
    <w:qFormat/>
    <w:rsid w:val="00750180"/>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750180"/>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750180"/>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75018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75018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750180"/>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750180"/>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750180"/>
    <w:rPr>
      <w:rFonts w:ascii="Arial" w:eastAsia="Times New Roman" w:hAnsi="Arial" w:cs="Arial"/>
      <w:b/>
      <w:sz w:val="23"/>
      <w:szCs w:val="20"/>
      <w:u w:color="606060"/>
      <w:lang w:eastAsia="fr-BE" w:bidi="ar-SA"/>
    </w:rPr>
  </w:style>
  <w:style w:type="paragraph" w:customStyle="1" w:styleId="TBSubjectTable">
    <w:name w:val="TBSubjectTable"/>
    <w:basedOn w:val="TechnicalBlockBase"/>
    <w:rsid w:val="00750180"/>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750180"/>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750180"/>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750180"/>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750180"/>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pPr>
      <w:spacing w:before="0" w:after="440"/>
    </w:pPr>
    <w:rPr>
      <w:sz w:val="2"/>
    </w:rPr>
  </w:style>
  <w:style w:type="paragraph" w:customStyle="1" w:styleId="FooterText">
    <w:name w:val="Footer Text"/>
    <w:basedOn w:val="Normal"/>
    <w:unhideWhenUsed/>
    <w:pPr>
      <w:spacing w:before="0" w:after="0" w:line="240" w:lineRule="auto"/>
    </w:p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ro-RO" w:eastAsia="ro-RO" w:bidi="ro-RO"/>
    </w:rPr>
  </w:style>
  <w:style w:type="paragraph" w:styleId="FootnoteText">
    <w:name w:val="footnote text"/>
    <w:aliases w:val="Schriftart: 9 pt,Schriftart: 10 pt,Schriftart: 8 pt,WB-Fußnotentext,Reference,Fußnote,fn,Footnote Text Char2,Footnote Text Char Char1,Footnote Text Char1 Char Char,Footnote Text Char Char Char Char, Char Char Char Char Char,Ch,Char"/>
    <w:basedOn w:val="Normal"/>
    <w:link w:val="FootnoteTextChar"/>
    <w:uiPriority w:val="99"/>
    <w:unhideWhenUsed/>
    <w:qFormat/>
    <w:rsid w:val="009C6417"/>
    <w:pPr>
      <w:spacing w:before="0" w:after="0" w:line="240" w:lineRule="auto"/>
      <w:ind w:left="720" w:hanging="720"/>
    </w:pPr>
    <w:rPr>
      <w:szCs w:val="20"/>
    </w:rPr>
  </w:style>
  <w:style w:type="character" w:customStyle="1" w:styleId="FootnoteTextChar">
    <w:name w:val="Footnote Text Char"/>
    <w:aliases w:val="Schriftart: 9 pt Char,Schriftart: 10 pt Char,Schriftart: 8 pt Char,WB-Fußnotentext Char,Reference Char,Fußnote Char,fn Char,Footnote Text Char2 Char,Footnote Text Char Char1 Char,Footnote Text Char1 Char Char Char,Ch Char,Char Char"/>
    <w:basedOn w:val="DefaultParagraphFont"/>
    <w:link w:val="FootnoteText"/>
    <w:uiPriority w:val="99"/>
    <w:qFormat/>
    <w:rsid w:val="009C6417"/>
    <w:rPr>
      <w:rFonts w:ascii="Times New Roman" w:hAnsi="Times New Roman" w:cs="Times New Roman"/>
      <w:sz w:val="24"/>
      <w:szCs w:val="20"/>
      <w:shd w:val="clear" w:color="auto" w:fill="auto"/>
      <w:lang w:val="ro-RO" w:eastAsia="ro-RO" w:bidi="ro-RO"/>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9C641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1"/>
      </w:numPr>
    </w:pPr>
  </w:style>
  <w:style w:type="paragraph" w:customStyle="1" w:styleId="Pointabc1">
    <w:name w:val="Point abc (1)"/>
    <w:basedOn w:val="Normal"/>
    <w:rsid w:val="009C6417"/>
    <w:pPr>
      <w:numPr>
        <w:ilvl w:val="3"/>
        <w:numId w:val="1"/>
      </w:numPr>
    </w:pPr>
  </w:style>
  <w:style w:type="paragraph" w:customStyle="1" w:styleId="Pointabc2">
    <w:name w:val="Point abc (2)"/>
    <w:basedOn w:val="Normal"/>
    <w:rsid w:val="009C6417"/>
    <w:pPr>
      <w:numPr>
        <w:ilvl w:val="5"/>
        <w:numId w:val="1"/>
      </w:numPr>
    </w:pPr>
  </w:style>
  <w:style w:type="paragraph" w:customStyle="1" w:styleId="Pointabc3">
    <w:name w:val="Point abc (3)"/>
    <w:basedOn w:val="Normal"/>
    <w:rsid w:val="009C6417"/>
    <w:pPr>
      <w:numPr>
        <w:ilvl w:val="7"/>
        <w:numId w:val="1"/>
      </w:numPr>
    </w:pPr>
  </w:style>
  <w:style w:type="paragraph" w:customStyle="1" w:styleId="Pointabc4">
    <w:name w:val="Point abc (4)"/>
    <w:basedOn w:val="Normal"/>
    <w:rsid w:val="009C6417"/>
    <w:pPr>
      <w:numPr>
        <w:ilvl w:val="8"/>
        <w:numId w:val="1"/>
      </w:numPr>
    </w:pPr>
  </w:style>
  <w:style w:type="paragraph" w:customStyle="1" w:styleId="Point123">
    <w:name w:val="Point 123"/>
    <w:basedOn w:val="Normal"/>
    <w:rsid w:val="009C6417"/>
    <w:pPr>
      <w:numPr>
        <w:numId w:val="1"/>
      </w:numPr>
    </w:pPr>
  </w:style>
  <w:style w:type="paragraph" w:customStyle="1" w:styleId="Point1231">
    <w:name w:val="Point 123 (1)"/>
    <w:basedOn w:val="Normal"/>
    <w:rsid w:val="009C6417"/>
    <w:pPr>
      <w:numPr>
        <w:ilvl w:val="2"/>
        <w:numId w:val="1"/>
      </w:numPr>
    </w:pPr>
  </w:style>
  <w:style w:type="paragraph" w:customStyle="1" w:styleId="Point1232">
    <w:name w:val="Point 123 (2)"/>
    <w:basedOn w:val="Normal"/>
    <w:rsid w:val="009C6417"/>
    <w:pPr>
      <w:numPr>
        <w:ilvl w:val="4"/>
        <w:numId w:val="1"/>
      </w:numPr>
    </w:pPr>
  </w:style>
  <w:style w:type="paragraph" w:customStyle="1" w:styleId="Point1233">
    <w:name w:val="Point 123 (3)"/>
    <w:basedOn w:val="Normal"/>
    <w:rsid w:val="009C6417"/>
    <w:pPr>
      <w:numPr>
        <w:ilvl w:val="6"/>
        <w:numId w:val="1"/>
      </w:numPr>
    </w:pPr>
  </w:style>
  <w:style w:type="paragraph" w:customStyle="1" w:styleId="Pointivx">
    <w:name w:val="Point ivx"/>
    <w:basedOn w:val="Normal"/>
    <w:rsid w:val="009C6417"/>
    <w:pPr>
      <w:numPr>
        <w:numId w:val="2"/>
      </w:numPr>
    </w:pPr>
  </w:style>
  <w:style w:type="paragraph" w:customStyle="1" w:styleId="Pointivx1">
    <w:name w:val="Point ivx (1)"/>
    <w:basedOn w:val="Normal"/>
    <w:rsid w:val="009C6417"/>
    <w:pPr>
      <w:numPr>
        <w:ilvl w:val="1"/>
        <w:numId w:val="2"/>
      </w:numPr>
    </w:pPr>
  </w:style>
  <w:style w:type="paragraph" w:customStyle="1" w:styleId="Pointivx2">
    <w:name w:val="Point ivx (2)"/>
    <w:basedOn w:val="Normal"/>
    <w:rsid w:val="009C6417"/>
    <w:pPr>
      <w:numPr>
        <w:ilvl w:val="2"/>
        <w:numId w:val="2"/>
      </w:numPr>
    </w:pPr>
  </w:style>
  <w:style w:type="paragraph" w:customStyle="1" w:styleId="Pointivx3">
    <w:name w:val="Point ivx (3)"/>
    <w:basedOn w:val="Normal"/>
    <w:rsid w:val="009C6417"/>
    <w:pPr>
      <w:numPr>
        <w:ilvl w:val="3"/>
        <w:numId w:val="2"/>
      </w:numPr>
    </w:pPr>
  </w:style>
  <w:style w:type="paragraph" w:customStyle="1" w:styleId="Pointivx4">
    <w:name w:val="Point ivx (4)"/>
    <w:basedOn w:val="Normal"/>
    <w:rsid w:val="009C6417"/>
    <w:pPr>
      <w:numPr>
        <w:ilvl w:val="4"/>
        <w:numId w:val="2"/>
      </w:numPr>
    </w:pPr>
  </w:style>
  <w:style w:type="paragraph" w:customStyle="1" w:styleId="Bullet">
    <w:name w:val="Bullet"/>
    <w:basedOn w:val="Normal"/>
    <w:rsid w:val="009C6417"/>
    <w:pPr>
      <w:numPr>
        <w:numId w:val="3"/>
      </w:numPr>
    </w:pPr>
  </w:style>
  <w:style w:type="paragraph" w:customStyle="1" w:styleId="Bullet1">
    <w:name w:val="Bullet 1"/>
    <w:basedOn w:val="Normal"/>
    <w:rsid w:val="009C6417"/>
    <w:pPr>
      <w:numPr>
        <w:numId w:val="4"/>
      </w:numPr>
    </w:pPr>
  </w:style>
  <w:style w:type="paragraph" w:customStyle="1" w:styleId="Bullet2">
    <w:name w:val="Bullet 2"/>
    <w:basedOn w:val="Normal"/>
    <w:rsid w:val="009C6417"/>
    <w:pPr>
      <w:numPr>
        <w:numId w:val="5"/>
      </w:numPr>
    </w:pPr>
  </w:style>
  <w:style w:type="paragraph" w:customStyle="1" w:styleId="Bullet3">
    <w:name w:val="Bullet 3"/>
    <w:basedOn w:val="Normal"/>
    <w:rsid w:val="009C6417"/>
    <w:pPr>
      <w:numPr>
        <w:numId w:val="6"/>
      </w:numPr>
    </w:pPr>
  </w:style>
  <w:style w:type="paragraph" w:customStyle="1" w:styleId="Bullet4">
    <w:name w:val="Bullet 4"/>
    <w:basedOn w:val="Normal"/>
    <w:rsid w:val="009C6417"/>
    <w:pPr>
      <w:numPr>
        <w:numId w:val="7"/>
      </w:numPr>
    </w:pPr>
  </w:style>
  <w:style w:type="paragraph" w:customStyle="1" w:styleId="Dash">
    <w:name w:val="Dash"/>
    <w:basedOn w:val="Normal"/>
    <w:rsid w:val="009C6417"/>
    <w:pPr>
      <w:numPr>
        <w:numId w:val="8"/>
      </w:numPr>
    </w:pPr>
  </w:style>
  <w:style w:type="paragraph" w:customStyle="1" w:styleId="Dash1">
    <w:name w:val="Dash 1"/>
    <w:basedOn w:val="Normal"/>
    <w:rsid w:val="009C6417"/>
    <w:pPr>
      <w:numPr>
        <w:numId w:val="9"/>
      </w:numPr>
    </w:pPr>
  </w:style>
  <w:style w:type="paragraph" w:customStyle="1" w:styleId="Dash2">
    <w:name w:val="Dash 2"/>
    <w:basedOn w:val="Normal"/>
    <w:rsid w:val="009C6417"/>
    <w:pPr>
      <w:numPr>
        <w:numId w:val="10"/>
      </w:numPr>
    </w:pPr>
  </w:style>
  <w:style w:type="paragraph" w:customStyle="1" w:styleId="Dash3">
    <w:name w:val="Dash 3"/>
    <w:basedOn w:val="Normal"/>
    <w:rsid w:val="009C6417"/>
    <w:pPr>
      <w:numPr>
        <w:numId w:val="11"/>
      </w:numPr>
    </w:pPr>
  </w:style>
  <w:style w:type="paragraph" w:customStyle="1" w:styleId="Dash4">
    <w:name w:val="Dash 4"/>
    <w:basedOn w:val="Normal"/>
    <w:rsid w:val="009C6417"/>
    <w:pPr>
      <w:numPr>
        <w:numId w:val="12"/>
      </w:numPr>
    </w:pPr>
  </w:style>
  <w:style w:type="paragraph" w:customStyle="1" w:styleId="DashEqual">
    <w:name w:val="Dash Equal"/>
    <w:basedOn w:val="Dash"/>
    <w:rsid w:val="009C6417"/>
    <w:pPr>
      <w:numPr>
        <w:numId w:val="13"/>
      </w:numPr>
    </w:pPr>
  </w:style>
  <w:style w:type="paragraph" w:customStyle="1" w:styleId="DashEqual1">
    <w:name w:val="Dash Equal 1"/>
    <w:basedOn w:val="Dash1"/>
    <w:rsid w:val="009C6417"/>
    <w:pPr>
      <w:numPr>
        <w:numId w:val="14"/>
      </w:numPr>
    </w:pPr>
  </w:style>
  <w:style w:type="paragraph" w:customStyle="1" w:styleId="DashEqual2">
    <w:name w:val="Dash Equal 2"/>
    <w:basedOn w:val="Dash2"/>
    <w:rsid w:val="009C6417"/>
    <w:pPr>
      <w:numPr>
        <w:numId w:val="15"/>
      </w:numPr>
    </w:pPr>
  </w:style>
  <w:style w:type="paragraph" w:customStyle="1" w:styleId="DashEqual3">
    <w:name w:val="Dash Equal 3"/>
    <w:basedOn w:val="Dash3"/>
    <w:rsid w:val="009C6417"/>
    <w:pPr>
      <w:numPr>
        <w:numId w:val="16"/>
      </w:numPr>
    </w:pPr>
  </w:style>
  <w:style w:type="paragraph" w:customStyle="1" w:styleId="DashEqual4">
    <w:name w:val="Dash Equal 4"/>
    <w:basedOn w:val="Dash4"/>
    <w:rsid w:val="009C6417"/>
    <w:pPr>
      <w:numPr>
        <w:numId w:val="17"/>
      </w:numPr>
    </w:pPr>
  </w:style>
  <w:style w:type="character" w:customStyle="1" w:styleId="Marker">
    <w:name w:val="Marker"/>
    <w:basedOn w:val="DefaultParagraphFont"/>
    <w:rsid w:val="00C27D39"/>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18"/>
      </w:numPr>
    </w:pPr>
  </w:style>
  <w:style w:type="paragraph" w:customStyle="1" w:styleId="Heading123">
    <w:name w:val="Heading 123"/>
    <w:basedOn w:val="HeadingLeft"/>
    <w:next w:val="Normal"/>
    <w:rsid w:val="009C6417"/>
    <w:pPr>
      <w:numPr>
        <w:numId w:val="19"/>
      </w:numPr>
    </w:pPr>
  </w:style>
  <w:style w:type="paragraph" w:customStyle="1" w:styleId="HeadingABC">
    <w:name w:val="Heading ABC"/>
    <w:basedOn w:val="HeadingLeft"/>
    <w:next w:val="Normal"/>
    <w:rsid w:val="009C6417"/>
    <w:pPr>
      <w:numPr>
        <w:numId w:val="20"/>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C27D39"/>
    <w:rPr>
      <w:color w:val="808080"/>
    </w:rPr>
  </w:style>
  <w:style w:type="character" w:styleId="Hyperlink">
    <w:name w:val="Hyperlink"/>
    <w:basedOn w:val="DefaultParagraphFont"/>
    <w:uiPriority w:val="99"/>
    <w:semiHidden/>
    <w:unhideWhenUsed/>
    <w:rsid w:val="00FA1D6A"/>
    <w:rPr>
      <w:color w:val="0000FF" w:themeColor="hyperlink"/>
      <w:u w:val="single"/>
    </w:rPr>
  </w:style>
  <w:style w:type="character" w:styleId="CommentReference">
    <w:name w:val="annotation reference"/>
    <w:basedOn w:val="DefaultParagraphFont"/>
    <w:uiPriority w:val="99"/>
    <w:semiHidden/>
    <w:unhideWhenUsed/>
    <w:rsid w:val="00FA1D6A"/>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eastAsia="ro-RO" w:bidi="ro-RO"/>
    </w:rPr>
  </w:style>
  <w:style w:type="paragraph" w:styleId="Revision">
    <w:name w:val="Revision"/>
    <w:hidden/>
    <w:uiPriority w:val="99"/>
    <w:semiHidden/>
    <w:rsid w:val="00C27D4A"/>
    <w:pPr>
      <w:spacing w:after="0" w:line="240" w:lineRule="auto"/>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bin"/><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02371E-1B37-4B11-BD59-8C3CC4B43570}">
  <ds:schemaRefs>
    <ds:schemaRef ds:uri="http://schemas.microsoft.com/sharepoint/v3/contenttype/forms"/>
  </ds:schemaRefs>
</ds:datastoreItem>
</file>

<file path=customXml/itemProps2.xml><?xml version="1.0" encoding="utf-8"?>
<ds:datastoreItem xmlns:ds="http://schemas.openxmlformats.org/officeDocument/2006/customXml" ds:itemID="{3BC1D285-083C-4FB4-B050-85CDF6414A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CBB6872-D135-42EA-8F60-2D7A01BB3B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DW_COUNCIL.dotm</Template>
  <TotalTime>9</TotalTime>
  <Pages>7</Pages>
  <Words>1361</Words>
  <Characters>7624</Characters>
  <Application>Microsoft Office Word</Application>
  <DocSecurity>0</DocSecurity>
  <Lines>181</Lines>
  <Paragraphs>55</Paragraphs>
  <ScaleCrop>false</ScaleCrop>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Konstantinos%20CHANTZARAS</dc:creator>
  <cp:keywords/>
  <dc:description/>
  <cp:lastModifiedBy>ALFARAZ SANCHEZ Maria Jose</cp:lastModifiedBy>
  <cp:revision>5</cp:revision>
  <dcterms:created xsi:type="dcterms:W3CDTF">2026-03-05T15:39:00Z</dcterms:created>
  <dcterms:modified xsi:type="dcterms:W3CDTF">2026-03-05T16:36:00Z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2026-03-05T13:42:35Z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ContentTypeId">
    <vt:lpwstr>0x010100B1C4999ACD6CE848981E0EB0D78F6234</vt:lpwstr>
  </property>
</Properties>
</file>