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160924558"/>
        <w:lock w:val="contentLocked"/>
      </w:sdtPr>
      <w:sdtEndPr>
        <w:rPr>
          <w:rFonts w:ascii="Times New Roman" w:eastAsiaTheme="minorHAnsi" w:hAnsi="Times New Roman" w:cs="Times New Roman"/>
          <w:sz w:val="24"/>
          <w:szCs w:val="22"/>
          <w:lang w:eastAsia="ro-RO" w:bidi="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502CE1" w:rsidRPr="005F5A6B" w14:paraId="745750EC" w14:textId="77777777" w:rsidTr="00EE7DE6">
            <w:trPr>
              <w:cantSplit/>
              <w:trHeight w:val="510"/>
              <w:jc w:val="center"/>
            </w:trPr>
            <w:tc>
              <w:tcPr>
                <w:tcW w:w="11344" w:type="dxa"/>
                <w:gridSpan w:val="6"/>
                <w:vAlign w:val="bottom"/>
              </w:tcPr>
              <w:p w14:paraId="40757005" w14:textId="59B07491" w:rsidR="00502CE1" w:rsidRPr="005F5A6B" w:rsidRDefault="00502CE1" w:rsidP="00EE7DE6">
                <w:pPr>
                  <w:pStyle w:val="TBNormalTechnicalBlock"/>
                  <w:jc w:val="right"/>
                  <w:rPr>
                    <w:b w:val="0"/>
                    <w:bCs/>
                  </w:rPr>
                </w:pPr>
              </w:p>
            </w:tc>
          </w:tr>
          <w:tr w:rsidR="00502CE1" w:rsidRPr="006720F9" w14:paraId="22D22F6C" w14:textId="77777777" w:rsidTr="00296074">
            <w:trPr>
              <w:cantSplit/>
              <w:trHeight w:val="567"/>
              <w:jc w:val="center"/>
            </w:trPr>
            <w:tc>
              <w:tcPr>
                <w:tcW w:w="1820" w:type="dxa"/>
                <w:gridSpan w:val="2"/>
                <w:vAlign w:val="bottom"/>
              </w:tcPr>
              <w:p w14:paraId="54C85728" w14:textId="77777777" w:rsidR="00502CE1" w:rsidRPr="006C5D93" w:rsidRDefault="00502CE1" w:rsidP="003C6CD1">
                <w:pPr>
                  <w:pStyle w:val="TBEntInstit"/>
                </w:pPr>
                <w:r w:rsidRPr="006C5D93">
                  <w:rPr>
                    <w:noProof/>
                  </w:rPr>
                  <w:drawing>
                    <wp:inline distT="0" distB="0" distL="0" distR="0" wp14:anchorId="11C13DEF" wp14:editId="3D71A53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4C48940" w14:textId="77777777" w:rsidR="00502CE1" w:rsidRPr="008414C3" w:rsidRDefault="00502CE1" w:rsidP="005125B1">
                <w:pPr>
                  <w:pStyle w:val="TBInstitution"/>
                </w:pPr>
                <w:r>
                  <w:t>Consiliul</w:t>
                </w:r>
                <w:r>
                  <w:br/>
                  <w:t>Uniunii Europene</w:t>
                </w:r>
              </w:p>
            </w:tc>
          </w:tr>
          <w:tr w:rsidR="00502CE1" w:rsidRPr="006720F9" w14:paraId="5C762055" w14:textId="77777777" w:rsidTr="00D5364D">
            <w:trPr>
              <w:gridBefore w:val="2"/>
              <w:wBefore w:w="1820" w:type="dxa"/>
              <w:cantSplit/>
              <w:trHeight w:val="1191"/>
              <w:jc w:val="center"/>
            </w:trPr>
            <w:tc>
              <w:tcPr>
                <w:tcW w:w="4558" w:type="dxa"/>
                <w:gridSpan w:val="2"/>
                <w:tcMar>
                  <w:top w:w="28" w:type="dxa"/>
                  <w:left w:w="85" w:type="dxa"/>
                </w:tcMar>
              </w:tcPr>
              <w:p w14:paraId="74720D89" w14:textId="77777777" w:rsidR="00502CE1" w:rsidRPr="00327887" w:rsidRDefault="00502CE1" w:rsidP="00762DBC">
                <w:pPr>
                  <w:pStyle w:val="TBInstitutionSubwordmark"/>
                </w:pPr>
              </w:p>
            </w:tc>
            <w:tc>
              <w:tcPr>
                <w:tcW w:w="147" w:type="dxa"/>
                <w:vAlign w:val="bottom"/>
              </w:tcPr>
              <w:p w14:paraId="567E2FAA" w14:textId="77777777" w:rsidR="00502CE1" w:rsidRPr="00093255" w:rsidRDefault="00502CE1" w:rsidP="00D5364D">
                <w:pPr>
                  <w:pStyle w:val="TBNormalTechnicalBlock"/>
                  <w:jc w:val="right"/>
                  <w:rPr>
                    <w:b w:val="0"/>
                    <w:bCs/>
                  </w:rPr>
                </w:pPr>
              </w:p>
            </w:tc>
            <w:tc>
              <w:tcPr>
                <w:tcW w:w="4819" w:type="dxa"/>
                <w:vMerge w:val="restart"/>
                <w:tcMar>
                  <w:top w:w="0" w:type="dxa"/>
                </w:tcMar>
              </w:tcPr>
              <w:p w14:paraId="41F76001" w14:textId="77777777" w:rsidR="00502CE1" w:rsidRPr="0012121B" w:rsidRDefault="00502CE1" w:rsidP="001A5B8F">
                <w:pPr>
                  <w:pStyle w:val="TBNormalTechnicalBlock"/>
                </w:pPr>
                <w:r>
                  <w:t>Bruxelles, 21 aprilie 2026</w:t>
                </w:r>
              </w:p>
              <w:p w14:paraId="4A2AD8A2" w14:textId="77777777" w:rsidR="00502CE1" w:rsidRPr="00871A20" w:rsidRDefault="00502CE1" w:rsidP="009024D2">
                <w:pPr>
                  <w:pStyle w:val="TBNormalTechnicalBlock"/>
                  <w:rPr>
                    <w:bCs/>
                  </w:rPr>
                </w:pPr>
                <w:r w:rsidRPr="00E60683">
                  <w:rPr>
                    <w:bCs/>
                  </w:rPr>
                  <w:t xml:space="preserve">(OR. </w:t>
                </w:r>
                <w:r>
                  <w:rPr>
                    <w:bCs/>
                  </w:rPr>
                  <w:t>en</w:t>
                </w:r>
                <w:r w:rsidRPr="00871A20">
                  <w:rPr>
                    <w:bCs/>
                  </w:rPr>
                  <w:t>)</w:t>
                </w:r>
              </w:p>
              <w:p w14:paraId="68C5A99F" w14:textId="77777777" w:rsidR="00502CE1" w:rsidRPr="00871A20" w:rsidRDefault="00502CE1" w:rsidP="00871A20">
                <w:pPr>
                  <w:pStyle w:val="TBNormalTechnicalBlock"/>
                  <w:jc w:val="right"/>
                </w:pPr>
              </w:p>
              <w:p w14:paraId="020932C0" w14:textId="77777777" w:rsidR="00502CE1" w:rsidRPr="00871A20" w:rsidRDefault="00502CE1" w:rsidP="00871A20">
                <w:pPr>
                  <w:pStyle w:val="TBNormalTechnicalBlock"/>
                  <w:jc w:val="right"/>
                </w:pPr>
              </w:p>
              <w:p w14:paraId="35EC9823" w14:textId="77777777" w:rsidR="00502CE1" w:rsidRPr="00F65A71" w:rsidRDefault="00502CE1" w:rsidP="009024D2">
                <w:pPr>
                  <w:pStyle w:val="TBNormalTechnicalBlock"/>
                  <w:rPr>
                    <w:bCs/>
                    <w:lang w:val="en-US"/>
                  </w:rPr>
                </w:pPr>
                <w:r>
                  <w:rPr>
                    <w:bCs/>
                    <w:lang w:val="en-US"/>
                  </w:rPr>
                  <w:t>17102/1</w:t>
                </w:r>
                <w:r w:rsidRPr="00F65A71">
                  <w:rPr>
                    <w:bCs/>
                    <w:lang w:val="en-US"/>
                  </w:rPr>
                  <w:t>/</w:t>
                </w:r>
                <w:r>
                  <w:rPr>
                    <w:bCs/>
                    <w:lang w:val="en-US"/>
                  </w:rPr>
                  <w:t>25</w:t>
                </w:r>
              </w:p>
              <w:p w14:paraId="50954CE2" w14:textId="77777777" w:rsidR="00502CE1" w:rsidRPr="00F65A71" w:rsidRDefault="00502CE1" w:rsidP="009024D2">
                <w:pPr>
                  <w:pStyle w:val="TBNormalTechnicalBlock"/>
                  <w:rPr>
                    <w:lang w:val="en-US"/>
                  </w:rPr>
                </w:pPr>
                <w:r>
                  <w:rPr>
                    <w:lang w:val="en-US"/>
                  </w:rPr>
                  <w:t>REV 1 ADD 1</w:t>
                </w:r>
              </w:p>
              <w:p w14:paraId="0AB3669A" w14:textId="77777777" w:rsidR="00502CE1" w:rsidRPr="00F65A71" w:rsidRDefault="00502CE1" w:rsidP="00871A20">
                <w:pPr>
                  <w:pStyle w:val="TBNormalTechnicalBlock"/>
                  <w:jc w:val="right"/>
                  <w:rPr>
                    <w:lang w:val="en-US"/>
                  </w:rPr>
                </w:pPr>
              </w:p>
              <w:p w14:paraId="1F73D606" w14:textId="77777777" w:rsidR="00502CE1" w:rsidRDefault="00502CE1" w:rsidP="009024D2">
                <w:pPr>
                  <w:pStyle w:val="TBNormalTechnicalBlock"/>
                </w:pPr>
              </w:p>
              <w:p w14:paraId="39E660DF" w14:textId="77777777" w:rsidR="00502CE1" w:rsidRDefault="00502CE1" w:rsidP="00871A20">
                <w:pPr>
                  <w:pStyle w:val="TBNormalTechnicalBlock"/>
                  <w:jc w:val="right"/>
                </w:pPr>
              </w:p>
              <w:p w14:paraId="561F29CC" w14:textId="77777777" w:rsidR="00502CE1" w:rsidRDefault="00502CE1">
                <w:pPr>
                  <w:pStyle w:val="TBEntRefer"/>
                  <w:tabs>
                    <w:tab w:val="left" w:pos="2265"/>
                  </w:tabs>
                </w:pPr>
                <w:r>
                  <w:t>AGRI 746</w:t>
                </w:r>
              </w:p>
              <w:p w14:paraId="04934856" w14:textId="77777777" w:rsidR="00502CE1" w:rsidRDefault="00502CE1">
                <w:pPr>
                  <w:pStyle w:val="TBEntRefer"/>
                  <w:tabs>
                    <w:tab w:val="left" w:pos="2265"/>
                  </w:tabs>
                </w:pPr>
                <w:r>
                  <w:t>AGRILEG 216</w:t>
                </w:r>
              </w:p>
              <w:p w14:paraId="214ABAD3" w14:textId="77777777" w:rsidR="00502CE1" w:rsidRDefault="00502CE1">
                <w:pPr>
                  <w:pStyle w:val="TBEntRefer"/>
                  <w:tabs>
                    <w:tab w:val="left" w:pos="2265"/>
                  </w:tabs>
                </w:pPr>
                <w:r>
                  <w:t>SEMENCES 52</w:t>
                </w:r>
              </w:p>
              <w:p w14:paraId="4AEDF13D" w14:textId="77777777" w:rsidR="00502CE1" w:rsidRDefault="00502CE1">
                <w:pPr>
                  <w:pStyle w:val="TBEntRefer"/>
                  <w:tabs>
                    <w:tab w:val="left" w:pos="2265"/>
                  </w:tabs>
                </w:pPr>
                <w:r>
                  <w:t>PHYTOSAN 65</w:t>
                </w:r>
              </w:p>
              <w:p w14:paraId="254CA108" w14:textId="77777777" w:rsidR="00502CE1" w:rsidRDefault="00502CE1">
                <w:pPr>
                  <w:pStyle w:val="TBEntRefer"/>
                  <w:tabs>
                    <w:tab w:val="left" w:pos="2265"/>
                  </w:tabs>
                </w:pPr>
                <w:r>
                  <w:t>FORETS 151</w:t>
                </w:r>
              </w:p>
              <w:p w14:paraId="07CA6AA7" w14:textId="77777777" w:rsidR="00502CE1" w:rsidRDefault="00502CE1">
                <w:pPr>
                  <w:pStyle w:val="TBEntRefer"/>
                  <w:tabs>
                    <w:tab w:val="left" w:pos="2265"/>
                  </w:tabs>
                </w:pPr>
                <w:r>
                  <w:t>CODEC 2207</w:t>
                </w:r>
              </w:p>
              <w:p w14:paraId="7B6A4BBA" w14:textId="77777777" w:rsidR="00502CE1" w:rsidRPr="00073AB8" w:rsidRDefault="00502CE1" w:rsidP="00DF51D5">
                <w:pPr>
                  <w:pStyle w:val="TBEntRefer"/>
                  <w:tabs>
                    <w:tab w:val="left" w:pos="2262"/>
                  </w:tabs>
                  <w:rPr>
                    <w:sz w:val="4"/>
                    <w:szCs w:val="4"/>
                  </w:rPr>
                </w:pPr>
              </w:p>
              <w:p w14:paraId="37E80E37" w14:textId="77777777" w:rsidR="00502CE1" w:rsidRPr="00AF13E4" w:rsidRDefault="00502CE1" w:rsidP="00AF13E4">
                <w:pPr>
                  <w:pStyle w:val="TBDistrbMarkers"/>
                </w:pPr>
                <w:r>
                  <w:t>PARLNAT</w:t>
                </w:r>
              </w:p>
            </w:tc>
          </w:tr>
          <w:tr w:rsidR="00502CE1" w:rsidRPr="006720F9" w14:paraId="4F3F8D42" w14:textId="77777777" w:rsidTr="00EE7DE6">
            <w:trPr>
              <w:gridBefore w:val="1"/>
              <w:wBefore w:w="850" w:type="dxa"/>
              <w:cantSplit/>
              <w:trHeight w:val="837"/>
              <w:jc w:val="center"/>
            </w:trPr>
            <w:tc>
              <w:tcPr>
                <w:tcW w:w="3832" w:type="dxa"/>
                <w:gridSpan w:val="2"/>
                <w:vAlign w:val="center"/>
              </w:tcPr>
              <w:p w14:paraId="3AC33A3D" w14:textId="77777777" w:rsidR="00502CE1" w:rsidRDefault="00502CE1">
                <w:pPr>
                  <w:pStyle w:val="TBEntReferNew"/>
                  <w:pBdr>
                    <w:top w:val="double" w:sz="6" w:space="2" w:color="auto"/>
                    <w:bottom w:val="double" w:sz="6" w:space="2" w:color="auto"/>
                  </w:pBdr>
                  <w:rPr>
                    <w:sz w:val="23"/>
                    <w:szCs w:val="23"/>
                  </w:rPr>
                </w:pPr>
                <w:r>
                  <w:rPr>
                    <w:sz w:val="23"/>
                    <w:szCs w:val="23"/>
                  </w:rPr>
                  <w:t>Dosar interinstituțional:</w:t>
                </w:r>
              </w:p>
              <w:p w14:paraId="6E9E1C6F" w14:textId="77777777" w:rsidR="00502CE1" w:rsidRDefault="00502CE1">
                <w:pPr>
                  <w:pStyle w:val="TBEntReferNew"/>
                  <w:pBdr>
                    <w:top w:val="double" w:sz="6" w:space="2" w:color="auto"/>
                    <w:bottom w:val="double" w:sz="6" w:space="2" w:color="auto"/>
                  </w:pBdr>
                  <w:rPr>
                    <w:sz w:val="23"/>
                    <w:szCs w:val="23"/>
                  </w:rPr>
                </w:pPr>
                <w:r>
                  <w:rPr>
                    <w:sz w:val="23"/>
                    <w:szCs w:val="23"/>
                  </w:rPr>
                  <w:t>2023/0228 (COD)</w:t>
                </w:r>
              </w:p>
            </w:tc>
            <w:tc>
              <w:tcPr>
                <w:tcW w:w="1843" w:type="dxa"/>
                <w:gridSpan w:val="2"/>
                <w:vMerge w:val="restart"/>
                <w:vAlign w:val="bottom"/>
              </w:tcPr>
              <w:p w14:paraId="42B5CC34" w14:textId="77777777" w:rsidR="00502CE1" w:rsidRPr="008F6E25" w:rsidRDefault="00502CE1" w:rsidP="00EE7DE6">
                <w:pPr>
                  <w:pStyle w:val="TBNormalTechnicalBlock"/>
                  <w:jc w:val="right"/>
                  <w:rPr>
                    <w:b w:val="0"/>
                    <w:bCs/>
                  </w:rPr>
                </w:pPr>
              </w:p>
            </w:tc>
            <w:tc>
              <w:tcPr>
                <w:tcW w:w="4819" w:type="dxa"/>
                <w:vMerge/>
              </w:tcPr>
              <w:p w14:paraId="5367C6B9" w14:textId="77777777" w:rsidR="00502CE1" w:rsidRPr="00F26BF3" w:rsidRDefault="00502CE1">
                <w:pPr>
                  <w:pStyle w:val="TBEntRefer"/>
                  <w:rPr>
                    <w:szCs w:val="23"/>
                  </w:rPr>
                </w:pPr>
              </w:p>
            </w:tc>
          </w:tr>
          <w:tr w:rsidR="00502CE1" w:rsidRPr="007D65B2" w14:paraId="60019EA4" w14:textId="77777777" w:rsidTr="00327887">
            <w:trPr>
              <w:gridBefore w:val="1"/>
              <w:wBefore w:w="850" w:type="dxa"/>
              <w:cantSplit/>
              <w:trHeight w:val="998"/>
              <w:jc w:val="center"/>
            </w:trPr>
            <w:tc>
              <w:tcPr>
                <w:tcW w:w="3832" w:type="dxa"/>
                <w:gridSpan w:val="2"/>
                <w:vAlign w:val="center"/>
              </w:tcPr>
              <w:p w14:paraId="541B05F3" w14:textId="77777777" w:rsidR="00502CE1" w:rsidRPr="007D65B2" w:rsidRDefault="00502CE1" w:rsidP="0058695F">
                <w:pPr>
                  <w:pStyle w:val="TBSousEmbargo"/>
                </w:pPr>
              </w:p>
            </w:tc>
            <w:tc>
              <w:tcPr>
                <w:tcW w:w="1843" w:type="dxa"/>
                <w:gridSpan w:val="2"/>
                <w:vMerge/>
                <w:vAlign w:val="center"/>
              </w:tcPr>
              <w:p w14:paraId="2BC0277A" w14:textId="77777777" w:rsidR="00502CE1" w:rsidRPr="008F6E25" w:rsidRDefault="00502CE1" w:rsidP="008F6E25">
                <w:pPr>
                  <w:pStyle w:val="TBNormalTechnicalBlock"/>
                  <w:rPr>
                    <w:b w:val="0"/>
                    <w:bCs/>
                  </w:rPr>
                </w:pPr>
              </w:p>
            </w:tc>
            <w:tc>
              <w:tcPr>
                <w:tcW w:w="4819" w:type="dxa"/>
                <w:vMerge/>
              </w:tcPr>
              <w:p w14:paraId="05B731E4" w14:textId="77777777" w:rsidR="00502CE1" w:rsidRPr="007D65B2" w:rsidRDefault="00502CE1">
                <w:pPr>
                  <w:pStyle w:val="TBEntRefer"/>
                  <w:rPr>
                    <w:szCs w:val="23"/>
                  </w:rPr>
                </w:pPr>
              </w:p>
            </w:tc>
          </w:tr>
        </w:tbl>
        <w:p w14:paraId="392FD6DD" w14:textId="77777777" w:rsidR="00502CE1" w:rsidRPr="007D65B2" w:rsidRDefault="00502CE1"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502CE1" w:rsidRPr="008C093D" w14:paraId="2FF391DB" w14:textId="77777777" w:rsidTr="000E0DFC">
            <w:trPr>
              <w:jc w:val="center"/>
            </w:trPr>
            <w:tc>
              <w:tcPr>
                <w:tcW w:w="9640" w:type="dxa"/>
                <w:gridSpan w:val="2"/>
              </w:tcPr>
              <w:p w14:paraId="7B52BB97" w14:textId="77777777" w:rsidR="00502CE1" w:rsidRPr="008C093D" w:rsidRDefault="00502CE1" w:rsidP="004F2640">
                <w:pPr>
                  <w:pStyle w:val="TBHeadingTable"/>
                </w:pPr>
                <w:r>
                  <w:t>EXPUNERE DE MOTIVE A CONSILIULUI</w:t>
                </w:r>
              </w:p>
            </w:tc>
          </w:tr>
          <w:tr w:rsidR="00502CE1" w:rsidRPr="00F13D39" w14:paraId="290C7404" w14:textId="77777777" w:rsidTr="00B511A2">
            <w:trPr>
              <w:jc w:val="center"/>
            </w:trPr>
            <w:tc>
              <w:tcPr>
                <w:tcW w:w="1985" w:type="dxa"/>
                <w:tcBorders>
                  <w:top w:val="single" w:sz="4" w:space="0" w:color="auto"/>
                  <w:bottom w:val="single" w:sz="4" w:space="0" w:color="auto"/>
                </w:tcBorders>
              </w:tcPr>
              <w:p w14:paraId="2E2F5E18" w14:textId="77777777" w:rsidR="00502CE1" w:rsidRPr="00F13D39" w:rsidRDefault="00502CE1" w:rsidP="00F13D39">
                <w:pPr>
                  <w:pStyle w:val="TBSubjectTable"/>
                </w:pPr>
                <w:r>
                  <w:t>Subiect:</w:t>
                </w:r>
              </w:p>
            </w:tc>
            <w:tc>
              <w:tcPr>
                <w:tcW w:w="7660" w:type="dxa"/>
                <w:tcBorders>
                  <w:top w:val="single" w:sz="4" w:space="0" w:color="auto"/>
                  <w:bottom w:val="single" w:sz="4" w:space="0" w:color="auto"/>
                </w:tcBorders>
              </w:tcPr>
              <w:p w14:paraId="6A3988E5" w14:textId="77777777" w:rsidR="00502CE1" w:rsidRDefault="00502CE1">
                <w:pPr>
                  <w:pStyle w:val="TBSubjectText"/>
                </w:pPr>
                <w:bookmarkStart w:id="0" w:name="SplitParasInCell_1"/>
                <w:bookmarkEnd w:id="0"/>
                <w:r>
                  <w:t>Poziție în primă lectură a Consiliului în vederea adoptării REGULAMENTULUI PARLAMENTULUI EUROPEAN ȘI AL CONSILIULUI privind producția și comercializarea materialului forestier de reproducere, de modificare a Regulamentelor (UE) 2016/2031 și (UE) 2017/625 ale Parlamentului European și ale Consiliului și de abrogare a Directivei 1999/105/CE a Consiliului (Regulamentul privind MFR)</w:t>
                </w:r>
              </w:p>
              <w:p w14:paraId="3C45B2A7" w14:textId="77777777" w:rsidR="00502CE1" w:rsidRDefault="00502CE1">
                <w:pPr>
                  <w:pStyle w:val="TBSubjectText"/>
                </w:pPr>
                <w:r>
                  <w:t>– Expunere de motive a Consiliului</w:t>
                </w:r>
              </w:p>
              <w:p w14:paraId="58E37500" w14:textId="77777777" w:rsidR="00502CE1" w:rsidRDefault="00502CE1">
                <w:pPr>
                  <w:pStyle w:val="TBSubjectText"/>
                </w:pPr>
                <w:r>
                  <w:t>– Adoptată de Consiliu la 21 aprilie 2026</w:t>
                </w:r>
              </w:p>
            </w:tc>
          </w:tr>
        </w:tbl>
        <w:p w14:paraId="5DCB9053" w14:textId="77777777" w:rsidR="00502CE1" w:rsidRPr="00F751C6" w:rsidRDefault="00502CE1" w:rsidP="00F751C6">
          <w:pPr>
            <w:spacing w:before="20" w:after="240" w:line="20" w:lineRule="exact"/>
            <w:rPr>
              <w:sz w:val="2"/>
              <w:szCs w:val="2"/>
            </w:rPr>
          </w:pPr>
        </w:p>
      </w:sdtContent>
    </w:sdt>
    <w:p w14:paraId="6F132CFE" w14:textId="77777777" w:rsidR="008E3A38" w:rsidRPr="00DB6EC4" w:rsidRDefault="008E3A38">
      <w:pPr>
        <w:sectPr w:rsidR="008E3A38" w:rsidRPr="00DB6EC4" w:rsidSect="00502CE1">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bookmarkStart w:id="2" w:name="DQC_RangeToBeChecked"/>
    </w:p>
    <w:p w14:paraId="4DB20296" w14:textId="77777777" w:rsidR="008E3A38" w:rsidRPr="00DB6EC4" w:rsidRDefault="008E3A38" w:rsidP="00427976">
      <w:pPr>
        <w:pStyle w:val="HeadingIVX"/>
        <w:numPr>
          <w:ilvl w:val="0"/>
          <w:numId w:val="21"/>
        </w:numPr>
      </w:pPr>
      <w:r w:rsidRPr="00DB6EC4">
        <w:lastRenderedPageBreak/>
        <w:t>INTRODUCERE</w:t>
      </w:r>
    </w:p>
    <w:p w14:paraId="411A0723" w14:textId="77777777" w:rsidR="008E3A38" w:rsidRPr="00DB6EC4" w:rsidRDefault="008E3A38" w:rsidP="00427976">
      <w:pPr>
        <w:pStyle w:val="Point123"/>
        <w:numPr>
          <w:ilvl w:val="0"/>
          <w:numId w:val="22"/>
        </w:numPr>
      </w:pPr>
      <w:r w:rsidRPr="00DB6EC4">
        <w:t>La 5 iulie 2023, Comisia a adoptat o propunere legislativă privind producția și comercializarea materialului forestier de reproducere (MFR) în UE și a transmis-o Consiliului la 6 iulie 2023</w:t>
      </w:r>
      <w:r w:rsidRPr="00DB6EC4">
        <w:rPr>
          <w:rStyle w:val="FootnoteReference"/>
        </w:rPr>
        <w:footnoteReference w:id="1"/>
      </w:r>
      <w:r w:rsidRPr="00DB6EC4">
        <w:t>.</w:t>
      </w:r>
    </w:p>
    <w:p w14:paraId="1E90B0F8" w14:textId="77777777" w:rsidR="008E3A38" w:rsidRPr="00DB6EC4" w:rsidRDefault="008E3A38" w:rsidP="00427976">
      <w:pPr>
        <w:pStyle w:val="Point123"/>
        <w:numPr>
          <w:ilvl w:val="0"/>
          <w:numId w:val="22"/>
        </w:numPr>
      </w:pPr>
      <w:r w:rsidRPr="00DB6EC4">
        <w:t>Propunerea se întemeiază pe articolul 43 alineatul (2) din Tratatul privind funcționarea Uniunii Europene (TFUE) (procedura legislativă ordinară).</w:t>
      </w:r>
    </w:p>
    <w:p w14:paraId="2FE1D91C" w14:textId="77777777" w:rsidR="008E3A38" w:rsidRPr="00DB6EC4" w:rsidRDefault="008E3A38" w:rsidP="00427976">
      <w:pPr>
        <w:pStyle w:val="Point123"/>
        <w:numPr>
          <w:ilvl w:val="0"/>
          <w:numId w:val="22"/>
        </w:numPr>
      </w:pPr>
      <w:r w:rsidRPr="00DB6EC4">
        <w:t>Comitetul Economic și Social European și-a adoptat avizul la 13 decembrie 2023</w:t>
      </w:r>
      <w:r w:rsidRPr="00DB6EC4">
        <w:rPr>
          <w:rStyle w:val="FootnoteReference"/>
        </w:rPr>
        <w:footnoteReference w:id="2"/>
      </w:r>
      <w:r w:rsidRPr="00DB6EC4">
        <w:t>.</w:t>
      </w:r>
    </w:p>
    <w:p w14:paraId="0652D7CC" w14:textId="3D641E70" w:rsidR="008E3A38" w:rsidRPr="00DB6EC4" w:rsidRDefault="008E3A38" w:rsidP="00427976">
      <w:pPr>
        <w:pStyle w:val="Point123"/>
        <w:numPr>
          <w:ilvl w:val="0"/>
          <w:numId w:val="22"/>
        </w:numPr>
      </w:pPr>
      <w:r w:rsidRPr="00DB6EC4">
        <w:t xml:space="preserve">În cadrul Parlamentului European, responsabilitatea principală revine Comisiei pentru agricultură și dezvoltare rurală (AGRI), în timp ce Comisia pentru mediu, climă și siguranță alimentară (ENVI) este asociată. Dl Herbert </w:t>
      </w:r>
      <w:proofErr w:type="spellStart"/>
      <w:r w:rsidRPr="00DB6EC4">
        <w:t>Dorfmann</w:t>
      </w:r>
      <w:proofErr w:type="spellEnd"/>
      <w:r w:rsidRPr="00DB6EC4">
        <w:t xml:space="preserve"> (PPE, Italia) a fost numit din nou în calitatea de raportor. Parlamentul European și-a adoptat poziția în primă lectură la</w:t>
      </w:r>
      <w:r w:rsidR="00502CE1">
        <w:br/>
      </w:r>
      <w:r w:rsidRPr="00DB6EC4">
        <w:t>24 aprilie 2024.</w:t>
      </w:r>
    </w:p>
    <w:p w14:paraId="332D71AB" w14:textId="77777777" w:rsidR="008E3A38" w:rsidRPr="00DB6EC4" w:rsidRDefault="008E3A38" w:rsidP="00427976">
      <w:pPr>
        <w:pStyle w:val="Point123"/>
        <w:numPr>
          <w:ilvl w:val="0"/>
          <w:numId w:val="22"/>
        </w:numPr>
      </w:pPr>
      <w:r w:rsidRPr="00DB6EC4">
        <w:t>Propunerea și evaluarea impactului aferentă</w:t>
      </w:r>
      <w:r w:rsidRPr="00DB6EC4">
        <w:rPr>
          <w:rStyle w:val="FootnoteReference"/>
        </w:rPr>
        <w:footnoteReference w:id="3"/>
      </w:r>
      <w:r w:rsidRPr="00DB6EC4">
        <w:t xml:space="preserve"> au fost prezentate în cadrul unei videoconferințe informale a membrilor Grupului de lucru pentru resurse genetice și inovare în agricultură (denumit în continuare „grupul de lucru”) la 6 iulie 2023, iar în cadrul Consiliului Agricultură și Pescuit (AGRIFISH), la 25 iulie 2023. Grupul de lucru a continuat examinarea propunerii în cadrul unor reuniuni ulterioare în cursul președințiilor spaniolă, belgiană, ungară și poloneză.</w:t>
      </w:r>
    </w:p>
    <w:p w14:paraId="716E8EAD" w14:textId="77777777" w:rsidR="008E3A38" w:rsidRPr="00DB6EC4" w:rsidRDefault="008E3A38" w:rsidP="00427976">
      <w:pPr>
        <w:pStyle w:val="Point123"/>
        <w:numPr>
          <w:ilvl w:val="0"/>
          <w:numId w:val="22"/>
        </w:numPr>
        <w:rPr>
          <w:sz w:val="23"/>
          <w:szCs w:val="23"/>
        </w:rPr>
      </w:pPr>
      <w:r w:rsidRPr="00DB6EC4">
        <w:t>La 13 iunie 2025, Comitetul Reprezentanților Permanenți a convenit asupra unui mandat al președinției în vederea începerii negocierilor cu Parlamentul European</w:t>
      </w:r>
      <w:r w:rsidRPr="00DB6EC4">
        <w:rPr>
          <w:rStyle w:val="FootnoteReference"/>
          <w:szCs w:val="23"/>
        </w:rPr>
        <w:footnoteReference w:id="4"/>
      </w:r>
      <w:r w:rsidRPr="00DB6EC4">
        <w:t>.</w:t>
      </w:r>
    </w:p>
    <w:p w14:paraId="39646FB8" w14:textId="77777777" w:rsidR="008E3A38" w:rsidRPr="00DB6EC4" w:rsidRDefault="008E3A38" w:rsidP="00427976">
      <w:pPr>
        <w:pStyle w:val="Point123"/>
        <w:numPr>
          <w:ilvl w:val="0"/>
          <w:numId w:val="22"/>
        </w:numPr>
      </w:pPr>
      <w:r w:rsidRPr="00DB6EC4">
        <w:t>La 1 septembrie 2025, Comisia AGRI a Parlamentului European a decis să înceapă negocieri interinstituționale cu Consiliul pe baza textului convenit în plen la 24 aprilie 2024. Decizia a fost confirmată în perioada de sesiune din septembrie.</w:t>
      </w:r>
    </w:p>
    <w:p w14:paraId="5D1EBCD6" w14:textId="77777777" w:rsidR="008E3A38" w:rsidRPr="00DB6EC4" w:rsidRDefault="008E3A38">
      <w:pPr>
        <w:spacing w:before="0" w:after="200" w:line="276" w:lineRule="auto"/>
      </w:pPr>
      <w:r w:rsidRPr="00DB6EC4">
        <w:br w:type="page"/>
      </w:r>
    </w:p>
    <w:p w14:paraId="7F3F3328" w14:textId="77777777" w:rsidR="008E3A38" w:rsidRPr="00DB6EC4" w:rsidRDefault="008E3A38" w:rsidP="00427976">
      <w:pPr>
        <w:pStyle w:val="Point123"/>
        <w:numPr>
          <w:ilvl w:val="0"/>
          <w:numId w:val="22"/>
        </w:numPr>
        <w:rPr>
          <w:sz w:val="23"/>
          <w:szCs w:val="23"/>
        </w:rPr>
      </w:pPr>
      <w:r w:rsidRPr="00DB6EC4">
        <w:lastRenderedPageBreak/>
        <w:t>Pe această bază, au fost purtate negocieri cu Parlamentul European și cu Comisia, în vederea obținerii unui acord timpuriu în a doua lectură.</w:t>
      </w:r>
    </w:p>
    <w:p w14:paraId="369A886F" w14:textId="77777777" w:rsidR="008E3A38" w:rsidRPr="00DB6EC4" w:rsidRDefault="008E3A38" w:rsidP="00427976">
      <w:pPr>
        <w:pStyle w:val="Point123"/>
      </w:pPr>
      <w:r w:rsidRPr="00DB6EC4">
        <w:t xml:space="preserve">În perioada septembrie-decembrie, au avut loc 12 reuniuni tehnice interinstituționale. </w:t>
      </w:r>
      <w:proofErr w:type="spellStart"/>
      <w:r w:rsidRPr="00DB6EC4">
        <w:t>Trilogul</w:t>
      </w:r>
      <w:proofErr w:type="spellEnd"/>
      <w:r w:rsidRPr="00DB6EC4">
        <w:t xml:space="preserve"> a fost pregătit de Comitetul Reprezentanților Permanenți la 14 noiembrie 2025</w:t>
      </w:r>
      <w:r w:rsidRPr="00DB6EC4">
        <w:rPr>
          <w:rStyle w:val="FootnoteReference"/>
        </w:rPr>
        <w:footnoteReference w:id="5"/>
      </w:r>
      <w:r w:rsidRPr="00DB6EC4">
        <w:t xml:space="preserve"> și a avut loc la 8 decembrie 2025. </w:t>
      </w:r>
      <w:proofErr w:type="spellStart"/>
      <w:r w:rsidRPr="00DB6EC4">
        <w:t>Colegiuitorii</w:t>
      </w:r>
      <w:proofErr w:type="spellEnd"/>
      <w:r w:rsidRPr="00DB6EC4">
        <w:t xml:space="preserve"> au ajuns la un acord provizoriu general în cursul </w:t>
      </w:r>
      <w:proofErr w:type="spellStart"/>
      <w:r w:rsidRPr="00DB6EC4">
        <w:t>trilogului</w:t>
      </w:r>
      <w:proofErr w:type="spellEnd"/>
      <w:r w:rsidRPr="00DB6EC4">
        <w:t xml:space="preserve"> respectiv, iar acordul a fost ulterior consolidat într-un text final de compromis.</w:t>
      </w:r>
    </w:p>
    <w:p w14:paraId="6170CA63" w14:textId="77777777" w:rsidR="008E3A38" w:rsidRPr="00DB6EC4" w:rsidRDefault="008E3A38" w:rsidP="00427976">
      <w:pPr>
        <w:pStyle w:val="Point123"/>
      </w:pPr>
      <w:r w:rsidRPr="00DB6EC4">
        <w:t xml:space="preserve">La 10 decembrie 2025, Comitetul Reprezentanților Permanenți a fost informat cu privire la rezultatul </w:t>
      </w:r>
      <w:proofErr w:type="spellStart"/>
      <w:r w:rsidRPr="00DB6EC4">
        <w:t>trilogului</w:t>
      </w:r>
      <w:proofErr w:type="spellEnd"/>
      <w:r w:rsidRPr="00DB6EC4">
        <w:t>.</w:t>
      </w:r>
    </w:p>
    <w:p w14:paraId="3F111D6B" w14:textId="77777777" w:rsidR="008E3A38" w:rsidRPr="00DB6EC4" w:rsidRDefault="008E3A38" w:rsidP="00427976">
      <w:pPr>
        <w:pStyle w:val="Point123"/>
      </w:pPr>
      <w:r w:rsidRPr="00DB6EC4">
        <w:t>La 19 decembrie 2025, Comitetul Reprezentanților Permanenți a analizat textul de compromis final și a confirmat acordul</w:t>
      </w:r>
      <w:r w:rsidRPr="00DB6EC4">
        <w:rPr>
          <w:rStyle w:val="FootnoteReference"/>
        </w:rPr>
        <w:footnoteReference w:id="6"/>
      </w:r>
      <w:r w:rsidRPr="00DB6EC4">
        <w:t>.</w:t>
      </w:r>
    </w:p>
    <w:p w14:paraId="0EA26977" w14:textId="5A39BA25" w:rsidR="008E3A38" w:rsidRPr="00DB6EC4" w:rsidRDefault="008E3A38" w:rsidP="00427976">
      <w:pPr>
        <w:pStyle w:val="Point123"/>
      </w:pPr>
      <w:r w:rsidRPr="00DB6EC4">
        <w:t>La 24 februarie 2026, Comisia AGRI a Parlamentului European a votat în favoarea textului convenit. La 5 martie 2026, președinta Comisiei AGRI a trimis o scrisoare președintelui Comitetului Reprezentanților Permanenți în care afirma că, în cazul în care Consiliul va transmite Parlamentului European poziția sa în forma convenită, sub rezerva revizuirii textului de către experții juriști-lingviști, va recomanda plenului să accepte fără amendamente poziția Consiliului în cadrul celei de a doua lecturi a Parlamentului</w:t>
      </w:r>
      <w:r w:rsidRPr="00DB6EC4">
        <w:rPr>
          <w:rStyle w:val="FootnoteReference"/>
        </w:rPr>
        <w:footnoteReference w:id="7"/>
      </w:r>
      <w:r w:rsidRPr="00DB6EC4">
        <w:t>. Textul anexat la scrisoare corespunde textului susținut de Comitetul Reprezentanților Permanenți la 19</w:t>
      </w:r>
      <w:r w:rsidR="00502CE1">
        <w:t> </w:t>
      </w:r>
      <w:r w:rsidRPr="00DB6EC4">
        <w:t>decembrie 2025.</w:t>
      </w:r>
    </w:p>
    <w:p w14:paraId="07B4BAAC" w14:textId="77777777" w:rsidR="008E3A38" w:rsidRPr="00DB6EC4" w:rsidRDefault="008E3A38">
      <w:pPr>
        <w:spacing w:before="0" w:after="200" w:line="276" w:lineRule="auto"/>
        <w:rPr>
          <w:b/>
          <w:caps/>
          <w:u w:val="single"/>
        </w:rPr>
      </w:pPr>
      <w:r w:rsidRPr="00DB6EC4">
        <w:br w:type="page"/>
      </w:r>
    </w:p>
    <w:p w14:paraId="3B6A140E" w14:textId="77777777" w:rsidR="008E3A38" w:rsidRPr="00DB6EC4" w:rsidRDefault="008E3A38" w:rsidP="00427976">
      <w:pPr>
        <w:pStyle w:val="HeadingIVX"/>
      </w:pPr>
      <w:r w:rsidRPr="00DB6EC4">
        <w:lastRenderedPageBreak/>
        <w:t>OBIECTIV</w:t>
      </w:r>
    </w:p>
    <w:p w14:paraId="6F902012" w14:textId="77777777" w:rsidR="008E3A38" w:rsidRPr="00DB6EC4" w:rsidRDefault="008E3A38" w:rsidP="00427976">
      <w:pPr>
        <w:pStyle w:val="Point123"/>
        <w:spacing w:before="0"/>
      </w:pPr>
      <w:r w:rsidRPr="00DB6EC4">
        <w:t xml:space="preserve">Obiectivul propunerii de regulament privind MFR este de a înlocui Directiva 1999/105/CE a Consiliului, clarificând domeniul de aplicare al acesteia și actualizând dispozițiile acesteia. Regulamentul urmărește să atingă mai multe obiective-cheie, inclusiv asigurarea trasabilității prin recoltarea materialului forestier de reproducere de la arbori parentali înregistrați (materialul de bază) și certificarea MFR pentru a garanta o calitate ridicată a materialului. Urmărește, de asemenea, să asigure condiții de concurență echitabile pentru operatori și să stimuleze inovarea și competitivitatea în sectorul MFR, abordând totodată provocările legate de durabilitate și climă. În plus, regulamentul va fi adaptat la noile evoluții științifice și tehnice, cum ar fi tehnicile </w:t>
      </w:r>
      <w:proofErr w:type="spellStart"/>
      <w:r w:rsidRPr="00DB6EC4">
        <w:t>biomoleculare</w:t>
      </w:r>
      <w:proofErr w:type="spellEnd"/>
      <w:r w:rsidRPr="00DB6EC4">
        <w:t xml:space="preserve"> și digitalizarea, și va sprijini conservarea și utilizarea durabilă a resurselor genetice forestiere. În sfârșit, regulamentul este menit să îmbunătățească coerența cu legislația existentă în domeniul controalelor oficiale și al sănătății plantelor.</w:t>
      </w:r>
    </w:p>
    <w:p w14:paraId="072B3B38" w14:textId="77777777" w:rsidR="008E3A38" w:rsidRPr="00DB6EC4" w:rsidRDefault="008E3A38" w:rsidP="00427976">
      <w:pPr>
        <w:pStyle w:val="HeadingIVX"/>
      </w:pPr>
      <w:r w:rsidRPr="00DB6EC4">
        <w:t>ANALIZA POZIȚIEI ÎN PRIMĂ LECTURĂ A CONSILIULUI</w:t>
      </w:r>
    </w:p>
    <w:p w14:paraId="208B7D61" w14:textId="77777777" w:rsidR="008E3A38" w:rsidRPr="00DB6EC4" w:rsidRDefault="008E3A38" w:rsidP="00427976">
      <w:pPr>
        <w:pStyle w:val="Point123"/>
      </w:pPr>
      <w:r w:rsidRPr="00DB6EC4">
        <w:t xml:space="preserve">Poziția în primă lectură a Consiliului conține următoarele elemente principale, asupra cărora </w:t>
      </w:r>
      <w:proofErr w:type="spellStart"/>
      <w:r w:rsidRPr="00DB6EC4">
        <w:t>colegiuitorii</w:t>
      </w:r>
      <w:proofErr w:type="spellEnd"/>
      <w:r w:rsidRPr="00DB6EC4">
        <w:t xml:space="preserve"> au ajuns la un acord:</w:t>
      </w:r>
    </w:p>
    <w:p w14:paraId="2255C842" w14:textId="77777777" w:rsidR="008E3A38" w:rsidRPr="00DB6EC4" w:rsidRDefault="008E3A38" w:rsidP="00427976">
      <w:pPr>
        <w:pStyle w:val="Point123"/>
      </w:pPr>
      <w:r w:rsidRPr="00DB6EC4">
        <w:t xml:space="preserve">Noul regulament instituie un </w:t>
      </w:r>
      <w:r w:rsidRPr="00DB6EC4">
        <w:rPr>
          <w:b/>
        </w:rPr>
        <w:t>sistem de control</w:t>
      </w:r>
      <w:r w:rsidRPr="00DB6EC4">
        <w:t xml:space="preserve"> adaptat și eficient </w:t>
      </w:r>
      <w:r w:rsidRPr="00DB6EC4">
        <w:rPr>
          <w:b/>
        </w:rPr>
        <w:t>pentru MFR</w:t>
      </w:r>
      <w:r w:rsidRPr="00DB6EC4">
        <w:t>, pe care îl exclude din domeniul de aplicare al Regulamentului privind controalele oficiale (2017/625), menținând însă trimiteri încrucișate la anumite articole din Regulamentul 2017/625. Statele membre vor avea obligația de a desemna autorități competente care să aibă resurse și competențe adecvate, inclusiv acces la sediile operatorilor și la documentația relevantă, pentru a efectua aceste controale.</w:t>
      </w:r>
    </w:p>
    <w:p w14:paraId="4FF05388" w14:textId="77777777" w:rsidR="008E3A38" w:rsidRPr="00DB6EC4" w:rsidRDefault="008E3A38" w:rsidP="00427976">
      <w:pPr>
        <w:pStyle w:val="Point123"/>
      </w:pPr>
      <w:r w:rsidRPr="00DB6EC4">
        <w:t>Pentru a completa acest sistem, anumite dispoziții din Regulamentul 2017/625 vor fi ajustate și incluse în Regulamentul privind MFR. Aceste dispoziții vor acoperi aspecte precum evidențele scrise ale controalelor, certificarea oficială, controalele efectuate de Comisie în statele membre, sancțiunile și transparența controalelor.</w:t>
      </w:r>
    </w:p>
    <w:p w14:paraId="51C17427" w14:textId="77777777" w:rsidR="008E3A38" w:rsidRPr="00DB6EC4" w:rsidRDefault="008E3A38" w:rsidP="00427976">
      <w:pPr>
        <w:pStyle w:val="Point123"/>
      </w:pPr>
      <w:r w:rsidRPr="00DB6EC4">
        <w:t>Obiectivul general al acestui sistem de control este de a asigura o supraveghere consecventă și fiabilă din partea autorităților competente, reducând în același timp la minimum sarcinile administrative și financiare în toate statele membre.</w:t>
      </w:r>
    </w:p>
    <w:p w14:paraId="0591DDA7" w14:textId="77777777" w:rsidR="008E3A38" w:rsidRPr="00DB6EC4" w:rsidRDefault="008E3A38">
      <w:pPr>
        <w:spacing w:before="0" w:after="200" w:line="276" w:lineRule="auto"/>
      </w:pPr>
      <w:r w:rsidRPr="00DB6EC4">
        <w:br w:type="page"/>
      </w:r>
    </w:p>
    <w:p w14:paraId="47F10F35" w14:textId="77777777" w:rsidR="008E3A38" w:rsidRPr="00DB6EC4" w:rsidRDefault="008E3A38" w:rsidP="00427976">
      <w:pPr>
        <w:pStyle w:val="Point123"/>
      </w:pPr>
      <w:proofErr w:type="spellStart"/>
      <w:r w:rsidRPr="00DB6EC4">
        <w:lastRenderedPageBreak/>
        <w:t>Colegiuitorii</w:t>
      </w:r>
      <w:proofErr w:type="spellEnd"/>
      <w:r w:rsidRPr="00DB6EC4">
        <w:t xml:space="preserve"> au convenit că elaborarea </w:t>
      </w:r>
      <w:r w:rsidRPr="00DB6EC4">
        <w:rPr>
          <w:b/>
        </w:rPr>
        <w:t>planurilor naționale de urgență</w:t>
      </w:r>
      <w:r w:rsidRPr="00DB6EC4">
        <w:t xml:space="preserve"> va rămâne voluntară și se va baza pe cerințe simplificate. Acest lucru va reduce sarcina administrativă, permițând totodată statelor membre să își consolideze pregătirea și capacitatea necesare. În urma unei solicitări din partea Parlamentului, lista elementelor care </w:t>
      </w:r>
      <w:r w:rsidRPr="00DB6EC4">
        <w:rPr>
          <w:i/>
        </w:rPr>
        <w:t>pot</w:t>
      </w:r>
      <w:r w:rsidRPr="00DB6EC4">
        <w:t xml:space="preserve"> fi incluse în aceste planuri a fost extinsă, iar Comisia a fost împuternicită, în temeiul articolului 9 alineatul (5), să specifice elemente care să sprijine elaborarea și punerea lor în aplicare.</w:t>
      </w:r>
    </w:p>
    <w:p w14:paraId="05E13F4C" w14:textId="77777777" w:rsidR="008E3A38" w:rsidRPr="00DB6EC4" w:rsidRDefault="008E3A38" w:rsidP="00427976">
      <w:pPr>
        <w:pStyle w:val="Point123"/>
      </w:pPr>
      <w:r w:rsidRPr="00DB6EC4">
        <w:t xml:space="preserve">În ceea ce privește </w:t>
      </w:r>
      <w:r w:rsidRPr="00DB6EC4">
        <w:rPr>
          <w:b/>
        </w:rPr>
        <w:t>aprobarea materialului de bază</w:t>
      </w:r>
      <w:r w:rsidRPr="00DB6EC4">
        <w:t>, acordul menține principiile existente de aprobare a materialului de bază și de certificare a MFR recoltat. Dispoziții noi prevăd că statele membre trebuie să includă materialul de bază aprobat în registrele lor naționale, la nivelul UE întocmindu-se o listă corespunzătoare pentru trasabilitate. Statele membre pot autoriza operatori profesioniști să aprobe, sub supraveghere oficială, material de bază în scopul conservării, însă păstrează puterea de decizie finală în ceea ce privește includerea acestuia în registrele naționale.</w:t>
      </w:r>
    </w:p>
    <w:p w14:paraId="2D45EE53" w14:textId="77777777" w:rsidR="008E3A38" w:rsidRPr="00DB6EC4" w:rsidRDefault="008E3A38" w:rsidP="00427976">
      <w:pPr>
        <w:pStyle w:val="Point123"/>
      </w:pPr>
      <w:r w:rsidRPr="00DB6EC4">
        <w:t xml:space="preserve">Pentru a consolida și mai mult calitatea MFR în Uniune, </w:t>
      </w:r>
      <w:r w:rsidRPr="00DB6EC4">
        <w:rPr>
          <w:b/>
        </w:rPr>
        <w:t>lista speciilor de arbori</w:t>
      </w:r>
      <w:r w:rsidRPr="00DB6EC4">
        <w:t xml:space="preserve"> care fac obiectul regulamentului a fost extinsă. Statele membre vor avea în continuare posibilitatea de a aplica măsuri mai stricte sau mai puțin stricte în cazul speciilor de arbori care nu sunt incluse în anexa I – o flexibilitate menită să reflecte realitățile naționale din domeniul forestier.</w:t>
      </w:r>
    </w:p>
    <w:p w14:paraId="6ED4A3F7" w14:textId="77777777" w:rsidR="008E3A38" w:rsidRPr="00DB6EC4" w:rsidRDefault="008E3A38" w:rsidP="00427976">
      <w:pPr>
        <w:pStyle w:val="Point123"/>
      </w:pPr>
      <w:r w:rsidRPr="00DB6EC4">
        <w:t xml:space="preserve">În ceea ce privește </w:t>
      </w:r>
      <w:r w:rsidRPr="00DB6EC4">
        <w:rPr>
          <w:b/>
        </w:rPr>
        <w:t>cerințele de comercializare pentru organismele dăunătoare care afectează calitatea</w:t>
      </w:r>
      <w:r w:rsidRPr="00DB6EC4">
        <w:t>, acordul final include o dispoziție solicitată de Parlament. Controalele se vor efectua pe bază de riscuri, iar examinarea se limitează la verificarea absenței simptomelor, ceea ce reduce sarcinile administrative. Acest aspect este susținut de o nouă definiție a „organismelor dăunătoare care afectează calitatea” inclusă în regulament.</w:t>
      </w:r>
    </w:p>
    <w:p w14:paraId="6EA33550" w14:textId="77777777" w:rsidR="008E3A38" w:rsidRPr="00DB6EC4" w:rsidRDefault="008E3A38" w:rsidP="00427976">
      <w:pPr>
        <w:pStyle w:val="Point123"/>
      </w:pPr>
      <w:r w:rsidRPr="00DB6EC4">
        <w:t xml:space="preserve">Data </w:t>
      </w:r>
      <w:r w:rsidRPr="00DB6EC4">
        <w:rPr>
          <w:b/>
        </w:rPr>
        <w:t>aplicării</w:t>
      </w:r>
      <w:r w:rsidRPr="00DB6EC4">
        <w:t xml:space="preserve"> regulamentului a fost amânată de la trei la cinci ani de la intrarea în vigoare, astfel încât să se acorde timp pentru adaptarea necesară a practicilor naționale consacrate de peste 25 de ani și pentru punerea în aplicare a noului sistem de control.</w:t>
      </w:r>
    </w:p>
    <w:p w14:paraId="06411E33" w14:textId="77777777" w:rsidR="008E3A38" w:rsidRPr="00DB6EC4" w:rsidRDefault="008E3A38">
      <w:pPr>
        <w:spacing w:before="0" w:after="200" w:line="276" w:lineRule="auto"/>
      </w:pPr>
      <w:r w:rsidRPr="00DB6EC4">
        <w:br w:type="page"/>
      </w:r>
    </w:p>
    <w:p w14:paraId="0B303FCE" w14:textId="77777777" w:rsidR="008E3A38" w:rsidRPr="00DB6EC4" w:rsidRDefault="008E3A38" w:rsidP="00427976">
      <w:pPr>
        <w:pStyle w:val="Point123"/>
      </w:pPr>
      <w:r w:rsidRPr="00DB6EC4">
        <w:lastRenderedPageBreak/>
        <w:t xml:space="preserve">Pentru </w:t>
      </w:r>
      <w:r w:rsidRPr="00DB6EC4">
        <w:rPr>
          <w:b/>
        </w:rPr>
        <w:t>importurile de MFR din țări terțe</w:t>
      </w:r>
      <w:r w:rsidRPr="00DB6EC4">
        <w:t xml:space="preserve"> nu mai este obligatorie participarea la Sistemul OCDE pentru semințe și plante forestiere, dar Comisia poate lua în considerare acest aspect atunci când evaluează dacă MFR în cauză îndeplinește cerințe echivalente cu cele aplicabile în Uniune. Prin derogare, la cererea unui stat membru, Comisia poate autoriza temporar importuri de MFR dintr-o țară terță care nu îndeplinește cerințele respective, în cazul în care se poate demonstra că în unul sau mai multe state membre există un deficit de specii din cauza unor evenimente excepționale și deficitul respectiv nu poate fi remediat cu sprijin din partea altor state membre sau a unor țări terțe pentru care a fost stabilită echivalența.</w:t>
      </w:r>
    </w:p>
    <w:p w14:paraId="550C7AEE" w14:textId="77777777" w:rsidR="008E3A38" w:rsidRPr="00DB6EC4" w:rsidRDefault="008E3A38" w:rsidP="00427976">
      <w:pPr>
        <w:pStyle w:val="HeadingIVX"/>
      </w:pPr>
      <w:r w:rsidRPr="00DB6EC4">
        <w:t>CONCLUZIE</w:t>
      </w:r>
    </w:p>
    <w:p w14:paraId="5AD4E609" w14:textId="77777777" w:rsidR="008E3A38" w:rsidRPr="00DB6EC4" w:rsidRDefault="008E3A38" w:rsidP="00427976">
      <w:pPr>
        <w:pStyle w:val="Point123"/>
      </w:pPr>
      <w:r w:rsidRPr="00DB6EC4">
        <w:t>Poziția Consiliului susține obiectivul propunerii Comisiei și reflectă pe deplin compromisul la care s-a ajuns în cadrul negocierilor dintre Consiliu și Parlamentul European, cu sprijinul Comisiei.</w:t>
      </w:r>
    </w:p>
    <w:p w14:paraId="3489BE7D" w14:textId="77777777" w:rsidR="008E3A38" w:rsidRPr="00DB6EC4" w:rsidRDefault="008E3A38" w:rsidP="00427976">
      <w:pPr>
        <w:pStyle w:val="Point123"/>
      </w:pPr>
      <w:r w:rsidRPr="00DB6EC4">
        <w:t>Prin urmare, Consiliul consideră că poziția sa în primă lectură reflectă în mod echilibrat rezultatul negocierilor și că, odată adoptat, regulamentul va contribui la consolidarea durabilității și a rezilienței pădurilor Europei prin îmbunătățirea calității și a disponibilității MFR, sprijinind inovarea și reziliența la schimbările climatice. Regulamentul va sprijini, de asemenea, competitivitatea sectorului forestier al UE.</w:t>
      </w:r>
    </w:p>
    <w:bookmarkEnd w:id="2"/>
    <w:p w14:paraId="235D855F" w14:textId="77777777" w:rsidR="008E3A38" w:rsidRDefault="008E3A38">
      <w:pPr>
        <w:pStyle w:val="FinalLine"/>
      </w:pPr>
    </w:p>
    <w:sectPr w:rsidR="008E3A38" w:rsidSect="00502CE1">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10E41" w14:textId="77777777" w:rsidR="00144FF1" w:rsidRDefault="00144FF1" w:rsidP="00A43C50">
      <w:r>
        <w:separator/>
      </w:r>
    </w:p>
  </w:endnote>
  <w:endnote w:type="continuationSeparator" w:id="0">
    <w:p w14:paraId="57C902A7"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8647" w14:textId="77777777" w:rsidR="00502CE1" w:rsidRDefault="00502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02CE1" w:rsidRPr="00D94637" w14:paraId="561CDCAA" w14:textId="77777777" w:rsidTr="00502CE1">
      <w:trPr>
        <w:jc w:val="center"/>
      </w:trPr>
      <w:tc>
        <w:tcPr>
          <w:tcW w:w="5000" w:type="pct"/>
          <w:gridSpan w:val="7"/>
          <w:shd w:val="clear" w:color="auto" w:fill="auto"/>
          <w:tcMar>
            <w:top w:w="57" w:type="dxa"/>
          </w:tcMar>
        </w:tcPr>
        <w:p w14:paraId="1F608D63" w14:textId="77777777" w:rsidR="00502CE1" w:rsidRPr="00D94637" w:rsidRDefault="00502CE1" w:rsidP="00D94637">
          <w:pPr>
            <w:pStyle w:val="FooterText"/>
            <w:pBdr>
              <w:top w:val="single" w:sz="4" w:space="1" w:color="auto"/>
            </w:pBdr>
            <w:spacing w:before="200"/>
            <w:rPr>
              <w:sz w:val="2"/>
              <w:szCs w:val="2"/>
            </w:rPr>
          </w:pPr>
          <w:bookmarkStart w:id="1" w:name="FOOTER_STANDARD"/>
        </w:p>
      </w:tc>
    </w:tr>
    <w:tr w:rsidR="00502CE1" w:rsidRPr="00B310DC" w14:paraId="0A646CE0" w14:textId="77777777" w:rsidTr="00502CE1">
      <w:trPr>
        <w:jc w:val="center"/>
      </w:trPr>
      <w:tc>
        <w:tcPr>
          <w:tcW w:w="2500" w:type="pct"/>
          <w:gridSpan w:val="2"/>
          <w:shd w:val="clear" w:color="auto" w:fill="auto"/>
          <w:tcMar>
            <w:top w:w="0" w:type="dxa"/>
          </w:tcMar>
        </w:tcPr>
        <w:p w14:paraId="2C4A4D76" w14:textId="01CE0167" w:rsidR="00502CE1" w:rsidRPr="00AD7BF2" w:rsidRDefault="00502CE1" w:rsidP="004F54B2">
          <w:pPr>
            <w:pStyle w:val="FooterText"/>
          </w:pPr>
          <w:r>
            <w:t>17102/1/25</w:t>
          </w:r>
          <w:r w:rsidRPr="002511D8">
            <w:t xml:space="preserve"> </w:t>
          </w:r>
          <w:r>
            <w:t>REV 1 ADD 1</w:t>
          </w:r>
        </w:p>
      </w:tc>
      <w:tc>
        <w:tcPr>
          <w:tcW w:w="625" w:type="pct"/>
          <w:shd w:val="clear" w:color="auto" w:fill="auto"/>
          <w:tcMar>
            <w:top w:w="0" w:type="dxa"/>
          </w:tcMar>
        </w:tcPr>
        <w:p w14:paraId="398A6A54" w14:textId="77777777" w:rsidR="00502CE1" w:rsidRPr="00AD7BF2" w:rsidRDefault="00502CE1" w:rsidP="00D94637">
          <w:pPr>
            <w:pStyle w:val="FooterText"/>
            <w:jc w:val="center"/>
          </w:pPr>
        </w:p>
      </w:tc>
      <w:tc>
        <w:tcPr>
          <w:tcW w:w="1286" w:type="pct"/>
          <w:gridSpan w:val="3"/>
          <w:shd w:val="clear" w:color="auto" w:fill="auto"/>
          <w:tcMar>
            <w:top w:w="0" w:type="dxa"/>
          </w:tcMar>
        </w:tcPr>
        <w:p w14:paraId="0E1DF6C7" w14:textId="77777777" w:rsidR="00502CE1" w:rsidRPr="002511D8" w:rsidRDefault="00502CE1" w:rsidP="00D94637">
          <w:pPr>
            <w:pStyle w:val="FooterText"/>
            <w:jc w:val="center"/>
          </w:pPr>
        </w:p>
      </w:tc>
      <w:tc>
        <w:tcPr>
          <w:tcW w:w="589" w:type="pct"/>
          <w:shd w:val="clear" w:color="auto" w:fill="auto"/>
          <w:tcMar>
            <w:top w:w="0" w:type="dxa"/>
          </w:tcMar>
        </w:tcPr>
        <w:p w14:paraId="2E90F71A" w14:textId="33FC218C" w:rsidR="00502CE1" w:rsidRPr="00B310DC" w:rsidRDefault="00502CE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502CE1" w:rsidRPr="00D94637" w14:paraId="4D4BFE55" w14:textId="77777777" w:rsidTr="00502CE1">
      <w:trPr>
        <w:jc w:val="center"/>
      </w:trPr>
      <w:tc>
        <w:tcPr>
          <w:tcW w:w="1774" w:type="pct"/>
          <w:shd w:val="clear" w:color="auto" w:fill="auto"/>
        </w:tcPr>
        <w:p w14:paraId="49B18B57" w14:textId="76D5F974" w:rsidR="00502CE1" w:rsidRPr="00AD7BF2" w:rsidRDefault="00502CE1" w:rsidP="00D94637">
          <w:pPr>
            <w:pStyle w:val="FooterText"/>
            <w:spacing w:before="40"/>
          </w:pPr>
        </w:p>
      </w:tc>
      <w:tc>
        <w:tcPr>
          <w:tcW w:w="1455" w:type="pct"/>
          <w:gridSpan w:val="3"/>
          <w:shd w:val="clear" w:color="auto" w:fill="auto"/>
        </w:tcPr>
        <w:p w14:paraId="3B3B6AC3" w14:textId="77653226" w:rsidR="00502CE1" w:rsidRPr="00AD7BF2" w:rsidRDefault="00502CE1" w:rsidP="00D204D6">
          <w:pPr>
            <w:pStyle w:val="FooterText"/>
            <w:spacing w:before="40"/>
            <w:jc w:val="center"/>
          </w:pPr>
          <w:r>
            <w:t>GIP.INST.002</w:t>
          </w:r>
        </w:p>
      </w:tc>
      <w:tc>
        <w:tcPr>
          <w:tcW w:w="742" w:type="pct"/>
          <w:shd w:val="clear" w:color="auto" w:fill="auto"/>
        </w:tcPr>
        <w:p w14:paraId="717B92BA" w14:textId="4FC66DDF" w:rsidR="00502CE1" w:rsidRPr="00D94637" w:rsidRDefault="00502CE1" w:rsidP="002F0099">
          <w:pPr>
            <w:pStyle w:val="FooterText"/>
            <w:jc w:val="center"/>
            <w:rPr>
              <w:b/>
              <w:position w:val="-4"/>
              <w:sz w:val="36"/>
            </w:rPr>
          </w:pPr>
        </w:p>
      </w:tc>
      <w:tc>
        <w:tcPr>
          <w:tcW w:w="1029" w:type="pct"/>
          <w:gridSpan w:val="2"/>
          <w:shd w:val="clear" w:color="auto" w:fill="auto"/>
        </w:tcPr>
        <w:p w14:paraId="2CB8EC3F" w14:textId="5E3FEF93" w:rsidR="00502CE1" w:rsidRPr="00695BAF" w:rsidRDefault="00502CE1" w:rsidP="00D94637">
          <w:pPr>
            <w:pStyle w:val="FooterText"/>
            <w:jc w:val="right"/>
            <w:rPr>
              <w:caps/>
              <w:spacing w:val="-20"/>
              <w:sz w:val="16"/>
            </w:rPr>
          </w:pPr>
          <w:r>
            <w:rPr>
              <w:b/>
              <w:caps/>
              <w:spacing w:val="-20"/>
              <w:position w:val="-4"/>
              <w:sz w:val="36"/>
            </w:rPr>
            <w:t>RO</w:t>
          </w:r>
        </w:p>
      </w:tc>
    </w:tr>
    <w:bookmarkEnd w:id="1"/>
  </w:tbl>
  <w:p w14:paraId="36ADD8EB" w14:textId="77777777" w:rsidR="00DB6EC4" w:rsidRPr="00502CE1" w:rsidRDefault="00DB6EC4" w:rsidP="00502CE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02CE1" w:rsidRPr="00D94637" w14:paraId="168F5B06" w14:textId="77777777" w:rsidTr="00502CE1">
      <w:trPr>
        <w:jc w:val="center"/>
      </w:trPr>
      <w:tc>
        <w:tcPr>
          <w:tcW w:w="5000" w:type="pct"/>
          <w:gridSpan w:val="7"/>
          <w:shd w:val="clear" w:color="auto" w:fill="auto"/>
          <w:tcMar>
            <w:top w:w="57" w:type="dxa"/>
          </w:tcMar>
        </w:tcPr>
        <w:p w14:paraId="71063796" w14:textId="77777777" w:rsidR="00502CE1" w:rsidRPr="00D94637" w:rsidRDefault="00502CE1" w:rsidP="00D94637">
          <w:pPr>
            <w:pStyle w:val="FooterText"/>
            <w:pBdr>
              <w:top w:val="single" w:sz="4" w:space="1" w:color="auto"/>
            </w:pBdr>
            <w:spacing w:before="200"/>
            <w:rPr>
              <w:sz w:val="2"/>
              <w:szCs w:val="2"/>
            </w:rPr>
          </w:pPr>
        </w:p>
      </w:tc>
    </w:tr>
    <w:tr w:rsidR="00502CE1" w:rsidRPr="00B310DC" w14:paraId="24026F79" w14:textId="77777777" w:rsidTr="00502CE1">
      <w:trPr>
        <w:jc w:val="center"/>
      </w:trPr>
      <w:tc>
        <w:tcPr>
          <w:tcW w:w="2500" w:type="pct"/>
          <w:gridSpan w:val="2"/>
          <w:shd w:val="clear" w:color="auto" w:fill="auto"/>
          <w:tcMar>
            <w:top w:w="0" w:type="dxa"/>
          </w:tcMar>
        </w:tcPr>
        <w:p w14:paraId="14A3AD74" w14:textId="57C1F694" w:rsidR="00502CE1" w:rsidRPr="00AD7BF2" w:rsidRDefault="00502CE1" w:rsidP="004F54B2">
          <w:pPr>
            <w:pStyle w:val="FooterText"/>
          </w:pPr>
          <w:r>
            <w:t>17102/1/25</w:t>
          </w:r>
          <w:r w:rsidRPr="002511D8">
            <w:t xml:space="preserve"> </w:t>
          </w:r>
          <w:r>
            <w:t>REV 1 ADD 1</w:t>
          </w:r>
        </w:p>
      </w:tc>
      <w:tc>
        <w:tcPr>
          <w:tcW w:w="625" w:type="pct"/>
          <w:shd w:val="clear" w:color="auto" w:fill="auto"/>
          <w:tcMar>
            <w:top w:w="0" w:type="dxa"/>
          </w:tcMar>
        </w:tcPr>
        <w:p w14:paraId="6641FE6D" w14:textId="77777777" w:rsidR="00502CE1" w:rsidRPr="00AD7BF2" w:rsidRDefault="00502CE1" w:rsidP="00D94637">
          <w:pPr>
            <w:pStyle w:val="FooterText"/>
            <w:jc w:val="center"/>
          </w:pPr>
        </w:p>
      </w:tc>
      <w:tc>
        <w:tcPr>
          <w:tcW w:w="1286" w:type="pct"/>
          <w:gridSpan w:val="3"/>
          <w:shd w:val="clear" w:color="auto" w:fill="auto"/>
          <w:tcMar>
            <w:top w:w="0" w:type="dxa"/>
          </w:tcMar>
        </w:tcPr>
        <w:p w14:paraId="0CCA79C9" w14:textId="77777777" w:rsidR="00502CE1" w:rsidRPr="002511D8" w:rsidRDefault="00502CE1" w:rsidP="00D94637">
          <w:pPr>
            <w:pStyle w:val="FooterText"/>
            <w:jc w:val="center"/>
          </w:pPr>
        </w:p>
      </w:tc>
      <w:tc>
        <w:tcPr>
          <w:tcW w:w="589" w:type="pct"/>
          <w:shd w:val="clear" w:color="auto" w:fill="auto"/>
          <w:tcMar>
            <w:top w:w="0" w:type="dxa"/>
          </w:tcMar>
        </w:tcPr>
        <w:p w14:paraId="4EAED3DC" w14:textId="2905F2F1" w:rsidR="00502CE1" w:rsidRPr="00B310DC" w:rsidRDefault="00502CE1"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502CE1" w:rsidRPr="00D94637" w14:paraId="0A568D23" w14:textId="77777777" w:rsidTr="00502CE1">
      <w:trPr>
        <w:jc w:val="center"/>
      </w:trPr>
      <w:tc>
        <w:tcPr>
          <w:tcW w:w="1774" w:type="pct"/>
          <w:shd w:val="clear" w:color="auto" w:fill="auto"/>
        </w:tcPr>
        <w:p w14:paraId="0C7B328D" w14:textId="4B174CAD" w:rsidR="00502CE1" w:rsidRPr="00AD7BF2" w:rsidRDefault="00502CE1" w:rsidP="00D94637">
          <w:pPr>
            <w:pStyle w:val="FooterText"/>
            <w:spacing w:before="40"/>
          </w:pPr>
        </w:p>
      </w:tc>
      <w:tc>
        <w:tcPr>
          <w:tcW w:w="1455" w:type="pct"/>
          <w:gridSpan w:val="3"/>
          <w:shd w:val="clear" w:color="auto" w:fill="auto"/>
        </w:tcPr>
        <w:p w14:paraId="6D4F0A89" w14:textId="763A5F71" w:rsidR="00502CE1" w:rsidRPr="00AD7BF2" w:rsidRDefault="00502CE1" w:rsidP="00D204D6">
          <w:pPr>
            <w:pStyle w:val="FooterText"/>
            <w:spacing w:before="40"/>
            <w:jc w:val="center"/>
          </w:pPr>
          <w:r>
            <w:t>GIP.INST.002</w:t>
          </w:r>
        </w:p>
      </w:tc>
      <w:tc>
        <w:tcPr>
          <w:tcW w:w="742" w:type="pct"/>
          <w:shd w:val="clear" w:color="auto" w:fill="auto"/>
        </w:tcPr>
        <w:p w14:paraId="0C541645" w14:textId="018FFCC6" w:rsidR="00502CE1" w:rsidRPr="00D94637" w:rsidRDefault="00502CE1" w:rsidP="002F0099">
          <w:pPr>
            <w:pStyle w:val="FooterText"/>
            <w:jc w:val="center"/>
            <w:rPr>
              <w:b/>
              <w:position w:val="-4"/>
              <w:sz w:val="36"/>
            </w:rPr>
          </w:pPr>
        </w:p>
      </w:tc>
      <w:tc>
        <w:tcPr>
          <w:tcW w:w="1029" w:type="pct"/>
          <w:gridSpan w:val="2"/>
          <w:shd w:val="clear" w:color="auto" w:fill="auto"/>
        </w:tcPr>
        <w:p w14:paraId="10E70925" w14:textId="7B3E6844" w:rsidR="00502CE1" w:rsidRPr="00695BAF" w:rsidRDefault="00502CE1" w:rsidP="00D94637">
          <w:pPr>
            <w:pStyle w:val="FooterText"/>
            <w:jc w:val="right"/>
            <w:rPr>
              <w:caps/>
              <w:spacing w:val="-20"/>
              <w:sz w:val="16"/>
            </w:rPr>
          </w:pPr>
          <w:r>
            <w:rPr>
              <w:b/>
              <w:caps/>
              <w:spacing w:val="-20"/>
              <w:position w:val="-4"/>
              <w:sz w:val="36"/>
            </w:rPr>
            <w:t>RO</w:t>
          </w:r>
        </w:p>
      </w:tc>
    </w:tr>
  </w:tbl>
  <w:p w14:paraId="2D218153" w14:textId="77777777" w:rsidR="00DB6EC4" w:rsidRPr="00502CE1" w:rsidRDefault="00DB6EC4" w:rsidP="00502CE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B9A5" w14:textId="77777777" w:rsidR="00B608C5" w:rsidRPr="00502CE1" w:rsidRDefault="00B608C5" w:rsidP="00502C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0C4D" w14:textId="77777777" w:rsidR="00B608C5" w:rsidRPr="00502CE1" w:rsidRDefault="00B608C5" w:rsidP="00502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37595" w14:textId="77777777" w:rsidR="00144FF1" w:rsidRDefault="00144FF1" w:rsidP="00A43C50">
      <w:r>
        <w:separator/>
      </w:r>
    </w:p>
  </w:footnote>
  <w:footnote w:type="continuationSeparator" w:id="0">
    <w:p w14:paraId="2416688C" w14:textId="77777777" w:rsidR="00144FF1" w:rsidRDefault="00144FF1" w:rsidP="00A43C50">
      <w:r>
        <w:continuationSeparator/>
      </w:r>
    </w:p>
  </w:footnote>
  <w:footnote w:id="1">
    <w:p w14:paraId="3E7A0FF4" w14:textId="77777777" w:rsidR="008E3A38" w:rsidRPr="00DB6EC4" w:rsidRDefault="008E3A38" w:rsidP="00427976">
      <w:pPr>
        <w:pStyle w:val="FootnoteText"/>
      </w:pPr>
      <w:r w:rsidRPr="00DB6EC4">
        <w:rPr>
          <w:rStyle w:val="FootnoteReference"/>
        </w:rPr>
        <w:footnoteRef/>
      </w:r>
      <w:r w:rsidRPr="00DB6EC4">
        <w:tab/>
        <w:t>11503/23+ADD 1.</w:t>
      </w:r>
    </w:p>
  </w:footnote>
  <w:footnote w:id="2">
    <w:p w14:paraId="6BC2CABF" w14:textId="77777777" w:rsidR="008E3A38" w:rsidRPr="00DB6EC4" w:rsidRDefault="008E3A38" w:rsidP="00427976">
      <w:pPr>
        <w:pStyle w:val="FootnoteText"/>
      </w:pPr>
      <w:r w:rsidRPr="00DB6EC4">
        <w:rPr>
          <w:rStyle w:val="FootnoteReference"/>
        </w:rPr>
        <w:footnoteRef/>
      </w:r>
      <w:r w:rsidRPr="00DB6EC4">
        <w:tab/>
      </w:r>
      <w:r w:rsidRPr="00DB6EC4">
        <w:t>5402/24.</w:t>
      </w:r>
    </w:p>
  </w:footnote>
  <w:footnote w:id="3">
    <w:p w14:paraId="2AE8E9B0" w14:textId="77777777" w:rsidR="008E3A38" w:rsidRPr="00DB6EC4" w:rsidRDefault="008E3A38" w:rsidP="00427976">
      <w:pPr>
        <w:pStyle w:val="FootnoteText"/>
      </w:pPr>
      <w:r w:rsidRPr="00DB6EC4">
        <w:rPr>
          <w:rStyle w:val="FootnoteReference"/>
        </w:rPr>
        <w:footnoteRef/>
      </w:r>
      <w:r w:rsidRPr="00DB6EC4">
        <w:tab/>
      </w:r>
      <w:r w:rsidRPr="00DB6EC4">
        <w:t>11694/23.</w:t>
      </w:r>
    </w:p>
  </w:footnote>
  <w:footnote w:id="4">
    <w:p w14:paraId="4459D8C8" w14:textId="77777777" w:rsidR="008E3A38" w:rsidRPr="00DB6EC4" w:rsidRDefault="008E3A38" w:rsidP="00427976">
      <w:pPr>
        <w:pStyle w:val="FootnoteText"/>
      </w:pPr>
      <w:r w:rsidRPr="00DB6EC4">
        <w:rPr>
          <w:rStyle w:val="FootnoteReference"/>
        </w:rPr>
        <w:footnoteRef/>
      </w:r>
      <w:r w:rsidRPr="00DB6EC4">
        <w:tab/>
      </w:r>
      <w:r w:rsidRPr="00DB6EC4">
        <w:t>9694/25 REV 1.</w:t>
      </w:r>
    </w:p>
  </w:footnote>
  <w:footnote w:id="5">
    <w:p w14:paraId="45DE5450" w14:textId="77777777" w:rsidR="008E3A38" w:rsidRPr="00DB6EC4" w:rsidRDefault="008E3A38" w:rsidP="00427976">
      <w:pPr>
        <w:pStyle w:val="FootnoteText"/>
      </w:pPr>
      <w:r w:rsidRPr="00DB6EC4">
        <w:rPr>
          <w:rStyle w:val="FootnoteReference"/>
        </w:rPr>
        <w:footnoteRef/>
      </w:r>
      <w:r w:rsidRPr="00DB6EC4">
        <w:tab/>
      </w:r>
      <w:r w:rsidRPr="00DB6EC4">
        <w:t>13836/25.</w:t>
      </w:r>
    </w:p>
  </w:footnote>
  <w:footnote w:id="6">
    <w:p w14:paraId="7D554ADD" w14:textId="77777777" w:rsidR="008E3A38" w:rsidRPr="00DB6EC4" w:rsidRDefault="008E3A38" w:rsidP="00427976">
      <w:pPr>
        <w:pStyle w:val="FootnoteText"/>
      </w:pPr>
      <w:r w:rsidRPr="00DB6EC4">
        <w:rPr>
          <w:rStyle w:val="FootnoteReference"/>
        </w:rPr>
        <w:footnoteRef/>
      </w:r>
      <w:r w:rsidRPr="00DB6EC4">
        <w:tab/>
      </w:r>
      <w:r w:rsidRPr="00DB6EC4">
        <w:t>17064/25.</w:t>
      </w:r>
    </w:p>
  </w:footnote>
  <w:footnote w:id="7">
    <w:p w14:paraId="4C25FD44" w14:textId="77777777" w:rsidR="008E3A38" w:rsidRPr="00DB6EC4" w:rsidRDefault="008E3A38" w:rsidP="00427976">
      <w:pPr>
        <w:pStyle w:val="FootnoteText"/>
      </w:pPr>
      <w:r w:rsidRPr="00DB6EC4">
        <w:rPr>
          <w:rStyle w:val="FootnoteReference"/>
        </w:rPr>
        <w:footnoteRef/>
      </w:r>
      <w:r w:rsidRPr="00DB6EC4">
        <w:tab/>
      </w:r>
      <w:r w:rsidRPr="00DB6EC4">
        <w:t>7031/26.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DC14" w14:textId="77777777" w:rsidR="00502CE1" w:rsidRDefault="00502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96DF" w14:textId="6B7E1D2F" w:rsidR="00DB6EC4" w:rsidRPr="00502CE1" w:rsidRDefault="00502CE1" w:rsidP="00502CE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EBDD0" w14:textId="2EE5C50B" w:rsidR="00DB6EC4" w:rsidRPr="00502CE1" w:rsidRDefault="00502CE1" w:rsidP="00502CE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7FB6" w14:textId="77777777" w:rsidR="00B608C5" w:rsidRPr="00502CE1" w:rsidRDefault="00B608C5" w:rsidP="00502C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D275" w14:textId="77777777" w:rsidR="00B608C5" w:rsidRPr="00502CE1" w:rsidRDefault="00B608C5" w:rsidP="00502CE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DDE2" w14:textId="77777777" w:rsidR="00B608C5" w:rsidRPr="00502CE1" w:rsidRDefault="00B608C5" w:rsidP="00502C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901674190">
    <w:abstractNumId w:val="0"/>
  </w:num>
  <w:num w:numId="2" w16cid:durableId="1262179772">
    <w:abstractNumId w:val="6"/>
  </w:num>
  <w:num w:numId="3" w16cid:durableId="1894584750">
    <w:abstractNumId w:val="8"/>
  </w:num>
  <w:num w:numId="4" w16cid:durableId="1187331804">
    <w:abstractNumId w:val="5"/>
  </w:num>
  <w:num w:numId="5" w16cid:durableId="1741323952">
    <w:abstractNumId w:val="4"/>
  </w:num>
  <w:num w:numId="6" w16cid:durableId="1003976185">
    <w:abstractNumId w:val="13"/>
  </w:num>
  <w:num w:numId="7" w16cid:durableId="1282882044">
    <w:abstractNumId w:val="18"/>
  </w:num>
  <w:num w:numId="8" w16cid:durableId="2036880246">
    <w:abstractNumId w:val="14"/>
  </w:num>
  <w:num w:numId="9" w16cid:durableId="1050762310">
    <w:abstractNumId w:val="1"/>
  </w:num>
  <w:num w:numId="10" w16cid:durableId="1300646556">
    <w:abstractNumId w:val="15"/>
  </w:num>
  <w:num w:numId="11" w16cid:durableId="724569521">
    <w:abstractNumId w:val="11"/>
  </w:num>
  <w:num w:numId="12" w16cid:durableId="1882012254">
    <w:abstractNumId w:val="2"/>
  </w:num>
  <w:num w:numId="13" w16cid:durableId="46539392">
    <w:abstractNumId w:val="17"/>
  </w:num>
  <w:num w:numId="14" w16cid:durableId="972053509">
    <w:abstractNumId w:val="19"/>
  </w:num>
  <w:num w:numId="15" w16cid:durableId="1011419002">
    <w:abstractNumId w:val="9"/>
  </w:num>
  <w:num w:numId="16" w16cid:durableId="350034987">
    <w:abstractNumId w:val="16"/>
  </w:num>
  <w:num w:numId="17" w16cid:durableId="1650745791">
    <w:abstractNumId w:val="12"/>
  </w:num>
  <w:num w:numId="18" w16cid:durableId="1939488323">
    <w:abstractNumId w:val="10"/>
  </w:num>
  <w:num w:numId="19" w16cid:durableId="1034620818">
    <w:abstractNumId w:val="7"/>
  </w:num>
  <w:num w:numId="20" w16cid:durableId="372192258">
    <w:abstractNumId w:val="3"/>
  </w:num>
  <w:num w:numId="21" w16cid:durableId="249588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4596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3889032601971876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10&quot; text=&quot;Statement&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4-21&lt;/text&gt;_x000d__x000a_  &lt;/metadata&gt;_x000d__x000a_  &lt;metadata key=&quot;md_Prefix&quot; translate=&quot;false&quot;&gt;_x000d__x000a_    &lt;text&gt;&lt;/text&gt;_x000d__x000a_  &lt;/metadata&gt;_x000d__x000a_  &lt;metadata key=&quot;md_DocumentNumber&quot; translate=&quot;false&quot;&gt;_x000d__x000a_    &lt;text&gt;17102&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AGRI 746&lt;/text&gt;_x000d__x000a_      &lt;text&gt;AGRILEG 216&lt;/text&gt;_x000d__x000a_      &lt;text&gt;SEMENCES 52&lt;/text&gt;_x000d__x000a_      &lt;text&gt;PHYTOSAN 65&lt;/text&gt;_x000d__x000a_      &lt;text&gt;FORETS 151&lt;/text&gt;_x000d__x000a_      &lt;text&gt;CODEC 2207&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228 (COD)&lt;/text&gt;_x000d__x000a_    &lt;/textlist&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produc&amp;#539;ia &amp;#537;i comercializarea materialului forestier de reproducere, de modificare a Regulamentelor (UE) 2016/2031 &amp;#537;i (UE) 2017/625 ale Parlamentului European &amp;#537;i ale Consiliului &amp;#537;i de abrogare a Directivei 1999/105/CE a Consiliului (Regulamentul privind MFR) &amp;#8211; Expunere de motive a Consiliului &amp;#8211; Adoptat&amp;#259; de Consiliu la 21 aprilie 2026&quot;&gt;&amp;lt;FlowDocument FontFamily=&quot;Segoe UI&quot; FontSize=&quot;12&quot; LineHeight=&quot;6&quot; PageWidth=&quot;329&quot; PagePadding=&quot;2,2,2,2&quot; AllowDrop=&quot;False&quot; xmlns=&quot;http://schemas.microsoft.com/winfx/2006/xaml/presentation&quot;&amp;gt;&amp;lt;Paragraph&amp;gt;Pozi&amp;#539;ie în prim&amp;#259; lectur&amp;#259; a Consiliului în vederea adopt&amp;#259;rii REGULAMENTULUI PARLAMENTULUI EUROPEAN &amp;#536;I AL CONSILIULUI privind produc&amp;#539;ia &amp;#537;i comercializarea materialului forestier de reproducere, de modificare a Regulamentelor (UE) 2016/2031 &amp;#537;i (UE) 2017/625 ale Parlamentului European &amp;#537;i ale Consiliului &amp;#537;i de abrogare a Directivei 1999/105/CE a Consiliului (Regulamentul privind MFR)&amp;lt;/Paragraph&amp;gt;&amp;lt;Paragraph&amp;gt;&amp;#8211; Expunere de motive a Consiliului&amp;lt;/Paragraph&amp;gt;&amp;lt;Paragraph&amp;gt;&amp;#8211; Adoptat&amp;#259; de Consiliu la 21 april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00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 /&gt;_x000d__x000a_  &lt;metadata key=&quot;md_Rectif_Source2_UniqueHeading&quot; /&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 /&gt;_x000d__x000a_  &lt;metadata key=&quot;md_CoverPageDocWithCouncilFooter&quot; translate=&quot;false&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COUNCIL"/>
    <w:docVar w:name="DW_TechnicalBlockHash" w:val="a2e6ec4a73a0f3a9fe3ac744972ed3d671ea33b647624742c5f07871bccf6ef2"/>
  </w:docVars>
  <w:rsids>
    <w:rsidRoot w:val="00A86151"/>
    <w:rsid w:val="00052D7C"/>
    <w:rsid w:val="00131C38"/>
    <w:rsid w:val="00144FF1"/>
    <w:rsid w:val="001C16E9"/>
    <w:rsid w:val="001D2864"/>
    <w:rsid w:val="003558E4"/>
    <w:rsid w:val="003A5DD1"/>
    <w:rsid w:val="003B3627"/>
    <w:rsid w:val="003C184A"/>
    <w:rsid w:val="00443A64"/>
    <w:rsid w:val="004F4DBE"/>
    <w:rsid w:val="00502CE1"/>
    <w:rsid w:val="00540EA2"/>
    <w:rsid w:val="0054146C"/>
    <w:rsid w:val="00546796"/>
    <w:rsid w:val="005C227C"/>
    <w:rsid w:val="00693C75"/>
    <w:rsid w:val="007F499B"/>
    <w:rsid w:val="00854E58"/>
    <w:rsid w:val="00857957"/>
    <w:rsid w:val="00894139"/>
    <w:rsid w:val="008E3A38"/>
    <w:rsid w:val="00967049"/>
    <w:rsid w:val="00A43C50"/>
    <w:rsid w:val="00A86151"/>
    <w:rsid w:val="00AB4DBE"/>
    <w:rsid w:val="00B608C5"/>
    <w:rsid w:val="00D3039B"/>
    <w:rsid w:val="00D93DFA"/>
    <w:rsid w:val="00DB6EC4"/>
    <w:rsid w:val="00E13959"/>
    <w:rsid w:val="00F92F5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A8D2F4"/>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502CE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502CE1"/>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502CE1"/>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502CE1"/>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02CE1"/>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02CE1"/>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02CE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02CE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02CE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02CE1"/>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02CE1"/>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502CE1"/>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02CE1"/>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02CE1"/>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02CE1"/>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02CE1"/>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ftrefCharCharCharCharCharCharCharCharChar"/>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27976"/>
    <w:pPr>
      <w:spacing w:before="0" w:after="160" w:line="240" w:lineRule="exact"/>
    </w:pPr>
    <w:rPr>
      <w:rFonts w:asciiTheme="minorHAnsi" w:hAnsiTheme="minorHAnsi" w:cstheme="minorBidi"/>
      <w:b/>
      <w:sz w:val="22"/>
      <w:vertAlign w:val="superscript"/>
    </w:rPr>
  </w:style>
  <w:style w:type="character" w:styleId="PlaceholderText">
    <w:name w:val="Placeholder Text"/>
    <w:basedOn w:val="DefaultParagraphFont"/>
    <w:uiPriority w:val="99"/>
    <w:semiHidden/>
    <w:rsid w:val="00DB6E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CB9EE-6535-4F44-BE4B-8881D3278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D9E7ED-7FC5-4008-AE25-04CDCA6C0E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DFC178-9D6C-41C6-BEEA-5C9A8237D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4</TotalTime>
  <Pages>6</Pages>
  <Words>1453</Words>
  <Characters>8210</Characters>
  <Application>Microsoft Office Word</Application>
  <DocSecurity>0</DocSecurity>
  <Lines>164</Lines>
  <Paragraphs>60</Paragraphs>
  <ScaleCrop>false</ScaleCrop>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Urszula%20ROBINSON</dc:creator>
  <cp:keywords/>
  <dc:description/>
  <cp:lastModifiedBy>ALFARAZ SANCHEZ Maria Jose</cp:lastModifiedBy>
  <cp:revision>4</cp:revision>
  <dcterms:created xsi:type="dcterms:W3CDTF">2026-04-22T06:22:00Z</dcterms:created>
  <dcterms:modified xsi:type="dcterms:W3CDTF">2026-04-22T09:11:00Z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2026-04-21T16:09:06Z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0x010100BA35A70D7A9DA44587CF3FC6B64A4D5A</vt:lpwstr>
  </property>
</Properties>
</file>