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pPr>
    </w:p>
    <w:tbl>
      <w:tblPr>
        <w:tblStyle w:val="38"/>
        <w:tblW w:w="9906" w:type="dxa"/>
        <w:tblInd w:w="0" w:type="dxa"/>
        <w:tblLayout w:type="fixed"/>
        <w:tblCellMar>
          <w:top w:w="0" w:type="dxa"/>
          <w:left w:w="108" w:type="dxa"/>
          <w:bottom w:w="0" w:type="dxa"/>
          <w:right w:w="108" w:type="dxa"/>
        </w:tblCellMar>
      </w:tblPr>
      <w:tblGrid>
        <w:gridCol w:w="1685"/>
        <w:gridCol w:w="5581"/>
        <w:gridCol w:w="2640"/>
      </w:tblGrid>
      <w:tr>
        <w:tblPrEx>
          <w:tblCellMar>
            <w:top w:w="0" w:type="dxa"/>
            <w:left w:w="108" w:type="dxa"/>
            <w:bottom w:w="0" w:type="dxa"/>
            <w:right w:w="108" w:type="dxa"/>
          </w:tblCellMar>
        </w:tblPrEx>
        <w:trPr>
          <w:trHeight w:val="1987" w:hRule="atLeast"/>
        </w:trPr>
        <w:tc>
          <w:tcPr>
            <w:tcW w:w="1685" w:type="dxa"/>
            <w:vAlign w:val="center"/>
          </w:tcPr>
          <w:p>
            <w:pPr>
              <w:snapToGrid w:val="0"/>
              <w:jc w:val="center"/>
              <w:rPr>
                <w:rFonts w:ascii="Times New Roman" w:hAnsi="Times New Roman" w:eastAsia="SimSun"/>
                <w:color w:val="FF0000"/>
              </w:rPr>
            </w:pPr>
          </w:p>
        </w:tc>
        <w:tc>
          <w:tcPr>
            <w:tcW w:w="5581" w:type="dxa"/>
            <w:vAlign w:val="center"/>
          </w:tcPr>
          <w:p>
            <w:pPr>
              <w:snapToGrid w:val="0"/>
              <w:ind w:right="-114"/>
              <w:jc w:val="center"/>
              <w:rPr>
                <w:rFonts w:ascii="Verdana" w:hAnsi="Verdana" w:eastAsia="Verdana" w:cs="Verdana"/>
                <w:b/>
                <w:sz w:val="28"/>
                <w:szCs w:val="28"/>
              </w:rPr>
            </w:pPr>
            <w:r>
              <w:rPr>
                <w:rFonts w:ascii="Verdana" w:hAnsi="Verdana" w:eastAsia="Verdana" w:cs="Verdana"/>
                <w:b/>
                <w:color w:val="FF0000"/>
                <w:lang w:val="en-US"/>
              </w:rPr>
              <w:drawing>
                <wp:inline distT="0" distB="0" distL="0" distR="0">
                  <wp:extent cx="828675" cy="904875"/>
                  <wp:effectExtent l="19050" t="0" r="9525" b="0"/>
                  <wp:docPr id="1" name="image1.jpg" descr="CD COLOR 2016 "/>
                  <wp:cNvGraphicFramePr/>
                  <a:graphic xmlns:a="http://schemas.openxmlformats.org/drawingml/2006/main">
                    <a:graphicData uri="http://schemas.openxmlformats.org/drawingml/2006/picture">
                      <pic:pic xmlns:pic="http://schemas.openxmlformats.org/drawingml/2006/picture">
                        <pic:nvPicPr>
                          <pic:cNvPr id="1" name="image1.jpg" descr="CD COLOR 2016 "/>
                          <pic:cNvPicPr preferRelativeResize="0">
                            <a:picLocks noChangeArrowheads="1"/>
                          </pic:cNvPicPr>
                        </pic:nvPicPr>
                        <pic:blipFill>
                          <a:blip r:embed="rId8" cstate="print"/>
                          <a:srcRect/>
                          <a:stretch>
                            <a:fillRect/>
                          </a:stretch>
                        </pic:blipFill>
                        <pic:spPr>
                          <a:xfrm>
                            <a:off x="0" y="0"/>
                            <a:ext cx="828675" cy="904875"/>
                          </a:xfrm>
                          <a:prstGeom prst="rect">
                            <a:avLst/>
                          </a:prstGeom>
                          <a:noFill/>
                          <a:ln w="9525" cmpd="sng">
                            <a:noFill/>
                            <a:miter lim="800000"/>
                            <a:headEnd/>
                            <a:tailEnd/>
                          </a:ln>
                        </pic:spPr>
                      </pic:pic>
                    </a:graphicData>
                  </a:graphic>
                </wp:inline>
              </w:drawing>
            </w:r>
          </w:p>
          <w:p>
            <w:pPr>
              <w:snapToGrid w:val="0"/>
              <w:ind w:right="-114"/>
              <w:jc w:val="center"/>
              <w:rPr>
                <w:rFonts w:ascii="Verdana" w:hAnsi="Verdana" w:eastAsia="Verdana" w:cs="Verdana"/>
                <w:b/>
                <w:sz w:val="28"/>
                <w:szCs w:val="28"/>
              </w:rPr>
            </w:pPr>
            <w:r>
              <w:rPr>
                <w:rFonts w:ascii="Verdana" w:hAnsi="Verdana" w:eastAsia="Verdana" w:cs="Verdana"/>
                <w:b/>
                <w:sz w:val="28"/>
                <w:szCs w:val="28"/>
              </w:rPr>
              <w:t>Parlamentul României</w:t>
            </w:r>
          </w:p>
          <w:p>
            <w:pPr>
              <w:snapToGrid w:val="0"/>
              <w:ind w:right="-114"/>
              <w:jc w:val="center"/>
              <w:rPr>
                <w:rFonts w:ascii="Times New Roman" w:hAnsi="Times New Roman" w:eastAsia="SimSun"/>
                <w:color w:val="FF0000"/>
              </w:rPr>
            </w:pPr>
            <w:r>
              <w:rPr>
                <w:rFonts w:ascii="Verdana" w:hAnsi="Verdana" w:eastAsia="Verdana" w:cs="Verdana"/>
                <w:b/>
                <w:sz w:val="28"/>
                <w:szCs w:val="28"/>
              </w:rPr>
              <w:t>Camera Deputaţilor</w:t>
            </w:r>
          </w:p>
        </w:tc>
        <w:tc>
          <w:tcPr>
            <w:tcW w:w="2640" w:type="dxa"/>
          </w:tcPr>
          <w:p>
            <w:pPr>
              <w:snapToGrid w:val="0"/>
              <w:jc w:val="center"/>
              <w:rPr>
                <w:rFonts w:ascii="Times New Roman" w:hAnsi="Times New Roman" w:eastAsia="SimSun"/>
                <w:color w:val="FF0000"/>
                <w:lang w:val="ro-RO"/>
              </w:rPr>
            </w:pPr>
          </w:p>
        </w:tc>
      </w:tr>
    </w:tbl>
    <w:p>
      <w:pPr>
        <w:snapToGrid w:val="0"/>
        <w:ind w:right="-21"/>
        <w:jc w:val="center"/>
        <w:rPr>
          <w:rFonts w:ascii="Verdana" w:hAnsi="Verdana" w:eastAsia="Verdana" w:cs="Verdana"/>
          <w:b/>
          <w:color w:val="FF0000"/>
        </w:rPr>
      </w:pPr>
    </w:p>
    <w:tbl>
      <w:tblPr>
        <w:tblStyle w:val="39"/>
        <w:tblW w:w="9905" w:type="dxa"/>
        <w:tblInd w:w="0" w:type="dxa"/>
        <w:tblLayout w:type="fixed"/>
        <w:tblCellMar>
          <w:top w:w="0" w:type="dxa"/>
          <w:left w:w="107" w:type="dxa"/>
          <w:bottom w:w="0" w:type="dxa"/>
          <w:right w:w="107" w:type="dxa"/>
        </w:tblCellMar>
      </w:tblPr>
      <w:tblGrid>
        <w:gridCol w:w="3992"/>
        <w:gridCol w:w="2277"/>
        <w:gridCol w:w="3636"/>
      </w:tblGrid>
      <w:tr>
        <w:tblPrEx>
          <w:tblCellMar>
            <w:top w:w="0" w:type="dxa"/>
            <w:left w:w="107" w:type="dxa"/>
            <w:bottom w:w="0" w:type="dxa"/>
            <w:right w:w="107" w:type="dxa"/>
          </w:tblCellMar>
        </w:tblPrEx>
        <w:trPr>
          <w:trHeight w:val="90" w:hRule="atLeast"/>
        </w:trPr>
        <w:tc>
          <w:tcPr>
            <w:tcW w:w="3992" w:type="dxa"/>
          </w:tcPr>
          <w:p>
            <w:pPr>
              <w:snapToGrid w:val="0"/>
              <w:spacing w:line="276" w:lineRule="auto"/>
              <w:jc w:val="center"/>
              <w:rPr>
                <w:rFonts w:ascii="Times New Roman" w:hAnsi="Times New Roman" w:eastAsia="Times New Roman"/>
                <w:b/>
                <w:sz w:val="24"/>
                <w:szCs w:val="24"/>
              </w:rPr>
            </w:pPr>
            <w:r>
              <w:rPr>
                <w:rFonts w:ascii="Times New Roman" w:hAnsi="Times New Roman" w:eastAsia="Times New Roman"/>
                <w:b/>
                <w:sz w:val="24"/>
                <w:szCs w:val="24"/>
              </w:rPr>
              <w:t>Comisia pentru mediu şi echilibru ecologic</w:t>
            </w:r>
          </w:p>
          <w:p>
            <w:pPr>
              <w:snapToGrid w:val="0"/>
              <w:spacing w:line="276" w:lineRule="auto"/>
              <w:jc w:val="center"/>
              <w:rPr>
                <w:rFonts w:ascii="Times New Roman" w:hAnsi="Times New Roman" w:eastAsia="Times New Roman"/>
                <w:b/>
                <w:sz w:val="24"/>
                <w:szCs w:val="24"/>
              </w:rPr>
            </w:pPr>
          </w:p>
          <w:p>
            <w:pPr>
              <w:snapToGrid w:val="0"/>
              <w:ind w:right="-21"/>
              <w:jc w:val="center"/>
              <w:rPr>
                <w:rFonts w:ascii="Times New Roman" w:hAnsi="Times New Roman" w:eastAsia="Times New Roman"/>
                <w:b/>
                <w:sz w:val="24"/>
                <w:szCs w:val="24"/>
              </w:rPr>
            </w:pPr>
            <w:r>
              <w:rPr>
                <w:rFonts w:ascii="Times New Roman" w:hAnsi="Times New Roman" w:eastAsia="SimSun"/>
                <w:b/>
                <w:bCs/>
                <w:sz w:val="24"/>
                <w:szCs w:val="24"/>
              </w:rPr>
              <w:t>Nr. 4c-8/</w:t>
            </w:r>
            <w:r>
              <w:rPr>
                <w:rFonts w:ascii="Times New Roman" w:hAnsi="Times New Roman" w:eastAsia="SimSun"/>
                <w:b/>
                <w:bCs/>
                <w:sz w:val="24"/>
                <w:szCs w:val="24"/>
                <w:lang w:val="ro-RO"/>
              </w:rPr>
              <w:t>898</w:t>
            </w:r>
            <w:r>
              <w:rPr>
                <w:rFonts w:ascii="Times New Roman" w:hAnsi="Times New Roman" w:eastAsia="SimSun"/>
                <w:b/>
                <w:bCs/>
                <w:sz w:val="24"/>
                <w:szCs w:val="24"/>
              </w:rPr>
              <w:t>/2020</w:t>
            </w:r>
          </w:p>
          <w:p>
            <w:pPr>
              <w:snapToGrid w:val="0"/>
              <w:rPr>
                <w:rFonts w:ascii="Times New Roman" w:hAnsi="Times New Roman" w:eastAsia="Times New Roman"/>
                <w:b/>
                <w:sz w:val="24"/>
                <w:szCs w:val="24"/>
              </w:rPr>
            </w:pPr>
            <w:r>
              <w:rPr>
                <w:rFonts w:ascii="Times New Roman" w:hAnsi="Times New Roman" w:eastAsia="Times New Roman"/>
                <w:b/>
                <w:sz w:val="24"/>
                <w:szCs w:val="24"/>
              </w:rPr>
              <w:t xml:space="preserve">        </w:t>
            </w:r>
          </w:p>
        </w:tc>
        <w:tc>
          <w:tcPr>
            <w:tcW w:w="2277" w:type="dxa"/>
          </w:tcPr>
          <w:p>
            <w:pPr>
              <w:snapToGrid w:val="0"/>
              <w:ind w:right="-21"/>
              <w:jc w:val="center"/>
              <w:rPr>
                <w:rFonts w:ascii="Times New Roman" w:hAnsi="Times New Roman" w:eastAsia="Times New Roman"/>
                <w:sz w:val="24"/>
                <w:szCs w:val="24"/>
              </w:rPr>
            </w:pPr>
          </w:p>
        </w:tc>
        <w:tc>
          <w:tcPr>
            <w:tcW w:w="3636" w:type="dxa"/>
          </w:tcPr>
          <w:p>
            <w:pPr>
              <w:snapToGrid w:val="0"/>
              <w:ind w:right="-21"/>
              <w:jc w:val="center"/>
              <w:rPr>
                <w:rFonts w:ascii="Times New Roman" w:hAnsi="Times New Roman" w:eastAsia="Times New Roman"/>
                <w:b/>
                <w:sz w:val="24"/>
                <w:szCs w:val="24"/>
              </w:rPr>
            </w:pPr>
            <w:r>
              <w:rPr>
                <w:rFonts w:ascii="Times New Roman" w:hAnsi="Times New Roman" w:eastAsia="Times New Roman"/>
                <w:b/>
                <w:sz w:val="24"/>
                <w:szCs w:val="24"/>
              </w:rPr>
              <w:t>Comisia pentru industrii si servicii</w:t>
            </w:r>
          </w:p>
          <w:p>
            <w:pPr>
              <w:snapToGrid w:val="0"/>
              <w:ind w:right="-21"/>
              <w:jc w:val="center"/>
              <w:rPr>
                <w:rFonts w:ascii="Times New Roman" w:hAnsi="Times New Roman" w:eastAsia="Times New Roman"/>
                <w:b/>
                <w:sz w:val="24"/>
                <w:szCs w:val="24"/>
              </w:rPr>
            </w:pPr>
          </w:p>
          <w:p>
            <w:pPr>
              <w:snapToGrid w:val="0"/>
              <w:ind w:right="-21"/>
              <w:jc w:val="center"/>
              <w:rPr>
                <w:rFonts w:ascii="Times New Roman" w:hAnsi="Times New Roman" w:eastAsia="Times New Roman"/>
                <w:b/>
                <w:sz w:val="24"/>
                <w:szCs w:val="24"/>
              </w:rPr>
            </w:pPr>
            <w:r>
              <w:rPr>
                <w:rFonts w:ascii="Times New Roman" w:hAnsi="Times New Roman" w:eastAsia="Times New Roman"/>
                <w:b/>
                <w:sz w:val="24"/>
                <w:szCs w:val="24"/>
              </w:rPr>
              <w:t>4c-3/596/2017</w:t>
            </w:r>
          </w:p>
        </w:tc>
      </w:tr>
    </w:tbl>
    <w:p>
      <w:pPr>
        <w:pStyle w:val="2"/>
        <w:ind w:right="-21"/>
        <w:jc w:val="right"/>
        <w:rPr>
          <w:sz w:val="24"/>
          <w:szCs w:val="24"/>
        </w:rPr>
      </w:pPr>
      <w:r>
        <w:rPr>
          <w:sz w:val="24"/>
          <w:szCs w:val="24"/>
        </w:rPr>
        <w:t xml:space="preserve">Bucureşti, </w:t>
      </w:r>
      <w:r>
        <w:rPr>
          <w:sz w:val="24"/>
          <w:szCs w:val="24"/>
          <w:lang w:val="en-GB"/>
        </w:rPr>
        <w:t>02</w:t>
      </w:r>
      <w:r>
        <w:rPr>
          <w:sz w:val="24"/>
          <w:szCs w:val="24"/>
        </w:rPr>
        <w:t>.</w:t>
      </w:r>
      <w:r>
        <w:rPr>
          <w:sz w:val="24"/>
          <w:szCs w:val="24"/>
          <w:lang w:val="en-GB"/>
        </w:rPr>
        <w:t>11</w:t>
      </w:r>
      <w:r>
        <w:rPr>
          <w:sz w:val="24"/>
          <w:szCs w:val="24"/>
        </w:rPr>
        <w:t xml:space="preserve">.2020                                                                                      </w:t>
      </w:r>
    </w:p>
    <w:p>
      <w:pPr>
        <w:pStyle w:val="2"/>
        <w:spacing w:before="0"/>
        <w:ind w:right="-21"/>
        <w:rPr>
          <w:sz w:val="24"/>
          <w:szCs w:val="24"/>
        </w:rPr>
      </w:pPr>
    </w:p>
    <w:p>
      <w:pPr>
        <w:pStyle w:val="2"/>
        <w:spacing w:before="0"/>
        <w:ind w:left="2160" w:right="-21" w:firstLine="1440"/>
        <w:jc w:val="center"/>
        <w:rPr>
          <w:sz w:val="24"/>
          <w:szCs w:val="24"/>
        </w:rPr>
      </w:pPr>
    </w:p>
    <w:p>
      <w:pPr>
        <w:pStyle w:val="2"/>
        <w:spacing w:before="120" w:beforeAutospacing="0" w:after="120" w:afterAutospacing="0"/>
        <w:ind w:right="-113"/>
        <w:jc w:val="center"/>
        <w:rPr>
          <w:sz w:val="24"/>
          <w:szCs w:val="24"/>
        </w:rPr>
      </w:pPr>
      <w:r>
        <w:rPr>
          <w:sz w:val="24"/>
          <w:szCs w:val="24"/>
        </w:rPr>
        <w:t>BIROUL PERMANENT  AL</w:t>
      </w:r>
    </w:p>
    <w:p>
      <w:pPr>
        <w:pStyle w:val="2"/>
        <w:spacing w:before="120" w:beforeAutospacing="0" w:after="120" w:afterAutospacing="0"/>
        <w:ind w:right="-113"/>
        <w:jc w:val="center"/>
        <w:rPr>
          <w:sz w:val="24"/>
          <w:szCs w:val="24"/>
        </w:rPr>
      </w:pPr>
      <w:r>
        <w:rPr>
          <w:sz w:val="24"/>
          <w:szCs w:val="24"/>
        </w:rPr>
        <w:t>CAMEREI DEPUTAŢILOR</w:t>
      </w:r>
    </w:p>
    <w:p>
      <w:pPr>
        <w:ind w:right="-21"/>
        <w:jc w:val="both"/>
        <w:rPr>
          <w:rFonts w:ascii="Times New Roman" w:hAnsi="Times New Roman" w:eastAsia="Times New Roman"/>
          <w:b/>
          <w:sz w:val="24"/>
          <w:szCs w:val="24"/>
        </w:rPr>
      </w:pPr>
    </w:p>
    <w:p>
      <w:pPr>
        <w:pStyle w:val="3"/>
        <w:spacing w:before="0" w:line="360" w:lineRule="auto"/>
        <w:ind w:firstLine="720"/>
        <w:jc w:val="both"/>
        <w:rPr>
          <w:b w:val="0"/>
          <w:sz w:val="24"/>
          <w:szCs w:val="24"/>
        </w:rPr>
      </w:pPr>
      <w:r>
        <w:rPr>
          <w:b w:val="0"/>
          <w:color w:val="000000"/>
          <w:sz w:val="24"/>
          <w:szCs w:val="24"/>
        </w:rPr>
        <w:t>Vă înaintăm, alăturat</w:t>
      </w:r>
      <w:r>
        <w:rPr>
          <w:color w:val="000000"/>
          <w:sz w:val="24"/>
          <w:szCs w:val="24"/>
        </w:rPr>
        <w:t xml:space="preserve">, raportul comun suplimentar </w:t>
      </w:r>
      <w:r>
        <w:rPr>
          <w:b w:val="0"/>
          <w:color w:val="000000"/>
          <w:sz w:val="24"/>
          <w:szCs w:val="24"/>
        </w:rPr>
        <w:t xml:space="preserve">asupra </w:t>
      </w:r>
      <w:r>
        <w:rPr>
          <w:sz w:val="24"/>
          <w:szCs w:val="24"/>
        </w:rPr>
        <w:t>proiectului de Lege privind completarea art. 45 din Legea minelor nr.85/2003</w:t>
      </w:r>
      <w:r>
        <w:rPr>
          <w:b w:val="0"/>
          <w:sz w:val="24"/>
          <w:szCs w:val="24"/>
        </w:rPr>
        <w:t xml:space="preserve">, </w:t>
      </w:r>
      <w:r>
        <w:rPr>
          <w:b w:val="0"/>
          <w:color w:val="000000"/>
          <w:sz w:val="24"/>
          <w:szCs w:val="24"/>
        </w:rPr>
        <w:t>transmis Comisiei pentru mediu şi echilibru ecologic și Comisia pentru industrii şi servicii pentru examinare pe fond</w:t>
      </w:r>
      <w:r>
        <w:rPr>
          <w:b w:val="0"/>
          <w:sz w:val="24"/>
          <w:szCs w:val="24"/>
        </w:rPr>
        <w:t xml:space="preserve">, cu adresa nr. </w:t>
      </w:r>
      <w:r>
        <w:rPr>
          <w:sz w:val="24"/>
          <w:szCs w:val="24"/>
        </w:rPr>
        <w:t>PL.x. 546/2017</w:t>
      </w:r>
      <w:r>
        <w:rPr>
          <w:b w:val="0"/>
          <w:sz w:val="24"/>
          <w:szCs w:val="24"/>
        </w:rPr>
        <w:t xml:space="preserve"> din data de 7 decembrie 2017.</w:t>
      </w:r>
    </w:p>
    <w:p>
      <w:pPr>
        <w:spacing w:line="360" w:lineRule="auto"/>
        <w:jc w:val="both"/>
        <w:rPr>
          <w:rFonts w:ascii="Times New Roman" w:hAnsi="Times New Roman" w:eastAsia="Times New Roman"/>
          <w:b/>
          <w:sz w:val="24"/>
          <w:szCs w:val="24"/>
        </w:rPr>
      </w:pPr>
    </w:p>
    <w:p>
      <w:pPr>
        <w:spacing w:line="360" w:lineRule="auto"/>
        <w:jc w:val="both"/>
        <w:rPr>
          <w:rFonts w:ascii="Times New Roman" w:hAnsi="Times New Roman" w:eastAsia="Times New Roman"/>
          <w:b/>
          <w:sz w:val="24"/>
          <w:szCs w:val="24"/>
        </w:rPr>
      </w:pPr>
    </w:p>
    <w:p>
      <w:pPr>
        <w:spacing w:line="360" w:lineRule="auto"/>
        <w:ind w:firstLine="480" w:firstLineChars="200"/>
        <w:jc w:val="both"/>
        <w:rPr>
          <w:rFonts w:ascii="Times New Roman" w:hAnsi="Times New Roman" w:eastAsia="Times New Roman"/>
          <w:b/>
          <w:sz w:val="24"/>
          <w:szCs w:val="24"/>
        </w:rPr>
      </w:pPr>
      <w:r>
        <w:rPr>
          <w:rFonts w:ascii="Times New Roman" w:hAnsi="Times New Roman" w:eastAsia="Times New Roman"/>
          <w:b/>
          <w:sz w:val="24"/>
          <w:szCs w:val="24"/>
          <w:lang w:val="en-GB"/>
        </w:rPr>
        <w:t>P</w:t>
      </w:r>
      <w:r>
        <w:rPr>
          <w:rFonts w:ascii="Times New Roman" w:hAnsi="Times New Roman" w:eastAsia="Times New Roman"/>
          <w:b/>
          <w:sz w:val="24"/>
          <w:szCs w:val="24"/>
        </w:rPr>
        <w:t xml:space="preserve">REŞEDINTE,                           </w:t>
      </w:r>
      <w:r>
        <w:rPr>
          <w:rFonts w:ascii="Times New Roman" w:hAnsi="Times New Roman" w:eastAsia="Times New Roman"/>
          <w:b/>
          <w:sz w:val="24"/>
          <w:szCs w:val="24"/>
          <w:lang w:val="en-GB"/>
        </w:rPr>
        <w:tab/>
      </w:r>
      <w:r>
        <w:rPr>
          <w:rFonts w:ascii="Times New Roman" w:hAnsi="Times New Roman" w:eastAsia="Times New Roman"/>
          <w:b/>
          <w:sz w:val="24"/>
          <w:szCs w:val="24"/>
          <w:lang w:val="en-GB"/>
        </w:rPr>
        <w:tab/>
      </w:r>
      <w:r>
        <w:rPr>
          <w:rFonts w:ascii="Times New Roman" w:hAnsi="Times New Roman" w:eastAsia="Times New Roman"/>
          <w:b/>
          <w:sz w:val="24"/>
          <w:szCs w:val="24"/>
          <w:lang w:val="en-GB"/>
        </w:rPr>
        <w:tab/>
      </w:r>
      <w:r>
        <w:rPr>
          <w:rFonts w:ascii="Times New Roman" w:hAnsi="Times New Roman" w:eastAsia="Times New Roman"/>
          <w:b/>
          <w:sz w:val="24"/>
          <w:szCs w:val="24"/>
        </w:rPr>
        <w:t xml:space="preserve">      PREŞEDINTE</w:t>
      </w:r>
    </w:p>
    <w:p>
      <w:pPr>
        <w:spacing w:line="360" w:lineRule="auto"/>
        <w:ind w:firstLine="120" w:firstLineChars="50"/>
        <w:jc w:val="both"/>
        <w:rPr>
          <w:rFonts w:ascii="Times New Roman" w:hAnsi="Times New Roman"/>
          <w:b/>
          <w:sz w:val="24"/>
          <w:szCs w:val="24"/>
        </w:rPr>
      </w:pPr>
      <w:r>
        <w:rPr>
          <w:rFonts w:ascii="Times New Roman" w:hAnsi="Times New Roman" w:eastAsia="Times New Roman"/>
          <w:b/>
          <w:sz w:val="24"/>
          <w:szCs w:val="24"/>
          <w:lang w:val="en-GB"/>
        </w:rPr>
        <w:t xml:space="preserve">    </w:t>
      </w:r>
      <w:r>
        <w:rPr>
          <w:rFonts w:hint="default" w:ascii="Times New Roman" w:hAnsi="Times New Roman" w:eastAsia="Times New Roman"/>
          <w:b/>
          <w:sz w:val="24"/>
          <w:szCs w:val="24"/>
          <w:lang w:val="ro-RO"/>
        </w:rPr>
        <w:t xml:space="preserve">  </w:t>
      </w:r>
      <w:r>
        <w:rPr>
          <w:rFonts w:ascii="Times New Roman" w:hAnsi="Times New Roman" w:eastAsia="Times New Roman"/>
          <w:b/>
          <w:sz w:val="24"/>
          <w:szCs w:val="24"/>
          <w:lang w:val="en-GB"/>
        </w:rPr>
        <w:t xml:space="preserve">   ION CUPA</w:t>
      </w:r>
      <w:r>
        <w:rPr>
          <w:rFonts w:ascii="Times New Roman" w:hAnsi="Times New Roman" w:eastAsia="Times New Roman"/>
          <w:b/>
          <w:sz w:val="24"/>
          <w:szCs w:val="24"/>
        </w:rPr>
        <w:t xml:space="preserve">                  </w:t>
      </w:r>
      <w:r>
        <w:rPr>
          <w:rFonts w:ascii="Times New Roman" w:hAnsi="Times New Roman" w:eastAsia="Times New Roman"/>
          <w:b/>
          <w:sz w:val="24"/>
          <w:szCs w:val="24"/>
          <w:lang w:val="en-GB"/>
        </w:rPr>
        <w:t xml:space="preserve">                                              </w:t>
      </w:r>
      <w:r>
        <w:rPr>
          <w:rFonts w:ascii="Times New Roman" w:hAnsi="Times New Roman"/>
          <w:b/>
          <w:sz w:val="24"/>
          <w:szCs w:val="24"/>
        </w:rPr>
        <w:t>SORIN-IOAN BUMB</w:t>
      </w:r>
    </w:p>
    <w:p>
      <w:pPr>
        <w:spacing w:line="360" w:lineRule="auto"/>
        <w:ind w:firstLine="240" w:firstLineChars="100"/>
        <w:jc w:val="both"/>
        <w:rPr>
          <w:rFonts w:ascii="Times New Roman" w:hAnsi="Times New Roman" w:eastAsia="Times New Roman"/>
          <w:b/>
          <w:sz w:val="24"/>
          <w:szCs w:val="24"/>
          <w:lang w:val="en-GB"/>
        </w:rPr>
      </w:pPr>
    </w:p>
    <w:p>
      <w:pPr>
        <w:pStyle w:val="2"/>
        <w:ind w:right="-21"/>
        <w:rPr>
          <w:sz w:val="24"/>
          <w:szCs w:val="24"/>
        </w:rPr>
      </w:pPr>
    </w:p>
    <w:p>
      <w:pPr>
        <w:pStyle w:val="2"/>
        <w:ind w:right="-21"/>
        <w:rPr>
          <w:sz w:val="24"/>
          <w:szCs w:val="24"/>
        </w:rPr>
      </w:pPr>
    </w:p>
    <w:p>
      <w:pPr>
        <w:jc w:val="center"/>
        <w:rPr>
          <w:rFonts w:ascii="Times New Roman" w:hAnsi="Times New Roman"/>
          <w:b/>
          <w:sz w:val="28"/>
          <w:szCs w:val="28"/>
        </w:rPr>
      </w:pPr>
    </w:p>
    <w:p>
      <w:pPr>
        <w:jc w:val="center"/>
        <w:rPr>
          <w:rFonts w:ascii="Times New Roman" w:hAnsi="Times New Roman"/>
          <w:b/>
          <w:sz w:val="28"/>
          <w:szCs w:val="28"/>
        </w:rPr>
      </w:pPr>
    </w:p>
    <w:tbl>
      <w:tblPr>
        <w:tblStyle w:val="38"/>
        <w:tblW w:w="9906" w:type="dxa"/>
        <w:tblInd w:w="0" w:type="dxa"/>
        <w:tblLayout w:type="fixed"/>
        <w:tblCellMar>
          <w:top w:w="0" w:type="dxa"/>
          <w:left w:w="108" w:type="dxa"/>
          <w:bottom w:w="0" w:type="dxa"/>
          <w:right w:w="108" w:type="dxa"/>
        </w:tblCellMar>
      </w:tblPr>
      <w:tblGrid>
        <w:gridCol w:w="1685"/>
        <w:gridCol w:w="5581"/>
        <w:gridCol w:w="2640"/>
      </w:tblGrid>
      <w:tr>
        <w:tblPrEx>
          <w:tblCellMar>
            <w:top w:w="0" w:type="dxa"/>
            <w:left w:w="108" w:type="dxa"/>
            <w:bottom w:w="0" w:type="dxa"/>
            <w:right w:w="108" w:type="dxa"/>
          </w:tblCellMar>
        </w:tblPrEx>
        <w:trPr>
          <w:trHeight w:val="1987" w:hRule="atLeast"/>
        </w:trPr>
        <w:tc>
          <w:tcPr>
            <w:tcW w:w="1685" w:type="dxa"/>
            <w:vAlign w:val="center"/>
          </w:tcPr>
          <w:p>
            <w:pPr>
              <w:snapToGrid w:val="0"/>
              <w:jc w:val="center"/>
              <w:rPr>
                <w:rFonts w:ascii="Times New Roman" w:hAnsi="Times New Roman" w:eastAsia="SimSun"/>
                <w:color w:val="FF0000"/>
              </w:rPr>
            </w:pPr>
          </w:p>
          <w:p>
            <w:pPr>
              <w:snapToGrid w:val="0"/>
              <w:jc w:val="center"/>
              <w:rPr>
                <w:rFonts w:ascii="Times New Roman" w:hAnsi="Times New Roman" w:eastAsia="SimSun"/>
                <w:color w:val="FF0000"/>
              </w:rPr>
            </w:pPr>
          </w:p>
          <w:p>
            <w:pPr>
              <w:snapToGrid w:val="0"/>
              <w:jc w:val="center"/>
              <w:rPr>
                <w:rFonts w:ascii="Times New Roman" w:hAnsi="Times New Roman" w:eastAsia="SimSun"/>
                <w:color w:val="FF0000"/>
              </w:rPr>
            </w:pPr>
          </w:p>
          <w:p>
            <w:pPr>
              <w:snapToGrid w:val="0"/>
              <w:jc w:val="center"/>
              <w:rPr>
                <w:rFonts w:ascii="Times New Roman" w:hAnsi="Times New Roman" w:eastAsia="SimSun"/>
                <w:color w:val="FF0000"/>
              </w:rPr>
            </w:pPr>
          </w:p>
        </w:tc>
        <w:tc>
          <w:tcPr>
            <w:tcW w:w="5581" w:type="dxa"/>
            <w:vAlign w:val="center"/>
          </w:tcPr>
          <w:p>
            <w:pPr>
              <w:snapToGrid w:val="0"/>
              <w:ind w:right="-114"/>
              <w:jc w:val="center"/>
              <w:rPr>
                <w:rFonts w:ascii="Verdana" w:hAnsi="Verdana" w:eastAsia="Verdana" w:cs="Verdana"/>
                <w:b/>
                <w:sz w:val="28"/>
                <w:szCs w:val="28"/>
              </w:rPr>
            </w:pPr>
            <w:r>
              <w:rPr>
                <w:rFonts w:ascii="Verdana" w:hAnsi="Verdana" w:eastAsia="Verdana" w:cs="Verdana"/>
                <w:b/>
                <w:color w:val="FF0000"/>
                <w:lang w:val="en-US"/>
              </w:rPr>
              <w:drawing>
                <wp:inline distT="0" distB="0" distL="0" distR="0">
                  <wp:extent cx="828675" cy="904875"/>
                  <wp:effectExtent l="19050" t="0" r="9525" b="0"/>
                  <wp:docPr id="3" name="image1.jpg" descr="CD COLOR 2016 "/>
                  <wp:cNvGraphicFramePr/>
                  <a:graphic xmlns:a="http://schemas.openxmlformats.org/drawingml/2006/main">
                    <a:graphicData uri="http://schemas.openxmlformats.org/drawingml/2006/picture">
                      <pic:pic xmlns:pic="http://schemas.openxmlformats.org/drawingml/2006/picture">
                        <pic:nvPicPr>
                          <pic:cNvPr id="3" name="image1.jpg" descr="CD COLOR 2016 "/>
                          <pic:cNvPicPr preferRelativeResize="0">
                            <a:picLocks noChangeArrowheads="1"/>
                          </pic:cNvPicPr>
                        </pic:nvPicPr>
                        <pic:blipFill>
                          <a:blip r:embed="rId8" cstate="print"/>
                          <a:srcRect/>
                          <a:stretch>
                            <a:fillRect/>
                          </a:stretch>
                        </pic:blipFill>
                        <pic:spPr>
                          <a:xfrm>
                            <a:off x="0" y="0"/>
                            <a:ext cx="828675" cy="904875"/>
                          </a:xfrm>
                          <a:prstGeom prst="rect">
                            <a:avLst/>
                          </a:prstGeom>
                          <a:noFill/>
                          <a:ln w="9525" cmpd="sng">
                            <a:noFill/>
                            <a:miter lim="800000"/>
                            <a:headEnd/>
                            <a:tailEnd/>
                          </a:ln>
                        </pic:spPr>
                      </pic:pic>
                    </a:graphicData>
                  </a:graphic>
                </wp:inline>
              </w:drawing>
            </w:r>
          </w:p>
          <w:p>
            <w:pPr>
              <w:snapToGrid w:val="0"/>
              <w:ind w:right="-114"/>
              <w:jc w:val="center"/>
              <w:rPr>
                <w:rFonts w:ascii="Verdana" w:hAnsi="Verdana" w:eastAsia="Verdana" w:cs="Verdana"/>
                <w:b/>
                <w:sz w:val="28"/>
                <w:szCs w:val="28"/>
              </w:rPr>
            </w:pPr>
            <w:r>
              <w:rPr>
                <w:rFonts w:ascii="Verdana" w:hAnsi="Verdana" w:eastAsia="Verdana" w:cs="Verdana"/>
                <w:b/>
                <w:sz w:val="28"/>
                <w:szCs w:val="28"/>
              </w:rPr>
              <w:t>Parlamentul României</w:t>
            </w:r>
          </w:p>
          <w:p>
            <w:pPr>
              <w:snapToGrid w:val="0"/>
              <w:ind w:right="-114"/>
              <w:jc w:val="center"/>
              <w:rPr>
                <w:rFonts w:ascii="Times New Roman" w:hAnsi="Times New Roman" w:eastAsia="SimSun"/>
                <w:color w:val="FF0000"/>
              </w:rPr>
            </w:pPr>
            <w:r>
              <w:rPr>
                <w:rFonts w:ascii="Verdana" w:hAnsi="Verdana" w:eastAsia="Verdana" w:cs="Verdana"/>
                <w:b/>
                <w:sz w:val="28"/>
                <w:szCs w:val="28"/>
              </w:rPr>
              <w:t>Camera Deputaţilor</w:t>
            </w:r>
          </w:p>
        </w:tc>
        <w:tc>
          <w:tcPr>
            <w:tcW w:w="2640" w:type="dxa"/>
          </w:tcPr>
          <w:p>
            <w:pPr>
              <w:snapToGrid w:val="0"/>
              <w:jc w:val="center"/>
              <w:rPr>
                <w:rFonts w:ascii="Times New Roman" w:hAnsi="Times New Roman" w:eastAsia="SimSun"/>
                <w:color w:val="FF0000"/>
                <w:lang w:val="ro-RO"/>
              </w:rPr>
            </w:pPr>
          </w:p>
        </w:tc>
      </w:tr>
    </w:tbl>
    <w:p>
      <w:pPr>
        <w:snapToGrid w:val="0"/>
        <w:ind w:right="-21"/>
        <w:jc w:val="center"/>
        <w:rPr>
          <w:rFonts w:ascii="Verdana" w:hAnsi="Verdana" w:eastAsia="Verdana" w:cs="Verdana"/>
          <w:b/>
          <w:color w:val="FF0000"/>
        </w:rPr>
      </w:pPr>
    </w:p>
    <w:tbl>
      <w:tblPr>
        <w:tblStyle w:val="39"/>
        <w:tblW w:w="9905" w:type="dxa"/>
        <w:tblInd w:w="0" w:type="dxa"/>
        <w:tblLayout w:type="fixed"/>
        <w:tblCellMar>
          <w:top w:w="0" w:type="dxa"/>
          <w:left w:w="107" w:type="dxa"/>
          <w:bottom w:w="0" w:type="dxa"/>
          <w:right w:w="107" w:type="dxa"/>
        </w:tblCellMar>
      </w:tblPr>
      <w:tblGrid>
        <w:gridCol w:w="3992"/>
        <w:gridCol w:w="2277"/>
        <w:gridCol w:w="3636"/>
      </w:tblGrid>
      <w:tr>
        <w:trPr>
          <w:trHeight w:val="90" w:hRule="atLeast"/>
        </w:trPr>
        <w:tc>
          <w:tcPr>
            <w:tcW w:w="3992" w:type="dxa"/>
          </w:tcPr>
          <w:p>
            <w:pPr>
              <w:snapToGrid w:val="0"/>
              <w:spacing w:line="276" w:lineRule="auto"/>
              <w:jc w:val="center"/>
              <w:rPr>
                <w:rFonts w:ascii="Times New Roman" w:hAnsi="Times New Roman" w:eastAsia="Times New Roman"/>
                <w:b/>
                <w:sz w:val="24"/>
                <w:szCs w:val="24"/>
              </w:rPr>
            </w:pPr>
            <w:r>
              <w:rPr>
                <w:rFonts w:ascii="Times New Roman" w:hAnsi="Times New Roman" w:eastAsia="Times New Roman"/>
                <w:b/>
                <w:sz w:val="24"/>
                <w:szCs w:val="24"/>
              </w:rPr>
              <w:t>Comisia pentru mediu şi echilibru ecologic</w:t>
            </w:r>
          </w:p>
          <w:p>
            <w:pPr>
              <w:snapToGrid w:val="0"/>
              <w:spacing w:line="276" w:lineRule="auto"/>
              <w:jc w:val="center"/>
              <w:rPr>
                <w:rFonts w:ascii="Times New Roman" w:hAnsi="Times New Roman" w:eastAsia="Times New Roman"/>
                <w:b/>
                <w:sz w:val="24"/>
                <w:szCs w:val="24"/>
              </w:rPr>
            </w:pPr>
          </w:p>
          <w:p>
            <w:pPr>
              <w:snapToGrid w:val="0"/>
              <w:ind w:right="-21"/>
              <w:jc w:val="center"/>
              <w:rPr>
                <w:rFonts w:ascii="Times New Roman" w:hAnsi="Times New Roman" w:eastAsia="Times New Roman"/>
                <w:b/>
                <w:sz w:val="24"/>
                <w:szCs w:val="24"/>
              </w:rPr>
            </w:pPr>
            <w:r>
              <w:rPr>
                <w:rFonts w:ascii="Times New Roman" w:hAnsi="Times New Roman" w:eastAsia="SimSun"/>
                <w:b/>
                <w:bCs/>
                <w:sz w:val="24"/>
                <w:szCs w:val="24"/>
              </w:rPr>
              <w:t>Nr. 4c-8/</w:t>
            </w:r>
            <w:r>
              <w:rPr>
                <w:rFonts w:ascii="Times New Roman" w:hAnsi="Times New Roman" w:eastAsia="SimSun"/>
                <w:b/>
                <w:bCs/>
                <w:sz w:val="24"/>
                <w:szCs w:val="24"/>
                <w:lang w:val="ro-RO"/>
              </w:rPr>
              <w:t>898</w:t>
            </w:r>
            <w:r>
              <w:rPr>
                <w:rFonts w:ascii="Times New Roman" w:hAnsi="Times New Roman" w:eastAsia="SimSun"/>
                <w:b/>
                <w:bCs/>
                <w:sz w:val="24"/>
                <w:szCs w:val="24"/>
              </w:rPr>
              <w:t>/2020</w:t>
            </w:r>
          </w:p>
          <w:p>
            <w:pPr>
              <w:snapToGrid w:val="0"/>
              <w:rPr>
                <w:rFonts w:ascii="Times New Roman" w:hAnsi="Times New Roman" w:eastAsia="Times New Roman"/>
                <w:b/>
                <w:sz w:val="24"/>
                <w:szCs w:val="24"/>
              </w:rPr>
            </w:pPr>
            <w:r>
              <w:rPr>
                <w:rFonts w:ascii="Times New Roman" w:hAnsi="Times New Roman" w:eastAsia="Times New Roman"/>
                <w:b/>
                <w:sz w:val="24"/>
                <w:szCs w:val="24"/>
              </w:rPr>
              <w:t xml:space="preserve">        </w:t>
            </w:r>
          </w:p>
        </w:tc>
        <w:tc>
          <w:tcPr>
            <w:tcW w:w="2277" w:type="dxa"/>
          </w:tcPr>
          <w:p>
            <w:pPr>
              <w:snapToGrid w:val="0"/>
              <w:ind w:right="-21"/>
              <w:jc w:val="center"/>
              <w:rPr>
                <w:rFonts w:ascii="Times New Roman" w:hAnsi="Times New Roman" w:eastAsia="Times New Roman"/>
                <w:sz w:val="24"/>
                <w:szCs w:val="24"/>
              </w:rPr>
            </w:pPr>
          </w:p>
        </w:tc>
        <w:tc>
          <w:tcPr>
            <w:tcW w:w="3636" w:type="dxa"/>
          </w:tcPr>
          <w:p>
            <w:pPr>
              <w:snapToGrid w:val="0"/>
              <w:ind w:right="-21"/>
              <w:jc w:val="center"/>
              <w:rPr>
                <w:rFonts w:ascii="Times New Roman" w:hAnsi="Times New Roman" w:eastAsia="Times New Roman"/>
                <w:b/>
                <w:sz w:val="24"/>
                <w:szCs w:val="24"/>
              </w:rPr>
            </w:pPr>
            <w:r>
              <w:rPr>
                <w:rFonts w:ascii="Times New Roman" w:hAnsi="Times New Roman" w:eastAsia="Times New Roman"/>
                <w:b/>
                <w:sz w:val="24"/>
                <w:szCs w:val="24"/>
              </w:rPr>
              <w:t>Comisia pentru industrii si servicii</w:t>
            </w:r>
          </w:p>
          <w:p>
            <w:pPr>
              <w:snapToGrid w:val="0"/>
              <w:ind w:right="-21"/>
              <w:jc w:val="center"/>
              <w:rPr>
                <w:rFonts w:ascii="Times New Roman" w:hAnsi="Times New Roman" w:eastAsia="Times New Roman"/>
                <w:b/>
                <w:sz w:val="24"/>
                <w:szCs w:val="24"/>
              </w:rPr>
            </w:pPr>
          </w:p>
          <w:p>
            <w:pPr>
              <w:snapToGrid w:val="0"/>
              <w:ind w:right="-21"/>
              <w:jc w:val="center"/>
              <w:rPr>
                <w:rFonts w:ascii="Times New Roman" w:hAnsi="Times New Roman" w:eastAsia="Times New Roman"/>
                <w:b/>
                <w:sz w:val="24"/>
                <w:szCs w:val="24"/>
              </w:rPr>
            </w:pPr>
            <w:r>
              <w:rPr>
                <w:rFonts w:ascii="Times New Roman" w:hAnsi="Times New Roman" w:eastAsia="Times New Roman"/>
                <w:b/>
                <w:sz w:val="24"/>
                <w:szCs w:val="24"/>
              </w:rPr>
              <w:t>4c-3/596/2017</w:t>
            </w:r>
          </w:p>
        </w:tc>
      </w:tr>
    </w:tbl>
    <w:p>
      <w:pPr>
        <w:spacing w:line="360" w:lineRule="auto"/>
        <w:jc w:val="right"/>
        <w:rPr>
          <w:rFonts w:ascii="Times New Roman" w:hAnsi="Times New Roman"/>
          <w:b/>
          <w:sz w:val="24"/>
          <w:szCs w:val="24"/>
        </w:rPr>
      </w:pPr>
      <w:r>
        <w:rPr>
          <w:rFonts w:ascii="Times New Roman" w:hAnsi="Times New Roman" w:eastAsia="Times New Roman"/>
          <w:b/>
          <w:sz w:val="24"/>
          <w:szCs w:val="24"/>
        </w:rPr>
        <w:t xml:space="preserve">Bucureşti, </w:t>
      </w:r>
      <w:r>
        <w:rPr>
          <w:rFonts w:ascii="Times New Roman" w:hAnsi="Times New Roman"/>
          <w:b/>
          <w:sz w:val="24"/>
          <w:szCs w:val="24"/>
          <w:lang w:val="en-GB"/>
        </w:rPr>
        <w:t>02</w:t>
      </w:r>
      <w:r>
        <w:rPr>
          <w:rFonts w:ascii="Times New Roman" w:hAnsi="Times New Roman" w:eastAsia="Times New Roman"/>
          <w:b/>
          <w:sz w:val="24"/>
          <w:szCs w:val="24"/>
        </w:rPr>
        <w:t>.</w:t>
      </w:r>
      <w:r>
        <w:rPr>
          <w:rFonts w:ascii="Times New Roman" w:hAnsi="Times New Roman" w:eastAsia="Times New Roman"/>
          <w:b/>
          <w:sz w:val="24"/>
          <w:szCs w:val="24"/>
          <w:lang w:val="en-GB"/>
        </w:rPr>
        <w:t>1</w:t>
      </w:r>
      <w:r>
        <w:rPr>
          <w:rFonts w:ascii="Times New Roman" w:hAnsi="Times New Roman"/>
          <w:b/>
          <w:sz w:val="24"/>
          <w:szCs w:val="24"/>
          <w:lang w:val="en-GB"/>
        </w:rPr>
        <w:t>1</w:t>
      </w:r>
      <w:r>
        <w:rPr>
          <w:rFonts w:ascii="Times New Roman" w:hAnsi="Times New Roman" w:eastAsia="Times New Roman"/>
          <w:b/>
          <w:sz w:val="24"/>
          <w:szCs w:val="24"/>
        </w:rPr>
        <w:t xml:space="preserve">.2020  </w:t>
      </w:r>
    </w:p>
    <w:p>
      <w:pPr>
        <w:spacing w:line="360" w:lineRule="auto"/>
        <w:jc w:val="center"/>
        <w:rPr>
          <w:rFonts w:ascii="Times New Roman" w:hAnsi="Times New Roman"/>
          <w:b/>
          <w:sz w:val="24"/>
          <w:szCs w:val="24"/>
        </w:rPr>
      </w:pPr>
    </w:p>
    <w:p>
      <w:pPr>
        <w:spacing w:before="80" w:after="80"/>
        <w:jc w:val="center"/>
        <w:rPr>
          <w:rFonts w:ascii="Times New Roman" w:hAnsi="Times New Roman"/>
          <w:b/>
          <w:sz w:val="24"/>
          <w:szCs w:val="24"/>
        </w:rPr>
      </w:pPr>
      <w:r>
        <w:rPr>
          <w:rFonts w:ascii="Times New Roman" w:hAnsi="Times New Roman"/>
          <w:b/>
          <w:sz w:val="24"/>
          <w:szCs w:val="24"/>
        </w:rPr>
        <w:t>RAPORT COMUN SUPLIMENTAR</w:t>
      </w:r>
    </w:p>
    <w:p>
      <w:pPr>
        <w:spacing w:before="80" w:after="80" w:line="276" w:lineRule="auto"/>
        <w:jc w:val="center"/>
        <w:rPr>
          <w:rFonts w:ascii="Times New Roman" w:hAnsi="Times New Roman"/>
          <w:b/>
          <w:sz w:val="24"/>
          <w:szCs w:val="24"/>
        </w:rPr>
      </w:pPr>
      <w:r>
        <w:rPr>
          <w:rFonts w:ascii="Times New Roman" w:hAnsi="Times New Roman"/>
          <w:b/>
          <w:sz w:val="24"/>
          <w:szCs w:val="24"/>
        </w:rPr>
        <w:t xml:space="preserve">asupra proiectului deLege privind completarea art. 45 </w:t>
      </w:r>
    </w:p>
    <w:p>
      <w:pPr>
        <w:spacing w:before="80" w:after="80" w:line="276" w:lineRule="auto"/>
        <w:jc w:val="center"/>
        <w:rPr>
          <w:rFonts w:ascii="Times New Roman" w:hAnsi="Times New Roman"/>
          <w:sz w:val="24"/>
          <w:szCs w:val="24"/>
        </w:rPr>
      </w:pPr>
      <w:r>
        <w:rPr>
          <w:rFonts w:ascii="Times New Roman" w:hAnsi="Times New Roman"/>
          <w:b/>
          <w:sz w:val="24"/>
          <w:szCs w:val="24"/>
        </w:rPr>
        <w:t>din Legea minelor nr.85/2003</w:t>
      </w:r>
      <w:r>
        <w:rPr>
          <w:rFonts w:ascii="Times New Roman" w:hAnsi="Times New Roman"/>
          <w:sz w:val="24"/>
          <w:szCs w:val="24"/>
        </w:rPr>
        <w:tab/>
      </w:r>
    </w:p>
    <w:p>
      <w:pPr>
        <w:jc w:val="center"/>
        <w:rPr>
          <w:rFonts w:ascii="Times New Roman" w:hAnsi="Times New Roman"/>
          <w:sz w:val="28"/>
          <w:szCs w:val="28"/>
        </w:rPr>
      </w:pPr>
      <w:r>
        <w:tab/>
      </w:r>
    </w:p>
    <w:p>
      <w:pPr>
        <w:pStyle w:val="3"/>
        <w:spacing w:before="0" w:after="0" w:line="276" w:lineRule="auto"/>
        <w:jc w:val="both"/>
        <w:rPr>
          <w:b w:val="0"/>
          <w:sz w:val="24"/>
          <w:szCs w:val="24"/>
        </w:rPr>
      </w:pPr>
      <w:r>
        <w:tab/>
      </w:r>
      <w:r>
        <w:rPr>
          <w:b w:val="0"/>
          <w:sz w:val="24"/>
          <w:szCs w:val="24"/>
        </w:rPr>
        <w:t xml:space="preserve">În conformitate cu prevederile art. 94 din Regulamentul Camerei Deputaților, republicat, </w:t>
      </w:r>
      <w:r>
        <w:rPr>
          <w:b w:val="0"/>
          <w:sz w:val="24"/>
          <w:szCs w:val="24"/>
          <w:lang w:val="en-GB"/>
        </w:rPr>
        <w:t>cu modific</w:t>
      </w:r>
      <w:r>
        <w:rPr>
          <w:b w:val="0"/>
          <w:sz w:val="24"/>
          <w:szCs w:val="24"/>
        </w:rPr>
        <w:t>ă</w:t>
      </w:r>
      <w:r>
        <w:rPr>
          <w:b w:val="0"/>
          <w:sz w:val="24"/>
          <w:szCs w:val="24"/>
          <w:lang w:val="en-GB"/>
        </w:rPr>
        <w:t>rile</w:t>
      </w:r>
      <w:r>
        <w:rPr>
          <w:b w:val="0"/>
          <w:sz w:val="24"/>
          <w:szCs w:val="24"/>
        </w:rPr>
        <w:t xml:space="preserve"> și completările ulterioare, Comisia pentru mediu și echilibru ecologic și Comisia pentru industrii și servicii au fost sesizate, cu dezbaterea pe fond, a proiectului de Lege privind completarea art. 45 din Legea minelor nr.85/2003, transmis cu adresa nr. </w:t>
      </w:r>
      <w:r>
        <w:rPr>
          <w:bCs w:val="0"/>
          <w:sz w:val="24"/>
          <w:szCs w:val="24"/>
        </w:rPr>
        <w:t>P.L.x. 546/2017</w:t>
      </w:r>
      <w:r>
        <w:rPr>
          <w:b w:val="0"/>
          <w:sz w:val="24"/>
          <w:szCs w:val="24"/>
        </w:rPr>
        <w:t xml:space="preserve"> din data de </w:t>
      </w:r>
      <w:r>
        <w:rPr>
          <w:b w:val="0"/>
          <w:bCs w:val="0"/>
          <w:sz w:val="24"/>
          <w:szCs w:val="24"/>
        </w:rPr>
        <w:t>7 decembrie 2017</w:t>
      </w:r>
      <w:r>
        <w:rPr>
          <w:b w:val="0"/>
          <w:sz w:val="24"/>
          <w:szCs w:val="24"/>
        </w:rPr>
        <w:t>.</w:t>
      </w:r>
    </w:p>
    <w:p>
      <w:pPr>
        <w:spacing w:line="276"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Consiliul Legislativ, cu avizul nr.526/05.07.2017, avizează favorabil propunerea legislativă cu observații și propuneri.</w:t>
      </w:r>
    </w:p>
    <w:p>
      <w:pPr>
        <w:spacing w:line="276"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Guvernul, prin actul nr.1451/DPSG/22.09.2017, nu susține adoptarea inițiativei legislative în forma prezentată.</w:t>
      </w:r>
    </w:p>
    <w:p>
      <w:pPr>
        <w:spacing w:line="276" w:lineRule="auto"/>
        <w:jc w:val="both"/>
        <w:rPr>
          <w:rFonts w:ascii="Times New Roman" w:hAnsi="Times New Roman"/>
          <w:sz w:val="24"/>
          <w:szCs w:val="24"/>
        </w:rPr>
      </w:pPr>
      <w:r>
        <w:rPr>
          <w:rFonts w:ascii="Times New Roman" w:hAnsi="Times New Roman"/>
          <w:sz w:val="24"/>
          <w:szCs w:val="24"/>
        </w:rPr>
        <w:tab/>
      </w:r>
      <w:r>
        <w:rPr>
          <w:rFonts w:ascii="Times New Roman" w:hAnsi="Times New Roman"/>
          <w:b/>
          <w:bCs/>
          <w:sz w:val="24"/>
          <w:szCs w:val="24"/>
        </w:rPr>
        <w:t>Senatul</w:t>
      </w:r>
      <w:r>
        <w:rPr>
          <w:rFonts w:ascii="Times New Roman" w:hAnsi="Times New Roman"/>
          <w:sz w:val="24"/>
          <w:szCs w:val="24"/>
        </w:rPr>
        <w:t xml:space="preserve">, în calitate de primă Cameră sesizată, </w:t>
      </w:r>
      <w:r>
        <w:rPr>
          <w:rFonts w:ascii="Times New Roman" w:hAnsi="Times New Roman"/>
          <w:b/>
          <w:bCs/>
          <w:sz w:val="24"/>
          <w:szCs w:val="24"/>
        </w:rPr>
        <w:t>a adoptat proiectul de lege</w:t>
      </w:r>
      <w:r>
        <w:rPr>
          <w:rFonts w:ascii="Times New Roman" w:hAnsi="Times New Roman"/>
          <w:sz w:val="24"/>
          <w:szCs w:val="24"/>
        </w:rPr>
        <w:t xml:space="preserve"> potrivit </w:t>
      </w:r>
      <w:r>
        <w:fldChar w:fldCharType="begin"/>
      </w:r>
      <w:r>
        <w:instrText xml:space="preserve"> HYPERLINK "http://www.cdep.ro/pls/dic/site.page?den=act2_1&amp;par1=3" \l "t3c1s3a75" \t "EXTERN" </w:instrText>
      </w:r>
      <w:r>
        <w:fldChar w:fldCharType="separate"/>
      </w:r>
      <w:r>
        <w:rPr>
          <w:rStyle w:val="14"/>
          <w:rFonts w:ascii="Times New Roman" w:hAnsi="Times New Roman"/>
          <w:color w:val="auto"/>
          <w:sz w:val="24"/>
          <w:szCs w:val="24"/>
          <w:u w:val="none"/>
        </w:rPr>
        <w:t>art.75</w:t>
      </w:r>
      <w:r>
        <w:rPr>
          <w:rStyle w:val="14"/>
          <w:rFonts w:ascii="Times New Roman" w:hAnsi="Times New Roman"/>
          <w:color w:val="auto"/>
          <w:sz w:val="24"/>
          <w:szCs w:val="24"/>
          <w:u w:val="none"/>
        </w:rPr>
        <w:fldChar w:fldCharType="end"/>
      </w:r>
      <w:r>
        <w:rPr>
          <w:rFonts w:ascii="Times New Roman" w:hAnsi="Times New Roman"/>
          <w:sz w:val="24"/>
          <w:szCs w:val="24"/>
        </w:rPr>
        <w:t xml:space="preserve"> alin.(2) teza a III-a din Constituția României republicată.</w:t>
      </w:r>
    </w:p>
    <w:p>
      <w:pPr>
        <w:spacing w:line="276" w:lineRule="auto"/>
        <w:jc w:val="both"/>
        <w:rPr>
          <w:rFonts w:ascii="Times New Roman" w:hAnsi="Times New Roman"/>
          <w:sz w:val="24"/>
          <w:szCs w:val="24"/>
        </w:rPr>
      </w:pPr>
      <w:r>
        <w:rPr>
          <w:rFonts w:ascii="Times New Roman" w:hAnsi="Times New Roman"/>
          <w:sz w:val="24"/>
          <w:szCs w:val="24"/>
        </w:rPr>
        <w:tab/>
      </w:r>
      <w:r>
        <w:rPr>
          <w:rFonts w:ascii="Times New Roman" w:hAnsi="Times New Roman"/>
          <w:iCs/>
          <w:sz w:val="24"/>
          <w:szCs w:val="24"/>
        </w:rPr>
        <w:t xml:space="preserve">Proiectul de lege are ca </w:t>
      </w:r>
      <w:r>
        <w:rPr>
          <w:rFonts w:ascii="Times New Roman" w:hAnsi="Times New Roman"/>
          <w:b/>
          <w:bCs/>
          <w:iCs/>
          <w:sz w:val="24"/>
          <w:szCs w:val="24"/>
        </w:rPr>
        <w:t>obiect de reglementare</w:t>
      </w:r>
      <w:r>
        <w:rPr>
          <w:rFonts w:ascii="Times New Roman" w:hAnsi="Times New Roman"/>
          <w:iCs/>
          <w:sz w:val="24"/>
          <w:szCs w:val="24"/>
        </w:rPr>
        <w:t xml:space="preserve"> completarea art.45 din Legea minelor nr.85/2003, în sensul ca un procent de 80% din fiecare </w:t>
      </w:r>
      <w:r>
        <w:rPr>
          <w:rFonts w:ascii="Times New Roman" w:hAnsi="Times New Roman"/>
          <w:iCs/>
          <w:sz w:val="24"/>
          <w:szCs w:val="24"/>
          <w:lang w:val="ro-RO"/>
        </w:rPr>
        <w:t>redevență</w:t>
      </w:r>
      <w:r>
        <w:rPr>
          <w:rFonts w:ascii="Times New Roman" w:hAnsi="Times New Roman"/>
          <w:iCs/>
          <w:sz w:val="24"/>
          <w:szCs w:val="24"/>
        </w:rPr>
        <w:t xml:space="preserve"> minieră cuvenită bugetului de stat să fie transferat </w:t>
      </w:r>
      <w:r>
        <w:rPr>
          <w:rFonts w:ascii="Times New Roman" w:hAnsi="Times New Roman"/>
          <w:iCs/>
          <w:sz w:val="24"/>
          <w:szCs w:val="24"/>
          <w:lang w:val="ro-RO"/>
        </w:rPr>
        <w:t>autorității</w:t>
      </w:r>
      <w:r>
        <w:rPr>
          <w:rFonts w:ascii="Times New Roman" w:hAnsi="Times New Roman"/>
          <w:iCs/>
          <w:sz w:val="24"/>
          <w:szCs w:val="24"/>
        </w:rPr>
        <w:t xml:space="preserve"> locale pe al cărui teritoriu administrativ se </w:t>
      </w:r>
      <w:r>
        <w:rPr>
          <w:rFonts w:ascii="Times New Roman" w:hAnsi="Times New Roman"/>
          <w:iCs/>
          <w:sz w:val="24"/>
          <w:szCs w:val="24"/>
          <w:lang w:val="en-GB"/>
        </w:rPr>
        <w:t>desfășoară</w:t>
      </w:r>
      <w:r>
        <w:rPr>
          <w:rFonts w:ascii="Times New Roman" w:hAnsi="Times New Roman"/>
          <w:iCs/>
          <w:sz w:val="24"/>
          <w:szCs w:val="24"/>
        </w:rPr>
        <w:t xml:space="preserve"> exploatarea pentru care s-a încasat </w:t>
      </w:r>
      <w:r>
        <w:rPr>
          <w:rFonts w:ascii="Times New Roman" w:hAnsi="Times New Roman"/>
          <w:iCs/>
          <w:sz w:val="24"/>
          <w:szCs w:val="24"/>
          <w:lang w:val="ro-RO"/>
        </w:rPr>
        <w:t>redevență</w:t>
      </w:r>
      <w:r>
        <w:rPr>
          <w:rFonts w:ascii="Times New Roman" w:hAnsi="Times New Roman"/>
          <w:iCs/>
          <w:sz w:val="24"/>
          <w:szCs w:val="24"/>
        </w:rPr>
        <w:t xml:space="preserve">, procent din care 55% să revină bugetului local al </w:t>
      </w:r>
      <w:r>
        <w:rPr>
          <w:rFonts w:ascii="Times New Roman" w:hAnsi="Times New Roman"/>
          <w:iCs/>
          <w:sz w:val="24"/>
          <w:szCs w:val="24"/>
          <w:lang w:val="ro-RO"/>
        </w:rPr>
        <w:t>județului</w:t>
      </w:r>
      <w:r>
        <w:rPr>
          <w:rFonts w:ascii="Times New Roman" w:hAnsi="Times New Roman"/>
          <w:iCs/>
          <w:sz w:val="24"/>
          <w:szCs w:val="24"/>
        </w:rPr>
        <w:t xml:space="preserve"> şi 25% bugetelor locale ale </w:t>
      </w:r>
      <w:r>
        <w:rPr>
          <w:rFonts w:ascii="Times New Roman" w:hAnsi="Times New Roman"/>
          <w:iCs/>
          <w:sz w:val="24"/>
          <w:szCs w:val="24"/>
          <w:lang w:val="ro-RO"/>
        </w:rPr>
        <w:t>unităților</w:t>
      </w:r>
      <w:r>
        <w:rPr>
          <w:rFonts w:ascii="Times New Roman" w:hAnsi="Times New Roman"/>
          <w:iCs/>
          <w:sz w:val="24"/>
          <w:szCs w:val="24"/>
        </w:rPr>
        <w:t xml:space="preserve"> administrativ-teritoriale.</w:t>
      </w:r>
      <w:r>
        <w:rPr>
          <w:rFonts w:ascii="Times New Roman" w:hAnsi="Times New Roman"/>
          <w:sz w:val="24"/>
          <w:szCs w:val="24"/>
        </w:rPr>
        <w:tab/>
      </w:r>
    </w:p>
    <w:p>
      <w:pPr>
        <w:spacing w:line="276"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Comisia pentru buget, finanțe și bănci, în ședința din 13 februarie 2018, a avizat negativ proiectul de lege.</w:t>
      </w:r>
    </w:p>
    <w:p>
      <w:pPr>
        <w:spacing w:line="276"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Comisia juridică, de disciplină și imunități, în ședința din 18 decembrie 2018, a avizat negativ proiectul de Lege.</w:t>
      </w:r>
    </w:p>
    <w:p>
      <w:pPr>
        <w:spacing w:line="276" w:lineRule="auto"/>
        <w:ind w:firstLine="720"/>
        <w:jc w:val="both"/>
        <w:rPr>
          <w:rFonts w:ascii="Times New Roman" w:hAnsi="Times New Roman"/>
          <w:sz w:val="24"/>
          <w:szCs w:val="24"/>
        </w:rPr>
      </w:pPr>
      <w:r>
        <w:rPr>
          <w:rFonts w:ascii="Times New Roman" w:hAnsi="Times New Roman"/>
          <w:sz w:val="24"/>
          <w:szCs w:val="24"/>
        </w:rPr>
        <w:t>În conformitate cu prevederile art.61 și art.63 din Regulamentul Camerei Deputaţilor, republicat,</w:t>
      </w:r>
      <w:r>
        <w:rPr>
          <w:rFonts w:ascii="Times New Roman" w:hAnsi="Times New Roman"/>
          <w:sz w:val="24"/>
          <w:szCs w:val="24"/>
          <w:lang w:val="ro-RO"/>
        </w:rPr>
        <w:t>cu modificările si completările ulterioare</w:t>
      </w:r>
      <w:r>
        <w:rPr>
          <w:rFonts w:ascii="Times New Roman" w:hAnsi="Times New Roman"/>
          <w:sz w:val="24"/>
          <w:szCs w:val="24"/>
        </w:rPr>
        <w:t xml:space="preserve"> comisiile sesizate în fond au examinat proiectul de Lege, sus </w:t>
      </w:r>
      <w:r>
        <w:rPr>
          <w:rFonts w:ascii="Times New Roman" w:hAnsi="Times New Roman"/>
          <w:sz w:val="24"/>
          <w:szCs w:val="24"/>
          <w:lang w:val="ro-RO"/>
        </w:rPr>
        <w:t>menționat</w:t>
      </w:r>
      <w:r>
        <w:rPr>
          <w:rFonts w:ascii="Times New Roman" w:hAnsi="Times New Roman"/>
          <w:sz w:val="24"/>
          <w:szCs w:val="24"/>
        </w:rPr>
        <w:t xml:space="preserve">, în </w:t>
      </w:r>
      <w:r>
        <w:rPr>
          <w:rFonts w:ascii="Times New Roman" w:hAnsi="Times New Roman"/>
          <w:b/>
          <w:bCs/>
          <w:sz w:val="24"/>
          <w:szCs w:val="24"/>
          <w:lang w:val="ro-RO"/>
        </w:rPr>
        <w:t>ședințe</w:t>
      </w:r>
      <w:r>
        <w:rPr>
          <w:rFonts w:ascii="Times New Roman" w:hAnsi="Times New Roman"/>
          <w:b/>
          <w:bCs/>
          <w:sz w:val="24"/>
          <w:szCs w:val="24"/>
        </w:rPr>
        <w:t xml:space="preserve">  separate</w:t>
      </w:r>
      <w:r>
        <w:rPr>
          <w:rFonts w:ascii="Times New Roman" w:hAnsi="Times New Roman"/>
          <w:sz w:val="24"/>
          <w:szCs w:val="24"/>
        </w:rPr>
        <w:t>.</w:t>
      </w:r>
    </w:p>
    <w:p>
      <w:pPr>
        <w:spacing w:line="276" w:lineRule="auto"/>
        <w:jc w:val="both"/>
        <w:rPr>
          <w:rFonts w:ascii="Times New Roman" w:hAnsi="Times New Roman"/>
          <w:sz w:val="24"/>
          <w:szCs w:val="24"/>
        </w:rPr>
      </w:pPr>
      <w:r>
        <w:rPr>
          <w:rFonts w:ascii="Times New Roman" w:hAnsi="Times New Roman"/>
          <w:sz w:val="24"/>
          <w:szCs w:val="24"/>
        </w:rPr>
        <w:tab/>
      </w:r>
      <w:r>
        <w:rPr>
          <w:rFonts w:ascii="Times New Roman" w:hAnsi="Times New Roman"/>
          <w:b/>
          <w:bCs/>
          <w:sz w:val="24"/>
          <w:szCs w:val="24"/>
        </w:rPr>
        <w:t>Comisia pentru industrii și servicii</w:t>
      </w:r>
      <w:r>
        <w:rPr>
          <w:rFonts w:ascii="Times New Roman" w:hAnsi="Times New Roman"/>
          <w:sz w:val="24"/>
          <w:szCs w:val="24"/>
        </w:rPr>
        <w:t xml:space="preserve"> a examinat proiectul de lege în ședința online din </w:t>
      </w:r>
      <w:r>
        <w:rPr>
          <w:rFonts w:ascii="Times New Roman" w:hAnsi="Times New Roman"/>
          <w:b/>
          <w:bCs/>
          <w:sz w:val="24"/>
          <w:szCs w:val="24"/>
        </w:rPr>
        <w:t>29 septembrie 2020</w:t>
      </w:r>
      <w:r>
        <w:rPr>
          <w:rFonts w:ascii="Times New Roman" w:hAnsi="Times New Roman"/>
          <w:sz w:val="24"/>
          <w:szCs w:val="24"/>
        </w:rPr>
        <w:t>. La lucrările comisiei au fost prezenți deputați, membri ai comisiei, conform listei de prezență.</w:t>
      </w:r>
    </w:p>
    <w:p>
      <w:pPr>
        <w:spacing w:line="276" w:lineRule="auto"/>
        <w:ind w:firstLine="720"/>
        <w:jc w:val="both"/>
        <w:rPr>
          <w:rFonts w:ascii="Times New Roman" w:hAnsi="Times New Roman"/>
          <w:sz w:val="24"/>
          <w:szCs w:val="24"/>
        </w:rPr>
      </w:pPr>
      <w:r>
        <w:rPr>
          <w:rFonts w:ascii="Times New Roman" w:hAnsi="Times New Roman"/>
          <w:b/>
          <w:bCs/>
          <w:sz w:val="24"/>
          <w:szCs w:val="24"/>
        </w:rPr>
        <w:t xml:space="preserve">Comisia pentru </w:t>
      </w:r>
      <w:r>
        <w:rPr>
          <w:rFonts w:ascii="Times New Roman" w:hAnsi="Times New Roman"/>
          <w:b/>
          <w:bCs/>
          <w:sz w:val="24"/>
          <w:szCs w:val="24"/>
          <w:lang w:val="en-GB"/>
        </w:rPr>
        <w:t xml:space="preserve">mediu </w:t>
      </w:r>
      <w:r>
        <w:rPr>
          <w:rFonts w:ascii="Times New Roman" w:hAnsi="Times New Roman"/>
          <w:b/>
          <w:bCs/>
          <w:sz w:val="24"/>
          <w:szCs w:val="24"/>
          <w:lang w:val="ro-RO"/>
        </w:rPr>
        <w:t>și echilibru ecologic</w:t>
      </w:r>
      <w:r>
        <w:rPr>
          <w:rFonts w:ascii="Times New Roman" w:hAnsi="Times New Roman"/>
          <w:sz w:val="24"/>
          <w:szCs w:val="24"/>
        </w:rPr>
        <w:t xml:space="preserve"> a examinat proiectul de lege în ședința online din </w:t>
      </w:r>
      <w:r>
        <w:rPr>
          <w:rFonts w:ascii="Times New Roman" w:hAnsi="Times New Roman"/>
          <w:b/>
          <w:bCs/>
          <w:sz w:val="24"/>
          <w:szCs w:val="24"/>
          <w:lang w:val="ro-RO"/>
        </w:rPr>
        <w:t>30</w:t>
      </w:r>
      <w:r>
        <w:rPr>
          <w:rFonts w:ascii="Times New Roman" w:hAnsi="Times New Roman"/>
          <w:b/>
          <w:bCs/>
          <w:sz w:val="24"/>
          <w:szCs w:val="24"/>
        </w:rPr>
        <w:t xml:space="preserve"> septembrie 2020</w:t>
      </w:r>
      <w:r>
        <w:rPr>
          <w:rFonts w:ascii="Times New Roman" w:hAnsi="Times New Roman"/>
          <w:sz w:val="24"/>
          <w:szCs w:val="24"/>
        </w:rPr>
        <w:t>. La lucrările comisiei au fost prezenți deputați, membri ai comisiei, conform listei de prezență.</w:t>
      </w:r>
    </w:p>
    <w:p>
      <w:pPr>
        <w:spacing w:line="276"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În urma dezbaterilor și a opiniilor exprimate, membrii </w:t>
      </w:r>
      <w:r>
        <w:rPr>
          <w:rFonts w:ascii="Times New Roman" w:hAnsi="Times New Roman"/>
          <w:sz w:val="24"/>
          <w:szCs w:val="24"/>
          <w:lang w:val="ro-RO"/>
        </w:rPr>
        <w:t>celor doua comisii</w:t>
      </w:r>
      <w:r>
        <w:rPr>
          <w:rFonts w:ascii="Times New Roman" w:hAnsi="Times New Roman"/>
          <w:sz w:val="24"/>
          <w:szCs w:val="24"/>
        </w:rPr>
        <w:t xml:space="preserve"> au hotărât, cu </w:t>
      </w:r>
      <w:r>
        <w:rPr>
          <w:rFonts w:ascii="Times New Roman" w:hAnsi="Times New Roman"/>
          <w:b/>
          <w:bCs/>
          <w:sz w:val="24"/>
          <w:szCs w:val="24"/>
        </w:rPr>
        <w:t>majoritate de voturi</w:t>
      </w:r>
      <w:r>
        <w:rPr>
          <w:rFonts w:ascii="Times New Roman" w:hAnsi="Times New Roman"/>
          <w:sz w:val="24"/>
          <w:szCs w:val="24"/>
        </w:rPr>
        <w:t xml:space="preserve">, </w:t>
      </w:r>
      <w:r>
        <w:rPr>
          <w:rFonts w:ascii="Times New Roman" w:hAnsi="Times New Roman"/>
          <w:sz w:val="24"/>
          <w:szCs w:val="24"/>
          <w:lang w:val="ro-RO"/>
        </w:rPr>
        <w:t xml:space="preserve">să propună plenului Camerei Deputaților </w:t>
      </w:r>
      <w:r>
        <w:rPr>
          <w:rFonts w:ascii="Times New Roman" w:hAnsi="Times New Roman"/>
          <w:sz w:val="24"/>
          <w:szCs w:val="24"/>
        </w:rPr>
        <w:t>adoptarea proiectului de Lege privind completarea art. 45 din Legea minelor nr.85/2003, cu amendamente admise prevăzute în anexa nr. 1 și amendamente respinse prevăzute în anexa nr. 2, anexe care fac parte integrantă din prezentul raport.</w:t>
      </w:r>
    </w:p>
    <w:p>
      <w:pPr>
        <w:spacing w:line="276"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La lucrările ședinței a fost prezent în calitate de invitat domnul Bulf Cornel Cătălin - secretar de stat în Ministerul Economiei, Energiei și Mediului de Afaceri și domnul Turdean Nicolae – președintele Agenției Naționale pentru Resurse Minerale.</w:t>
      </w:r>
    </w:p>
    <w:p>
      <w:pPr>
        <w:pStyle w:val="3"/>
        <w:spacing w:before="0" w:after="0" w:line="276" w:lineRule="auto"/>
        <w:jc w:val="center"/>
        <w:rPr>
          <w:sz w:val="26"/>
          <w:szCs w:val="26"/>
        </w:rPr>
      </w:pPr>
      <w:r>
        <w:rPr>
          <w:sz w:val="26"/>
          <w:szCs w:val="26"/>
        </w:rPr>
        <w:t>*</w:t>
      </w:r>
    </w:p>
    <w:p>
      <w:pPr>
        <w:jc w:val="center"/>
        <w:rPr>
          <w:sz w:val="24"/>
          <w:szCs w:val="24"/>
          <w:lang w:val="ro-RO"/>
        </w:rPr>
      </w:pPr>
      <w:r>
        <w:rPr>
          <w:sz w:val="24"/>
          <w:szCs w:val="24"/>
          <w:lang w:val="ro-RO"/>
        </w:rPr>
        <w:t>*  *</w:t>
      </w:r>
    </w:p>
    <w:p>
      <w:pPr>
        <w:spacing w:line="276" w:lineRule="auto"/>
        <w:jc w:val="both"/>
        <w:rPr>
          <w:rFonts w:ascii="Times New Roman" w:hAnsi="Times New Roman"/>
          <w:sz w:val="24"/>
          <w:szCs w:val="24"/>
          <w:lang w:val="ro-RO"/>
        </w:rPr>
      </w:pPr>
      <w:r>
        <w:rPr>
          <w:sz w:val="24"/>
          <w:szCs w:val="24"/>
          <w:lang w:val="ro-RO"/>
        </w:rPr>
        <w:tab/>
      </w:r>
      <w:r>
        <w:rPr>
          <w:rFonts w:ascii="Times New Roman" w:hAnsi="Times New Roman"/>
          <w:sz w:val="24"/>
          <w:szCs w:val="24"/>
          <w:lang w:val="ro-RO"/>
        </w:rPr>
        <w:t>În şedinţa din data de 20 octombrie 2020, în temeiul art.70 din Regulamentul Camerei Deputaţilor, republicat, cu modificările și completările ulterioare, plenul Camerei Deputaţilor a hotărât retrimiterea proiectului de lege la comisiile sesizate pe fond.</w:t>
      </w:r>
    </w:p>
    <w:p>
      <w:pPr>
        <w:spacing w:line="276" w:lineRule="auto"/>
        <w:jc w:val="both"/>
        <w:rPr>
          <w:rFonts w:ascii="Times New Roman" w:hAnsi="Times New Roman"/>
          <w:sz w:val="24"/>
          <w:szCs w:val="24"/>
          <w:lang w:val="ro-RO"/>
        </w:rPr>
      </w:pPr>
      <w:r>
        <w:rPr>
          <w:rFonts w:ascii="Times New Roman" w:hAnsi="Times New Roman"/>
          <w:sz w:val="28"/>
          <w:szCs w:val="28"/>
          <w:lang w:val="ro-RO"/>
        </w:rPr>
        <w:tab/>
      </w:r>
      <w:r>
        <w:rPr>
          <w:rFonts w:ascii="Times New Roman" w:hAnsi="Times New Roman"/>
          <w:sz w:val="24"/>
          <w:szCs w:val="24"/>
          <w:lang w:val="ro-RO"/>
        </w:rPr>
        <w:t xml:space="preserve">În conformitate cu prevederile art. 63 din Regulamentul Camerei Deputaţilor, republicat, cu modificările și completările ulterioare, comisiile sesizate pe fond au examinat proiectul de Lege, sus menționat în </w:t>
      </w:r>
      <w:r>
        <w:rPr>
          <w:rFonts w:ascii="Times New Roman" w:hAnsi="Times New Roman"/>
          <w:b/>
          <w:sz w:val="24"/>
          <w:szCs w:val="24"/>
          <w:lang w:val="ro-RO"/>
        </w:rPr>
        <w:t>ședințe online separate</w:t>
      </w:r>
      <w:r>
        <w:rPr>
          <w:rFonts w:ascii="Times New Roman" w:hAnsi="Times New Roman"/>
          <w:sz w:val="24"/>
          <w:szCs w:val="24"/>
          <w:lang w:val="ro-RO"/>
        </w:rPr>
        <w:t xml:space="preserve"> în data de 2 noiembrie 2020. </w:t>
      </w:r>
    </w:p>
    <w:p>
      <w:pPr>
        <w:spacing w:line="276" w:lineRule="auto"/>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La lucrarile Comisiei pentru industrii si servicii au fost prezenti 19 deputaţi din totalul de 22 deputaţi membri ai comisiei.</w:t>
      </w:r>
    </w:p>
    <w:p>
      <w:pPr>
        <w:spacing w:line="276" w:lineRule="auto"/>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 xml:space="preserve">La lucrarile Comisiei pentru mediu si echilibru ecologic au fost prezenti 9 deputati din totalul de 15 deputati membri ai comisiei. </w:t>
      </w:r>
    </w:p>
    <w:p>
      <w:pPr>
        <w:spacing w:line="276"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În urma dezbaterilor și a opiniilor exprimate, membrii </w:t>
      </w:r>
      <w:r>
        <w:rPr>
          <w:rFonts w:ascii="Times New Roman" w:hAnsi="Times New Roman"/>
          <w:sz w:val="24"/>
          <w:szCs w:val="24"/>
          <w:lang w:val="ro-RO"/>
        </w:rPr>
        <w:t>celor doua comisii</w:t>
      </w:r>
      <w:r>
        <w:rPr>
          <w:rFonts w:ascii="Times New Roman" w:hAnsi="Times New Roman"/>
          <w:sz w:val="24"/>
          <w:szCs w:val="24"/>
        </w:rPr>
        <w:t xml:space="preserve"> au hotărât, cu </w:t>
      </w:r>
      <w:r>
        <w:rPr>
          <w:rFonts w:ascii="Times New Roman" w:hAnsi="Times New Roman"/>
          <w:b/>
          <w:bCs/>
          <w:sz w:val="24"/>
          <w:szCs w:val="24"/>
        </w:rPr>
        <w:t>majoritate de voturi</w:t>
      </w:r>
      <w:r>
        <w:rPr>
          <w:rFonts w:ascii="Times New Roman" w:hAnsi="Times New Roman"/>
          <w:sz w:val="24"/>
          <w:szCs w:val="24"/>
        </w:rPr>
        <w:t xml:space="preserve">, </w:t>
      </w:r>
      <w:r>
        <w:rPr>
          <w:rFonts w:ascii="Times New Roman" w:hAnsi="Times New Roman"/>
          <w:sz w:val="24"/>
          <w:szCs w:val="24"/>
          <w:lang w:val="ro-RO"/>
        </w:rPr>
        <w:t xml:space="preserve">să propună plenului Camerei Deputaților </w:t>
      </w:r>
      <w:r>
        <w:rPr>
          <w:rFonts w:ascii="Times New Roman" w:hAnsi="Times New Roman"/>
          <w:sz w:val="24"/>
          <w:szCs w:val="24"/>
        </w:rPr>
        <w:t>adoptarea proiectului de Lege privind completarea art. 45 din Legea minelor nr.85/2003, cu amendamente admise prevăzute în anexa nr. 1 și amendamente respinse prevăzute în anexa nr. 2, anexe care fac parte integrantă din prezentul raport.</w:t>
      </w:r>
    </w:p>
    <w:p>
      <w:pPr>
        <w:spacing w:line="276" w:lineRule="auto"/>
        <w:jc w:val="both"/>
        <w:rPr>
          <w:rFonts w:ascii="Times New Roman" w:hAnsi="Times New Roman"/>
          <w:sz w:val="24"/>
          <w:szCs w:val="24"/>
        </w:rPr>
      </w:pPr>
      <w:r>
        <w:rPr>
          <w:rFonts w:ascii="Times New Roman" w:hAnsi="Times New Roman"/>
          <w:sz w:val="28"/>
          <w:szCs w:val="28"/>
          <w:lang w:val="ro-RO"/>
        </w:rPr>
        <w:tab/>
      </w:r>
      <w:r>
        <w:rPr>
          <w:rFonts w:ascii="Times New Roman" w:hAnsi="Times New Roman"/>
          <w:sz w:val="24"/>
          <w:szCs w:val="24"/>
        </w:rPr>
        <w:t>La lucrările ședinței a fost prezent în calitate de invitat domnul Bulf Cornel Cătălin - secretar de stat în Ministerul Economiei, Energiei și Mediului de Afaceri și domnul Turdean Nicolae – președintele Agenției Naționale pentru Resurse Minerale.</w:t>
      </w:r>
    </w:p>
    <w:p>
      <w:pPr>
        <w:spacing w:line="276"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 xml:space="preserve">În raport cu obiectul și conținutul său, proiectul de lege face parte din categoria legilor ordinare. </w:t>
      </w:r>
    </w:p>
    <w:p>
      <w:pPr>
        <w:spacing w:line="276"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Conform prevederilor art. 75 alin. (1) din Constituția României, republicată, și ale art. 91 alin. (9) pct. 1 din Regulamentul Camerei Deputaților, republicat, cu modificările și completările ulterioare, Camera Deputaților este Cameră decizională.</w:t>
      </w:r>
    </w:p>
    <w:p>
      <w:pPr>
        <w:spacing w:line="276" w:lineRule="auto"/>
        <w:jc w:val="center"/>
        <w:rPr>
          <w:rFonts w:ascii="Times New Roman" w:hAnsi="Times New Roman"/>
          <w:b/>
          <w:sz w:val="26"/>
          <w:szCs w:val="26"/>
        </w:rPr>
      </w:pPr>
    </w:p>
    <w:p>
      <w:pPr>
        <w:spacing w:line="276" w:lineRule="auto"/>
        <w:jc w:val="center"/>
        <w:rPr>
          <w:rFonts w:ascii="Times New Roman" w:hAnsi="Times New Roman"/>
          <w:b/>
          <w:sz w:val="26"/>
          <w:szCs w:val="26"/>
        </w:rPr>
      </w:pPr>
      <w:bookmarkStart w:id="4" w:name="_GoBack"/>
      <w:bookmarkEnd w:id="4"/>
    </w:p>
    <w:p>
      <w:pPr>
        <w:tabs>
          <w:tab w:val="left" w:pos="0"/>
        </w:tabs>
        <w:jc w:val="center"/>
        <w:rPr>
          <w:rFonts w:ascii="Times New Roman" w:hAnsi="Times New Roman"/>
          <w:sz w:val="16"/>
          <w:szCs w:val="16"/>
        </w:rPr>
      </w:pPr>
    </w:p>
    <w:p>
      <w:pPr>
        <w:tabs>
          <w:tab w:val="left" w:pos="0"/>
        </w:tabs>
        <w:jc w:val="center"/>
        <w:rPr>
          <w:rFonts w:ascii="Times New Roman" w:hAnsi="Times New Roman"/>
          <w:sz w:val="16"/>
          <w:szCs w:val="16"/>
        </w:rPr>
      </w:pPr>
    </w:p>
    <w:p>
      <w:pPr>
        <w:tabs>
          <w:tab w:val="left" w:pos="0"/>
        </w:tabs>
        <w:jc w:val="center"/>
        <w:rPr>
          <w:rFonts w:ascii="Times New Roman" w:hAnsi="Times New Roman"/>
          <w:sz w:val="16"/>
          <w:szCs w:val="16"/>
        </w:rPr>
      </w:pPr>
    </w:p>
    <w:p>
      <w:pPr>
        <w:spacing w:line="360" w:lineRule="auto"/>
        <w:ind w:firstLine="720" w:firstLineChars="300"/>
        <w:jc w:val="both"/>
        <w:rPr>
          <w:rFonts w:ascii="Times New Roman" w:hAnsi="Times New Roman" w:eastAsia="Times New Roman"/>
          <w:b/>
          <w:sz w:val="24"/>
          <w:szCs w:val="24"/>
        </w:rPr>
      </w:pPr>
      <w:r>
        <w:rPr>
          <w:rFonts w:ascii="Times New Roman" w:hAnsi="Times New Roman" w:eastAsia="Times New Roman"/>
          <w:b/>
          <w:sz w:val="24"/>
          <w:szCs w:val="24"/>
          <w:lang w:val="en-GB"/>
        </w:rPr>
        <w:t xml:space="preserve">   P</w:t>
      </w:r>
      <w:r>
        <w:rPr>
          <w:rFonts w:ascii="Times New Roman" w:hAnsi="Times New Roman" w:eastAsia="Times New Roman"/>
          <w:b/>
          <w:sz w:val="24"/>
          <w:szCs w:val="24"/>
        </w:rPr>
        <w:t xml:space="preserve">REŞEDINTE,                           </w:t>
      </w:r>
      <w:r>
        <w:rPr>
          <w:rFonts w:ascii="Times New Roman" w:hAnsi="Times New Roman" w:eastAsia="Times New Roman"/>
          <w:b/>
          <w:sz w:val="24"/>
          <w:szCs w:val="24"/>
          <w:lang w:val="en-GB"/>
        </w:rPr>
        <w:tab/>
      </w:r>
      <w:r>
        <w:rPr>
          <w:rFonts w:ascii="Times New Roman" w:hAnsi="Times New Roman" w:eastAsia="Times New Roman"/>
          <w:b/>
          <w:sz w:val="24"/>
          <w:szCs w:val="24"/>
          <w:lang w:val="en-GB"/>
        </w:rPr>
        <w:tab/>
      </w:r>
      <w:r>
        <w:rPr>
          <w:rFonts w:ascii="Times New Roman" w:hAnsi="Times New Roman" w:eastAsia="Times New Roman"/>
          <w:b/>
          <w:sz w:val="24"/>
          <w:szCs w:val="24"/>
          <w:lang w:val="en-GB"/>
        </w:rPr>
        <w:tab/>
      </w:r>
      <w:r>
        <w:rPr>
          <w:rFonts w:ascii="Times New Roman" w:hAnsi="Times New Roman" w:eastAsia="Times New Roman"/>
          <w:b/>
          <w:sz w:val="24"/>
          <w:szCs w:val="24"/>
        </w:rPr>
        <w:t xml:space="preserve"> </w:t>
      </w:r>
      <w:r>
        <w:rPr>
          <w:rFonts w:ascii="Times New Roman" w:hAnsi="Times New Roman" w:eastAsia="Times New Roman"/>
          <w:b/>
          <w:sz w:val="24"/>
          <w:szCs w:val="24"/>
          <w:lang w:val="en-GB"/>
        </w:rPr>
        <w:tab/>
      </w:r>
      <w:r>
        <w:rPr>
          <w:rFonts w:ascii="Times New Roman" w:hAnsi="Times New Roman" w:eastAsia="Times New Roman"/>
          <w:b/>
          <w:sz w:val="24"/>
          <w:szCs w:val="24"/>
        </w:rPr>
        <w:t xml:space="preserve">   PREŞEDINTE</w:t>
      </w:r>
    </w:p>
    <w:p>
      <w:pPr>
        <w:spacing w:line="360" w:lineRule="auto"/>
        <w:ind w:firstLine="120" w:firstLineChars="50"/>
        <w:jc w:val="both"/>
        <w:rPr>
          <w:rFonts w:ascii="Times New Roman" w:hAnsi="Times New Roman"/>
          <w:b/>
          <w:sz w:val="24"/>
          <w:szCs w:val="24"/>
        </w:rPr>
      </w:pPr>
      <w:r>
        <w:rPr>
          <w:rFonts w:ascii="Times New Roman" w:hAnsi="Times New Roman" w:eastAsia="Times New Roman"/>
          <w:b/>
          <w:sz w:val="24"/>
          <w:szCs w:val="24"/>
          <w:lang w:val="en-GB"/>
        </w:rPr>
        <w:t xml:space="preserve">       </w:t>
      </w:r>
      <w:r>
        <w:rPr>
          <w:rFonts w:hint="default" w:ascii="Times New Roman" w:hAnsi="Times New Roman" w:eastAsia="Times New Roman"/>
          <w:b/>
          <w:sz w:val="24"/>
          <w:szCs w:val="24"/>
          <w:lang w:val="ro-RO"/>
        </w:rPr>
        <w:t xml:space="preserve">     </w:t>
      </w:r>
      <w:r>
        <w:rPr>
          <w:rFonts w:ascii="Times New Roman" w:hAnsi="Times New Roman" w:eastAsia="Times New Roman"/>
          <w:b/>
          <w:sz w:val="24"/>
          <w:szCs w:val="24"/>
          <w:lang w:val="en-GB"/>
        </w:rPr>
        <w:t xml:space="preserve">    ION CUPA</w:t>
      </w:r>
      <w:r>
        <w:rPr>
          <w:rFonts w:ascii="Times New Roman" w:hAnsi="Times New Roman" w:eastAsia="Times New Roman"/>
          <w:b/>
          <w:sz w:val="24"/>
          <w:szCs w:val="24"/>
        </w:rPr>
        <w:t xml:space="preserve">                </w:t>
      </w:r>
      <w:r>
        <w:rPr>
          <w:rFonts w:ascii="Times New Roman" w:hAnsi="Times New Roman" w:eastAsia="Times New Roman"/>
          <w:b/>
          <w:sz w:val="24"/>
          <w:szCs w:val="24"/>
          <w:lang w:val="en-GB"/>
        </w:rPr>
        <w:tab/>
      </w:r>
      <w:r>
        <w:rPr>
          <w:rFonts w:ascii="Times New Roman" w:hAnsi="Times New Roman" w:eastAsia="Times New Roman"/>
          <w:b/>
          <w:sz w:val="24"/>
          <w:szCs w:val="24"/>
          <w:lang w:val="en-GB"/>
        </w:rPr>
        <w:tab/>
      </w:r>
      <w:r>
        <w:rPr>
          <w:rFonts w:ascii="Times New Roman" w:hAnsi="Times New Roman" w:eastAsia="Times New Roman"/>
          <w:b/>
          <w:sz w:val="24"/>
          <w:szCs w:val="24"/>
        </w:rPr>
        <w:t xml:space="preserve">   </w:t>
      </w:r>
      <w:r>
        <w:rPr>
          <w:rFonts w:ascii="Times New Roman" w:hAnsi="Times New Roman" w:eastAsia="Times New Roman"/>
          <w:b/>
          <w:sz w:val="24"/>
          <w:szCs w:val="24"/>
          <w:lang w:val="ro-RO"/>
        </w:rPr>
        <w:t xml:space="preserve">                              </w:t>
      </w:r>
      <w:r>
        <w:rPr>
          <w:rFonts w:ascii="Times New Roman" w:hAnsi="Times New Roman"/>
          <w:b/>
          <w:sz w:val="24"/>
          <w:szCs w:val="24"/>
        </w:rPr>
        <w:t>SORIN-IOAN BUMB</w:t>
      </w:r>
    </w:p>
    <w:p>
      <w:pPr>
        <w:ind w:firstLine="905" w:firstLineChars="377"/>
        <w:jc w:val="both"/>
        <w:rPr>
          <w:rFonts w:ascii="Times New Roman" w:hAnsi="Times New Roman" w:eastAsia="Times New Roman"/>
          <w:b/>
          <w:sz w:val="24"/>
          <w:szCs w:val="24"/>
        </w:rPr>
      </w:pPr>
      <w:r>
        <w:rPr>
          <w:rFonts w:ascii="Times New Roman" w:hAnsi="Times New Roman" w:eastAsia="Times New Roman"/>
          <w:b/>
          <w:sz w:val="24"/>
          <w:szCs w:val="24"/>
        </w:rPr>
        <w:t xml:space="preserve">         </w:t>
      </w:r>
    </w:p>
    <w:p>
      <w:pPr>
        <w:jc w:val="both"/>
        <w:rPr>
          <w:rFonts w:ascii="Times New Roman" w:hAnsi="Times New Roman" w:eastAsia="Times New Roman"/>
          <w:b/>
          <w:sz w:val="24"/>
          <w:szCs w:val="24"/>
        </w:rPr>
      </w:pPr>
    </w:p>
    <w:p>
      <w:pPr>
        <w:ind w:firstLine="905" w:firstLineChars="377"/>
        <w:jc w:val="both"/>
        <w:rPr>
          <w:rFonts w:ascii="Times New Roman" w:hAnsi="Times New Roman" w:eastAsia="Times New Roman"/>
          <w:b/>
          <w:sz w:val="24"/>
          <w:szCs w:val="24"/>
        </w:rPr>
      </w:pPr>
    </w:p>
    <w:p>
      <w:pPr>
        <w:ind w:firstLine="905" w:firstLineChars="377"/>
        <w:jc w:val="both"/>
        <w:rPr>
          <w:rFonts w:ascii="Times New Roman" w:hAnsi="Times New Roman" w:eastAsia="Times New Roman"/>
          <w:b/>
          <w:sz w:val="24"/>
          <w:szCs w:val="24"/>
        </w:rPr>
      </w:pPr>
    </w:p>
    <w:p>
      <w:pPr>
        <w:ind w:firstLine="905" w:firstLineChars="377"/>
        <w:jc w:val="both"/>
        <w:rPr>
          <w:rFonts w:ascii="Times New Roman" w:hAnsi="Times New Roman" w:eastAsia="Times New Roman"/>
          <w:b/>
          <w:sz w:val="24"/>
          <w:szCs w:val="24"/>
          <w:lang w:val="ro-RO"/>
        </w:rPr>
      </w:pPr>
      <w:r>
        <w:rPr>
          <w:rFonts w:ascii="Times New Roman" w:hAnsi="Times New Roman" w:eastAsia="Times New Roman"/>
          <w:b/>
          <w:sz w:val="24"/>
          <w:szCs w:val="24"/>
        </w:rPr>
        <w:t xml:space="preserve">   </w:t>
      </w:r>
      <w:r>
        <w:rPr>
          <w:rFonts w:ascii="Times New Roman" w:hAnsi="Times New Roman" w:eastAsia="Times New Roman"/>
          <w:b/>
          <w:sz w:val="24"/>
          <w:szCs w:val="24"/>
          <w:lang w:val="ro-RO"/>
        </w:rPr>
        <w:t xml:space="preserve">SECRETAR                                                                      </w:t>
      </w:r>
      <w:r>
        <w:rPr>
          <w:rFonts w:ascii="Times New Roman" w:hAnsi="Times New Roman" w:eastAsia="Times New Roman"/>
          <w:b/>
          <w:sz w:val="24"/>
          <w:szCs w:val="24"/>
          <w:lang w:val="en-GB"/>
        </w:rPr>
        <w:t xml:space="preserve">   </w:t>
      </w:r>
      <w:r>
        <w:rPr>
          <w:rFonts w:ascii="Times New Roman" w:hAnsi="Times New Roman" w:eastAsia="Times New Roman"/>
          <w:b/>
          <w:sz w:val="24"/>
          <w:szCs w:val="24"/>
          <w:lang w:val="ro-RO"/>
        </w:rPr>
        <w:t>SECRETAR</w:t>
      </w:r>
    </w:p>
    <w:p>
      <w:pPr>
        <w:jc w:val="both"/>
        <w:rPr>
          <w:rFonts w:ascii="Times New Roman" w:hAnsi="Times New Roman" w:eastAsia="Times New Roman"/>
          <w:b/>
          <w:sz w:val="24"/>
          <w:szCs w:val="24"/>
          <w:lang w:val="en-GB"/>
        </w:rPr>
      </w:pPr>
      <w:r>
        <w:rPr>
          <w:rFonts w:ascii="Times New Roman" w:hAnsi="Times New Roman" w:eastAsia="Times New Roman"/>
          <w:b/>
          <w:sz w:val="24"/>
          <w:szCs w:val="24"/>
          <w:lang w:val="ro-RO"/>
        </w:rPr>
        <w:t>BOGDAN GHEORGHE DANUT</w:t>
      </w:r>
      <w:r>
        <w:rPr>
          <w:rFonts w:ascii="Times New Roman" w:hAnsi="Times New Roman" w:eastAsia="Times New Roman"/>
          <w:b/>
          <w:sz w:val="24"/>
          <w:szCs w:val="24"/>
          <w:lang w:val="ro-RO"/>
        </w:rPr>
        <w:tab/>
      </w:r>
      <w:r>
        <w:rPr>
          <w:rFonts w:ascii="Times New Roman" w:hAnsi="Times New Roman" w:eastAsia="Times New Roman"/>
          <w:b/>
          <w:sz w:val="24"/>
          <w:szCs w:val="24"/>
          <w:lang w:val="ro-RO"/>
        </w:rPr>
        <w:t xml:space="preserve">                                        ADNAGI    </w:t>
      </w:r>
      <w:r>
        <w:rPr>
          <w:rFonts w:ascii="Times New Roman" w:hAnsi="Times New Roman" w:eastAsia="Times New Roman"/>
          <w:b/>
          <w:sz w:val="24"/>
          <w:szCs w:val="24"/>
          <w:lang w:val="en-GB"/>
        </w:rPr>
        <w:t>SLAVOLIUB</w:t>
      </w:r>
    </w:p>
    <w:p>
      <w:pPr>
        <w:jc w:val="both"/>
        <w:rPr>
          <w:rFonts w:ascii="Times New Roman" w:hAnsi="Times New Roman" w:eastAsia="Times New Roman"/>
          <w:b/>
          <w:sz w:val="24"/>
          <w:szCs w:val="24"/>
        </w:rPr>
      </w:pPr>
    </w:p>
    <w:p>
      <w:pPr>
        <w:spacing w:line="276" w:lineRule="auto"/>
        <w:ind w:right="-266" w:hanging="540"/>
        <w:rPr>
          <w:rFonts w:ascii="Times New Roman" w:hAnsi="Times New Roman" w:eastAsia="Times New Roman"/>
          <w:sz w:val="24"/>
          <w:szCs w:val="24"/>
        </w:rPr>
      </w:pPr>
      <w:r>
        <w:rPr>
          <w:rFonts w:ascii="Times New Roman" w:hAnsi="Times New Roman" w:eastAsia="Times New Roman"/>
          <w:sz w:val="24"/>
          <w:szCs w:val="24"/>
        </w:rPr>
        <w:t xml:space="preserve">                                   </w:t>
      </w:r>
    </w:p>
    <w:p>
      <w:pPr>
        <w:spacing w:line="276" w:lineRule="auto"/>
        <w:ind w:right="-266" w:hanging="540"/>
        <w:rPr>
          <w:rFonts w:ascii="Times New Roman" w:hAnsi="Times New Roman" w:eastAsia="Times New Roman"/>
          <w:sz w:val="24"/>
          <w:szCs w:val="24"/>
        </w:rPr>
      </w:pPr>
    </w:p>
    <w:p>
      <w:pPr>
        <w:spacing w:line="276" w:lineRule="auto"/>
        <w:ind w:right="-266" w:hanging="540"/>
        <w:rPr>
          <w:rFonts w:ascii="Times New Roman" w:hAnsi="Times New Roman" w:eastAsia="Times New Roman"/>
          <w:sz w:val="24"/>
          <w:szCs w:val="24"/>
        </w:rPr>
      </w:pPr>
      <w:r>
        <w:rPr>
          <w:rFonts w:ascii="Times New Roman" w:hAnsi="Times New Roman" w:eastAsia="Times New Roman"/>
          <w:sz w:val="24"/>
          <w:szCs w:val="24"/>
        </w:rPr>
        <w:t xml:space="preserve">            </w:t>
      </w:r>
    </w:p>
    <w:p>
      <w:pPr>
        <w:tabs>
          <w:tab w:val="left" w:pos="0"/>
        </w:tabs>
        <w:rPr>
          <w:sz w:val="18"/>
          <w:szCs w:val="18"/>
        </w:rPr>
        <w:sectPr>
          <w:footerReference r:id="rId3" w:type="default"/>
          <w:footerReference r:id="rId4" w:type="even"/>
          <w:pgSz w:w="12240" w:h="15840"/>
          <w:pgMar w:top="1440" w:right="1800" w:bottom="1440" w:left="1800" w:header="720" w:footer="720" w:gutter="0"/>
          <w:pgNumType w:start="1"/>
          <w:cols w:space="720" w:num="1"/>
        </w:sectPr>
      </w:pPr>
      <w:r>
        <w:rPr>
          <w:rFonts w:ascii="Times New Roman" w:hAnsi="Times New Roman" w:eastAsia="Times New Roman"/>
          <w:sz w:val="18"/>
          <w:szCs w:val="18"/>
        </w:rPr>
        <w:t xml:space="preserve">Consilier parlamentar, Alina Alexandriuc                         </w:t>
      </w:r>
      <w:r>
        <w:rPr>
          <w:rFonts w:ascii="Times New Roman" w:hAnsi="Times New Roman" w:eastAsia="Times New Roman"/>
          <w:sz w:val="18"/>
          <w:szCs w:val="18"/>
          <w:lang w:val="ro-RO"/>
        </w:rPr>
        <w:t xml:space="preserve">                       </w:t>
      </w:r>
      <w:r>
        <w:rPr>
          <w:rFonts w:ascii="Times New Roman" w:hAnsi="Times New Roman" w:eastAsia="Times New Roman"/>
          <w:sz w:val="18"/>
          <w:szCs w:val="18"/>
        </w:rPr>
        <w:t xml:space="preserve"> </w:t>
      </w:r>
      <w:r>
        <w:rPr>
          <w:rFonts w:ascii="Times New Roman" w:hAnsi="Times New Roman" w:eastAsia="Times New Roman"/>
          <w:sz w:val="18"/>
          <w:szCs w:val="18"/>
          <w:lang w:val="ro-RO"/>
        </w:rPr>
        <w:t xml:space="preserve">             </w:t>
      </w:r>
      <w:r>
        <w:rPr>
          <w:rFonts w:ascii="Times New Roman" w:hAnsi="Times New Roman" w:eastAsia="Times New Roman"/>
          <w:sz w:val="18"/>
          <w:szCs w:val="18"/>
        </w:rPr>
        <w:t xml:space="preserve">       </w:t>
      </w:r>
      <w:r>
        <w:rPr>
          <w:rFonts w:ascii="Times New Roman" w:hAnsi="Times New Roman" w:eastAsia="Times New Roman"/>
          <w:sz w:val="18"/>
          <w:szCs w:val="18"/>
          <w:lang w:val="en-GB"/>
        </w:rPr>
        <w:t xml:space="preserve">            </w:t>
      </w:r>
      <w:r>
        <w:rPr>
          <w:rFonts w:ascii="Times New Roman" w:hAnsi="Times New Roman"/>
          <w:sz w:val="18"/>
          <w:szCs w:val="18"/>
        </w:rPr>
        <w:t>Șef birou, Cristina Neicu</w:t>
      </w:r>
    </w:p>
    <w:p>
      <w:pPr>
        <w:tabs>
          <w:tab w:val="left" w:pos="0"/>
        </w:tabs>
        <w:jc w:val="both"/>
        <w:rPr>
          <w:rFonts w:ascii="Times New Roman" w:hAnsi="Times New Roman"/>
          <w:sz w:val="16"/>
          <w:szCs w:val="16"/>
        </w:rPr>
      </w:pPr>
    </w:p>
    <w:p>
      <w:pPr>
        <w:wordWrap w:val="0"/>
        <w:jc w:val="right"/>
        <w:rPr>
          <w:rFonts w:ascii="Times New Roman" w:hAnsi="Times New Roman"/>
          <w:i/>
          <w:sz w:val="24"/>
          <w:szCs w:val="24"/>
        </w:rPr>
      </w:pPr>
      <w:r>
        <w:rPr>
          <w:rFonts w:ascii="Times New Roman" w:hAnsi="Times New Roman"/>
          <w:i/>
          <w:sz w:val="24"/>
          <w:szCs w:val="24"/>
        </w:rPr>
        <w:t>Anexa 1</w:t>
      </w:r>
    </w:p>
    <w:p>
      <w:pPr>
        <w:spacing w:line="360" w:lineRule="auto"/>
        <w:jc w:val="both"/>
        <w:rPr>
          <w:rFonts w:ascii="Times New Roman" w:hAnsi="Times New Roman"/>
          <w:b/>
          <w:sz w:val="24"/>
          <w:szCs w:val="24"/>
        </w:rPr>
      </w:pPr>
    </w:p>
    <w:p>
      <w:pPr>
        <w:spacing w:line="360" w:lineRule="auto"/>
        <w:jc w:val="center"/>
        <w:rPr>
          <w:rFonts w:ascii="Times New Roman" w:hAnsi="Times New Roman"/>
          <w:b/>
          <w:sz w:val="24"/>
          <w:szCs w:val="24"/>
        </w:rPr>
      </w:pPr>
      <w:r>
        <w:rPr>
          <w:rFonts w:ascii="Times New Roman" w:hAnsi="Times New Roman"/>
          <w:b/>
          <w:sz w:val="24"/>
          <w:szCs w:val="24"/>
        </w:rPr>
        <w:t xml:space="preserve"> AMENDAMENTE   ADMISE</w:t>
      </w:r>
    </w:p>
    <w:p>
      <w:pPr>
        <w:spacing w:line="360" w:lineRule="auto"/>
        <w:jc w:val="center"/>
        <w:rPr>
          <w:rFonts w:ascii="Times New Roman" w:hAnsi="Times New Roman"/>
          <w:b/>
          <w:sz w:val="24"/>
          <w:szCs w:val="24"/>
        </w:rPr>
      </w:pPr>
    </w:p>
    <w:tbl>
      <w:tblPr>
        <w:tblStyle w:val="17"/>
        <w:tblW w:w="154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4667"/>
        <w:gridCol w:w="3009"/>
        <w:gridCol w:w="4992"/>
        <w:gridCol w:w="2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jc w:val="center"/>
              <w:rPr>
                <w:rFonts w:ascii="Times New Roman" w:hAnsi="Times New Roman"/>
                <w:b/>
                <w:sz w:val="24"/>
                <w:szCs w:val="24"/>
              </w:rPr>
            </w:pPr>
            <w:r>
              <w:rPr>
                <w:rFonts w:ascii="Times New Roman" w:hAnsi="Times New Roman"/>
                <w:b/>
                <w:sz w:val="24"/>
                <w:szCs w:val="24"/>
              </w:rPr>
              <w:t>Nr. Crt.</w:t>
            </w:r>
          </w:p>
        </w:tc>
        <w:tc>
          <w:tcPr>
            <w:tcW w:w="4667" w:type="dxa"/>
          </w:tcPr>
          <w:p>
            <w:pPr>
              <w:jc w:val="center"/>
              <w:rPr>
                <w:rFonts w:ascii="Times New Roman" w:hAnsi="Times New Roman"/>
                <w:b/>
                <w:sz w:val="24"/>
                <w:szCs w:val="24"/>
              </w:rPr>
            </w:pPr>
            <w:r>
              <w:rPr>
                <w:rFonts w:ascii="Times New Roman" w:hAnsi="Times New Roman"/>
                <w:b/>
                <w:sz w:val="24"/>
                <w:szCs w:val="24"/>
              </w:rPr>
              <w:t>Legea minelor 85/2003</w:t>
            </w:r>
          </w:p>
          <w:p>
            <w:pPr>
              <w:jc w:val="center"/>
              <w:rPr>
                <w:rFonts w:ascii="Times New Roman" w:hAnsi="Times New Roman"/>
                <w:b/>
                <w:sz w:val="24"/>
                <w:szCs w:val="24"/>
              </w:rPr>
            </w:pPr>
          </w:p>
        </w:tc>
        <w:tc>
          <w:tcPr>
            <w:tcW w:w="3009" w:type="dxa"/>
            <w:vAlign w:val="center"/>
          </w:tcPr>
          <w:p>
            <w:pPr>
              <w:jc w:val="center"/>
              <w:rPr>
                <w:rFonts w:ascii="Times New Roman" w:hAnsi="Times New Roman"/>
                <w:b/>
                <w:sz w:val="24"/>
                <w:szCs w:val="24"/>
              </w:rPr>
            </w:pPr>
            <w:r>
              <w:rPr>
                <w:rFonts w:ascii="Times New Roman" w:hAnsi="Times New Roman"/>
                <w:b/>
                <w:sz w:val="24"/>
                <w:szCs w:val="24"/>
              </w:rPr>
              <w:t>Text Senat</w:t>
            </w:r>
          </w:p>
        </w:tc>
        <w:tc>
          <w:tcPr>
            <w:tcW w:w="4992" w:type="dxa"/>
            <w:vAlign w:val="center"/>
          </w:tcPr>
          <w:p>
            <w:pPr>
              <w:jc w:val="center"/>
              <w:rPr>
                <w:rFonts w:ascii="Times New Roman" w:hAnsi="Times New Roman"/>
                <w:b/>
                <w:sz w:val="24"/>
                <w:szCs w:val="24"/>
              </w:rPr>
            </w:pPr>
            <w:r>
              <w:rPr>
                <w:rFonts w:ascii="Times New Roman" w:hAnsi="Times New Roman"/>
                <w:b/>
                <w:sz w:val="24"/>
                <w:szCs w:val="24"/>
              </w:rPr>
              <w:t>Amendamente admise/autor</w:t>
            </w:r>
          </w:p>
        </w:tc>
        <w:tc>
          <w:tcPr>
            <w:tcW w:w="2040" w:type="dxa"/>
            <w:vAlign w:val="center"/>
          </w:tcPr>
          <w:p>
            <w:pPr>
              <w:jc w:val="center"/>
              <w:rPr>
                <w:rFonts w:ascii="Times New Roman" w:hAnsi="Times New Roman"/>
                <w:b/>
                <w:sz w:val="24"/>
                <w:szCs w:val="24"/>
              </w:rPr>
            </w:pPr>
            <w:r>
              <w:rPr>
                <w:rFonts w:ascii="Times New Roman" w:hAnsi="Times New Roman"/>
                <w:b/>
                <w:sz w:val="24"/>
                <w:szCs w:val="24"/>
              </w:rPr>
              <w:t>Motivarea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rPr>
                <w:rFonts w:ascii="Times New Roman" w:hAnsi="Times New Roman"/>
                <w:b/>
                <w:sz w:val="24"/>
                <w:szCs w:val="24"/>
              </w:rPr>
            </w:pPr>
          </w:p>
        </w:tc>
        <w:tc>
          <w:tcPr>
            <w:tcW w:w="3009" w:type="dxa"/>
          </w:tcPr>
          <w:p>
            <w:pPr>
              <w:rPr>
                <w:rFonts w:ascii="Times New Roman" w:hAnsi="Times New Roman"/>
                <w:b/>
                <w:sz w:val="24"/>
                <w:szCs w:val="24"/>
              </w:rPr>
            </w:pPr>
            <w:r>
              <w:rPr>
                <w:rFonts w:ascii="Times New Roman" w:hAnsi="Times New Roman"/>
                <w:b/>
                <w:sz w:val="24"/>
                <w:szCs w:val="24"/>
              </w:rPr>
              <w:t>Titlul Legii</w:t>
            </w:r>
          </w:p>
          <w:p>
            <w:pPr>
              <w:jc w:val="center"/>
              <w:rPr>
                <w:rFonts w:ascii="Times New Roman" w:hAnsi="Times New Roman"/>
                <w:b/>
                <w:sz w:val="24"/>
                <w:szCs w:val="24"/>
              </w:rPr>
            </w:pPr>
          </w:p>
          <w:p>
            <w:pPr>
              <w:jc w:val="center"/>
              <w:rPr>
                <w:rFonts w:ascii="Times New Roman" w:hAnsi="Times New Roman"/>
                <w:sz w:val="24"/>
                <w:szCs w:val="24"/>
              </w:rPr>
            </w:pPr>
            <w:r>
              <w:rPr>
                <w:rFonts w:ascii="Times New Roman" w:hAnsi="Times New Roman"/>
                <w:sz w:val="24"/>
                <w:szCs w:val="24"/>
              </w:rPr>
              <w:t>LEGE</w:t>
            </w:r>
          </w:p>
          <w:p>
            <w:pPr>
              <w:jc w:val="both"/>
              <w:rPr>
                <w:rFonts w:ascii="Times New Roman" w:hAnsi="Times New Roman"/>
                <w:b/>
                <w:sz w:val="24"/>
                <w:szCs w:val="24"/>
              </w:rPr>
            </w:pPr>
            <w:r>
              <w:rPr>
                <w:rFonts w:ascii="Times New Roman" w:hAnsi="Times New Roman"/>
                <w:sz w:val="24"/>
                <w:szCs w:val="24"/>
              </w:rPr>
              <w:t xml:space="preserve">pentru completarea </w:t>
            </w:r>
            <w:r>
              <w:rPr>
                <w:rFonts w:ascii="Times New Roman" w:hAnsi="Times New Roman"/>
                <w:b/>
                <w:sz w:val="24"/>
                <w:szCs w:val="24"/>
              </w:rPr>
              <w:t>art. 45 din Legea</w:t>
            </w:r>
            <w:r>
              <w:rPr>
                <w:rFonts w:ascii="Times New Roman" w:hAnsi="Times New Roman"/>
                <w:sz w:val="24"/>
                <w:szCs w:val="24"/>
              </w:rPr>
              <w:t xml:space="preserve"> minelor nr. 85/2003</w:t>
            </w:r>
          </w:p>
        </w:tc>
        <w:tc>
          <w:tcPr>
            <w:tcW w:w="4992" w:type="dxa"/>
          </w:tcPr>
          <w:p>
            <w:pPr>
              <w:rPr>
                <w:rFonts w:ascii="Times New Roman" w:hAnsi="Times New Roman"/>
                <w:b/>
                <w:sz w:val="24"/>
                <w:szCs w:val="24"/>
              </w:rPr>
            </w:pPr>
            <w:r>
              <w:rPr>
                <w:rFonts w:ascii="Times New Roman" w:hAnsi="Times New Roman"/>
                <w:b/>
                <w:sz w:val="24"/>
                <w:szCs w:val="24"/>
              </w:rPr>
              <w:t>Titlul Legii</w:t>
            </w:r>
          </w:p>
          <w:p>
            <w:pPr>
              <w:jc w:val="center"/>
              <w:rPr>
                <w:rFonts w:ascii="Times New Roman" w:hAnsi="Times New Roman"/>
                <w:sz w:val="24"/>
                <w:szCs w:val="24"/>
              </w:rPr>
            </w:pPr>
          </w:p>
          <w:p>
            <w:pPr>
              <w:jc w:val="center"/>
              <w:rPr>
                <w:rFonts w:ascii="Times New Roman" w:hAnsi="Times New Roman"/>
                <w:sz w:val="24"/>
                <w:szCs w:val="24"/>
              </w:rPr>
            </w:pPr>
            <w:r>
              <w:rPr>
                <w:rFonts w:ascii="Times New Roman" w:hAnsi="Times New Roman"/>
                <w:sz w:val="24"/>
                <w:szCs w:val="24"/>
              </w:rPr>
              <w:t>LEGE</w:t>
            </w:r>
          </w:p>
          <w:p>
            <w:pPr>
              <w:jc w:val="center"/>
              <w:rPr>
                <w:rFonts w:ascii="Times New Roman" w:hAnsi="Times New Roman"/>
                <w:sz w:val="24"/>
                <w:szCs w:val="24"/>
              </w:rPr>
            </w:pPr>
            <w:r>
              <w:rPr>
                <w:rFonts w:ascii="Times New Roman" w:hAnsi="Times New Roman"/>
                <w:sz w:val="24"/>
                <w:szCs w:val="24"/>
              </w:rPr>
              <w:t xml:space="preserve"> pentru </w:t>
            </w:r>
            <w:r>
              <w:rPr>
                <w:rFonts w:ascii="Times New Roman" w:hAnsi="Times New Roman"/>
                <w:b/>
                <w:sz w:val="24"/>
                <w:szCs w:val="24"/>
              </w:rPr>
              <w:t>modificarea și</w:t>
            </w:r>
            <w:r>
              <w:rPr>
                <w:rFonts w:ascii="Times New Roman" w:hAnsi="Times New Roman"/>
                <w:sz w:val="24"/>
                <w:szCs w:val="24"/>
              </w:rPr>
              <w:t xml:space="preserve"> completarea </w:t>
            </w:r>
            <w:r>
              <w:rPr>
                <w:rFonts w:ascii="Times New Roman" w:hAnsi="Times New Roman"/>
                <w:b/>
                <w:sz w:val="24"/>
                <w:szCs w:val="24"/>
              </w:rPr>
              <w:t>Legii</w:t>
            </w:r>
            <w:r>
              <w:rPr>
                <w:rFonts w:ascii="Times New Roman" w:hAnsi="Times New Roman"/>
                <w:sz w:val="24"/>
                <w:szCs w:val="24"/>
              </w:rPr>
              <w:t xml:space="preserve"> minelor nr.85/2003</w:t>
            </w:r>
          </w:p>
          <w:p>
            <w:pPr>
              <w:jc w:val="both"/>
              <w:rPr>
                <w:rFonts w:ascii="Times New Roman" w:hAnsi="Times New Roman"/>
                <w:i/>
                <w:sz w:val="24"/>
                <w:szCs w:val="24"/>
              </w:rPr>
            </w:pPr>
            <w:r>
              <w:rPr>
                <w:rFonts w:ascii="Times New Roman" w:hAnsi="Times New Roman"/>
                <w:i/>
                <w:sz w:val="24"/>
                <w:szCs w:val="24"/>
              </w:rPr>
              <w:t>Autori: Comisia pentru industrii și servicii</w:t>
            </w:r>
          </w:p>
          <w:p>
            <w:pPr>
              <w:jc w:val="both"/>
              <w:rPr>
                <w:rFonts w:ascii="Times New Roman" w:hAnsi="Times New Roman"/>
                <w:i/>
                <w:sz w:val="24"/>
                <w:szCs w:val="24"/>
              </w:rPr>
            </w:pPr>
            <w:r>
              <w:rPr>
                <w:rFonts w:ascii="Times New Roman" w:hAnsi="Times New Roman"/>
                <w:i/>
                <w:sz w:val="24"/>
                <w:szCs w:val="24"/>
              </w:rPr>
              <w:t xml:space="preserve">Comisia pentru mediu și echilibru ecologic </w:t>
            </w:r>
          </w:p>
        </w:tc>
        <w:tc>
          <w:tcPr>
            <w:tcW w:w="2040" w:type="dxa"/>
          </w:tcPr>
          <w:p>
            <w:pPr>
              <w:jc w:val="both"/>
              <w:rPr>
                <w:rFonts w:ascii="Times New Roman" w:hAnsi="Times New Roman"/>
                <w:sz w:val="24"/>
                <w:szCs w:val="24"/>
              </w:rPr>
            </w:pPr>
            <w:r>
              <w:rPr>
                <w:rFonts w:ascii="Times New Roman" w:hAnsi="Times New Roman"/>
                <w:sz w:val="24"/>
                <w:szCs w:val="24"/>
              </w:rPr>
              <w:t>Conform normelor de tehnică legislativă.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jc w:val="both"/>
              <w:rPr>
                <w:rFonts w:ascii="Times New Roman" w:hAnsi="Times New Roman"/>
                <w:b/>
                <w:sz w:val="24"/>
                <w:szCs w:val="24"/>
              </w:rPr>
            </w:pPr>
          </w:p>
        </w:tc>
        <w:tc>
          <w:tcPr>
            <w:tcW w:w="3009" w:type="dxa"/>
          </w:tcPr>
          <w:p>
            <w:pPr>
              <w:jc w:val="both"/>
              <w:rPr>
                <w:rFonts w:ascii="Times New Roman" w:hAnsi="Times New Roman"/>
                <w:sz w:val="24"/>
                <w:szCs w:val="24"/>
              </w:rPr>
            </w:pPr>
            <w:r>
              <w:rPr>
                <w:rFonts w:ascii="Times New Roman" w:hAnsi="Times New Roman"/>
                <w:b/>
                <w:sz w:val="24"/>
                <w:szCs w:val="24"/>
              </w:rPr>
              <w:t>Art. I – La articolul 45 din</w:t>
            </w:r>
            <w:r>
              <w:rPr>
                <w:rFonts w:ascii="Times New Roman" w:hAnsi="Times New Roman"/>
                <w:sz w:val="24"/>
                <w:szCs w:val="24"/>
              </w:rPr>
              <w:t xml:space="preserve"> Legea minelor nr. 85/2003, publicată în Monitorul Oficial al României, Partea I, nr. 197 din 27 martie 2003, cu modificările și completările ulterioare, după alineatul (4) </w:t>
            </w:r>
            <w:r>
              <w:rPr>
                <w:rFonts w:ascii="Times New Roman" w:hAnsi="Times New Roman"/>
                <w:b/>
                <w:sz w:val="24"/>
                <w:szCs w:val="24"/>
              </w:rPr>
              <w:t>se introduce un nou alineat, alin. (5), cu următorul cuprins:</w:t>
            </w:r>
          </w:p>
        </w:tc>
        <w:tc>
          <w:tcPr>
            <w:tcW w:w="4992" w:type="dxa"/>
          </w:tcPr>
          <w:p>
            <w:pPr>
              <w:jc w:val="both"/>
              <w:rPr>
                <w:rFonts w:ascii="Times New Roman" w:hAnsi="Times New Roman"/>
                <w:b/>
                <w:sz w:val="24"/>
                <w:szCs w:val="24"/>
              </w:rPr>
            </w:pPr>
            <w:r>
              <w:rPr>
                <w:rFonts w:ascii="Times New Roman" w:hAnsi="Times New Roman"/>
                <w:b/>
                <w:sz w:val="24"/>
                <w:szCs w:val="24"/>
              </w:rPr>
              <w:t xml:space="preserve">Art. I. - </w:t>
            </w:r>
            <w:r>
              <w:rPr>
                <w:rFonts w:ascii="Times New Roman" w:hAnsi="Times New Roman"/>
                <w:sz w:val="24"/>
                <w:szCs w:val="24"/>
              </w:rPr>
              <w:t xml:space="preserve">Legea minelor nr. 85/2003, publicată în Monitorul Oficial al României, Partea I, nr. 197 din 27 martie 2003, cu modificările și completările ulterioare, </w:t>
            </w:r>
            <w:r>
              <w:rPr>
                <w:rFonts w:ascii="Times New Roman" w:hAnsi="Times New Roman"/>
                <w:b/>
                <w:sz w:val="24"/>
                <w:szCs w:val="24"/>
              </w:rPr>
              <w:t>se modifică și completează după cum urmează:</w:t>
            </w:r>
          </w:p>
          <w:p>
            <w:pPr>
              <w:jc w:val="both"/>
              <w:rPr>
                <w:rFonts w:ascii="Times New Roman" w:hAnsi="Times New Roman"/>
                <w:b/>
                <w:sz w:val="24"/>
                <w:szCs w:val="24"/>
              </w:rPr>
            </w:pPr>
            <w:r>
              <w:rPr>
                <w:rFonts w:ascii="Times New Roman" w:hAnsi="Times New Roman"/>
                <w:i/>
                <w:sz w:val="24"/>
                <w:szCs w:val="24"/>
              </w:rPr>
              <w:t xml:space="preserve"> Autor: Comisia pentru industrii și servicii</w:t>
            </w:r>
          </w:p>
          <w:p>
            <w:pPr>
              <w:jc w:val="both"/>
              <w:rPr>
                <w:rFonts w:ascii="Times New Roman" w:hAnsi="Times New Roman"/>
                <w:b/>
                <w:sz w:val="24"/>
                <w:szCs w:val="24"/>
              </w:rPr>
            </w:pPr>
            <w:r>
              <w:rPr>
                <w:rFonts w:ascii="Times New Roman" w:hAnsi="Times New Roman"/>
                <w:i/>
                <w:sz w:val="24"/>
                <w:szCs w:val="24"/>
              </w:rPr>
              <w:t xml:space="preserve">Comisia pentru mediu și echilibru ecologic </w:t>
            </w:r>
          </w:p>
        </w:tc>
        <w:tc>
          <w:tcPr>
            <w:tcW w:w="2040" w:type="dxa"/>
          </w:tcPr>
          <w:p>
            <w:pPr>
              <w:jc w:val="both"/>
              <w:rPr>
                <w:rFonts w:ascii="Times New Roman" w:hAnsi="Times New Roman"/>
                <w:b/>
                <w:sz w:val="24"/>
                <w:szCs w:val="24"/>
              </w:rPr>
            </w:pPr>
            <w:r>
              <w:rPr>
                <w:rFonts w:ascii="Times New Roman" w:hAnsi="Times New Roman"/>
                <w:sz w:val="24"/>
                <w:szCs w:val="24"/>
              </w:rPr>
              <w:t xml:space="preserve">Conform normelor de tehnică legislativă.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widowControl/>
              <w:shd w:val="clear" w:color="auto" w:fill="FFFFFF"/>
              <w:jc w:val="both"/>
              <w:rPr>
                <w:rFonts w:ascii="Times New Roman" w:hAnsi="Times New Roman" w:eastAsia="Times New Roman"/>
                <w:sz w:val="24"/>
                <w:szCs w:val="24"/>
              </w:rPr>
            </w:pPr>
            <w:r>
              <w:rPr>
                <w:rFonts w:ascii="Times New Roman" w:hAnsi="Times New Roman" w:eastAsia="Times New Roman"/>
                <w:b/>
                <w:sz w:val="24"/>
                <w:szCs w:val="24"/>
              </w:rPr>
              <w:t xml:space="preserve">Art. 3 </w:t>
            </w:r>
            <w:bookmarkStart w:id="0" w:name="do|caI|ar3|pa1"/>
            <w:bookmarkEnd w:id="0"/>
            <w:r>
              <w:rPr>
                <w:rFonts w:ascii="Times New Roman" w:hAnsi="Times New Roman" w:eastAsia="Times New Roman"/>
                <w:b/>
                <w:sz w:val="24"/>
                <w:szCs w:val="24"/>
              </w:rPr>
              <w:t xml:space="preserve">- </w:t>
            </w:r>
            <w:r>
              <w:rPr>
                <w:rFonts w:ascii="Times New Roman" w:hAnsi="Times New Roman" w:eastAsia="Times New Roman"/>
                <w:sz w:val="24"/>
                <w:szCs w:val="24"/>
              </w:rPr>
              <w:t>În înţelesul prezentei legi, termenii folosiţi se definesc după cum urmează:</w:t>
            </w:r>
            <w:bookmarkStart w:id="1" w:name="do|caI|ar3|pt1"/>
            <w:bookmarkEnd w:id="1"/>
          </w:p>
        </w:tc>
        <w:tc>
          <w:tcPr>
            <w:tcW w:w="3009" w:type="dxa"/>
          </w:tcPr>
          <w:p>
            <w:pPr>
              <w:jc w:val="both"/>
              <w:rPr>
                <w:rFonts w:ascii="Times New Roman" w:hAnsi="Times New Roman"/>
                <w:b/>
                <w:sz w:val="24"/>
                <w:szCs w:val="24"/>
              </w:rPr>
            </w:pPr>
          </w:p>
        </w:tc>
        <w:tc>
          <w:tcPr>
            <w:tcW w:w="4992" w:type="dxa"/>
          </w:tcPr>
          <w:p>
            <w:pPr>
              <w:jc w:val="both"/>
              <w:rPr>
                <w:rFonts w:ascii="Times New Roman" w:hAnsi="Times New Roman"/>
                <w:b/>
                <w:bCs/>
                <w:iCs/>
                <w:sz w:val="24"/>
                <w:szCs w:val="24"/>
              </w:rPr>
            </w:pPr>
            <w:r>
              <w:rPr>
                <w:rFonts w:ascii="Times New Roman" w:hAnsi="Times New Roman"/>
                <w:b/>
                <w:bCs/>
                <w:iCs/>
                <w:sz w:val="24"/>
                <w:szCs w:val="24"/>
              </w:rPr>
              <w:t>1. La articolul 3, după punctul 1se introduce un nou punct, punctul 1</w:t>
            </w:r>
            <w:r>
              <w:rPr>
                <w:rFonts w:ascii="Times New Roman" w:hAnsi="Times New Roman"/>
                <w:b/>
                <w:bCs/>
                <w:iCs/>
                <w:sz w:val="24"/>
                <w:szCs w:val="24"/>
                <w:vertAlign w:val="superscript"/>
              </w:rPr>
              <w:t>1</w:t>
            </w:r>
            <w:r>
              <w:rPr>
                <w:rFonts w:ascii="Times New Roman" w:hAnsi="Times New Roman"/>
                <w:b/>
                <w:bCs/>
                <w:iCs/>
                <w:sz w:val="24"/>
                <w:szCs w:val="24"/>
              </w:rPr>
              <w:t xml:space="preserve">, cu următorul cuprins: </w:t>
            </w:r>
          </w:p>
          <w:p>
            <w:pPr>
              <w:jc w:val="both"/>
              <w:rPr>
                <w:rFonts w:ascii="Times New Roman" w:hAnsi="Times New Roman"/>
                <w:b/>
                <w:bCs/>
                <w:iCs/>
                <w:sz w:val="24"/>
                <w:szCs w:val="24"/>
              </w:rPr>
            </w:pPr>
            <w:r>
              <w:rPr>
                <w:rFonts w:ascii="Times New Roman" w:hAnsi="Times New Roman"/>
                <w:b/>
                <w:bCs/>
                <w:iCs/>
                <w:sz w:val="24"/>
                <w:szCs w:val="24"/>
              </w:rPr>
              <w:t>1</w:t>
            </w:r>
            <w:r>
              <w:rPr>
                <w:rFonts w:ascii="Times New Roman" w:hAnsi="Times New Roman"/>
                <w:b/>
                <w:bCs/>
                <w:iCs/>
                <w:sz w:val="24"/>
                <w:szCs w:val="24"/>
                <w:vertAlign w:val="superscript"/>
              </w:rPr>
              <w:t>1</w:t>
            </w:r>
            <w:r>
              <w:rPr>
                <w:rFonts w:ascii="Times New Roman" w:hAnsi="Times New Roman"/>
                <w:b/>
                <w:bCs/>
                <w:iCs/>
                <w:sz w:val="24"/>
                <w:szCs w:val="24"/>
              </w:rPr>
              <w:t xml:space="preserve">. </w:t>
            </w:r>
            <w:r>
              <w:rPr>
                <w:rFonts w:ascii="Times New Roman" w:hAnsi="Times New Roman"/>
                <w:b/>
                <w:bCs/>
                <w:i/>
                <w:sz w:val="24"/>
                <w:szCs w:val="24"/>
              </w:rPr>
              <w:t xml:space="preserve">active corespunzătoare activității miniere </w:t>
            </w:r>
            <w:r>
              <w:rPr>
                <w:rFonts w:ascii="Times New Roman" w:hAnsi="Times New Roman"/>
                <w:b/>
                <w:bCs/>
                <w:iCs/>
                <w:sz w:val="24"/>
                <w:szCs w:val="24"/>
              </w:rPr>
              <w:t xml:space="preserve">-bunuri mobile și/sau imobile destinate, prin natura lor, desfășurării unei activități miniere;” </w:t>
            </w:r>
          </w:p>
          <w:p>
            <w:pPr>
              <w:jc w:val="both"/>
              <w:rPr>
                <w:rFonts w:ascii="Times New Roman" w:hAnsi="Times New Roman"/>
                <w:i/>
                <w:sz w:val="24"/>
                <w:szCs w:val="24"/>
              </w:rPr>
            </w:pPr>
            <w:r>
              <w:rPr>
                <w:rFonts w:ascii="Times New Roman" w:hAnsi="Times New Roman"/>
                <w:i/>
                <w:sz w:val="24"/>
                <w:szCs w:val="24"/>
              </w:rPr>
              <w:t>Autori: Comisia pentru industrii și servicii</w:t>
            </w:r>
          </w:p>
          <w:p>
            <w:pPr>
              <w:jc w:val="both"/>
              <w:rPr>
                <w:rFonts w:ascii="Times New Roman" w:hAnsi="Times New Roman"/>
                <w:i/>
                <w:sz w:val="24"/>
                <w:szCs w:val="24"/>
              </w:rPr>
            </w:pPr>
            <w:r>
              <w:rPr>
                <w:rFonts w:ascii="Times New Roman" w:hAnsi="Times New Roman"/>
                <w:i/>
                <w:sz w:val="24"/>
                <w:szCs w:val="24"/>
              </w:rPr>
              <w:t xml:space="preserve">Comisia pentru mediu și echilibru ecologic </w:t>
            </w:r>
          </w:p>
        </w:tc>
        <w:tc>
          <w:tcPr>
            <w:tcW w:w="2040" w:type="dxa"/>
          </w:tcPr>
          <w:p>
            <w:pPr>
              <w:jc w:val="both"/>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jc w:val="both"/>
              <w:rPr>
                <w:rFonts w:ascii="Times New Roman" w:hAnsi="Times New Roman"/>
                <w:sz w:val="24"/>
                <w:szCs w:val="24"/>
              </w:rPr>
            </w:pPr>
          </w:p>
        </w:tc>
        <w:tc>
          <w:tcPr>
            <w:tcW w:w="3009" w:type="dxa"/>
          </w:tcPr>
          <w:p>
            <w:pPr>
              <w:jc w:val="both"/>
              <w:rPr>
                <w:rFonts w:ascii="Times New Roman" w:hAnsi="Times New Roman"/>
                <w:sz w:val="24"/>
                <w:szCs w:val="24"/>
              </w:rPr>
            </w:pPr>
          </w:p>
        </w:tc>
        <w:tc>
          <w:tcPr>
            <w:tcW w:w="4992" w:type="dxa"/>
          </w:tcPr>
          <w:p>
            <w:pPr>
              <w:jc w:val="both"/>
              <w:rPr>
                <w:rFonts w:ascii="Times New Roman" w:hAnsi="Times New Roman"/>
                <w:i/>
                <w:sz w:val="24"/>
                <w:szCs w:val="24"/>
              </w:rPr>
            </w:pPr>
            <w:r>
              <w:rPr>
                <w:rFonts w:ascii="Times New Roman" w:hAnsi="Times New Roman"/>
                <w:b/>
                <w:sz w:val="24"/>
                <w:szCs w:val="24"/>
              </w:rPr>
              <w:t>2. La articolul 3, după punctul 3 se introduce un nou punct, punctul 3</w:t>
            </w:r>
            <w:r>
              <w:rPr>
                <w:rFonts w:ascii="Times New Roman" w:hAnsi="Times New Roman"/>
                <w:b/>
                <w:sz w:val="24"/>
                <w:szCs w:val="24"/>
                <w:vertAlign w:val="superscript"/>
              </w:rPr>
              <w:t>1</w:t>
            </w:r>
            <w:r>
              <w:rPr>
                <w:rFonts w:ascii="Times New Roman" w:hAnsi="Times New Roman"/>
                <w:b/>
                <w:sz w:val="24"/>
                <w:szCs w:val="24"/>
              </w:rPr>
              <w:t>, cu următorul cuprins:</w:t>
            </w:r>
          </w:p>
          <w:p>
            <w:pPr>
              <w:jc w:val="both"/>
              <w:rPr>
                <w:rFonts w:ascii="Times New Roman" w:hAnsi="Times New Roman"/>
                <w:b/>
                <w:bCs/>
                <w:iCs/>
                <w:sz w:val="24"/>
                <w:szCs w:val="24"/>
              </w:rPr>
            </w:pPr>
            <w:r>
              <w:rPr>
                <w:rFonts w:ascii="Times New Roman" w:hAnsi="Times New Roman"/>
                <w:sz w:val="24"/>
                <w:szCs w:val="24"/>
              </w:rPr>
              <w:t>„</w:t>
            </w:r>
            <w:r>
              <w:rPr>
                <w:rFonts w:ascii="Times New Roman" w:hAnsi="Times New Roman"/>
                <w:b/>
                <w:i/>
                <w:sz w:val="24"/>
                <w:szCs w:val="24"/>
              </w:rPr>
              <w:t>3</w:t>
            </w:r>
            <w:r>
              <w:rPr>
                <w:rFonts w:ascii="Times New Roman" w:hAnsi="Times New Roman"/>
                <w:b/>
                <w:i/>
                <w:sz w:val="24"/>
                <w:szCs w:val="24"/>
                <w:vertAlign w:val="superscript"/>
              </w:rPr>
              <w:t>1</w:t>
            </w:r>
            <w:r>
              <w:rPr>
                <w:rFonts w:ascii="Times New Roman" w:hAnsi="Times New Roman"/>
                <w:b/>
                <w:i/>
                <w:sz w:val="24"/>
                <w:szCs w:val="24"/>
              </w:rPr>
              <w:t>.</w:t>
            </w:r>
            <w:r>
              <w:rPr>
                <w:rFonts w:ascii="Times New Roman" w:hAnsi="Times New Roman"/>
                <w:b/>
                <w:bCs/>
                <w:i/>
                <w:sz w:val="24"/>
                <w:szCs w:val="24"/>
              </w:rPr>
              <w:t xml:space="preserve">apă de zăcământ - </w:t>
            </w:r>
            <w:r>
              <w:rPr>
                <w:rFonts w:ascii="Times New Roman" w:hAnsi="Times New Roman"/>
                <w:b/>
                <w:bCs/>
                <w:iCs/>
                <w:sz w:val="24"/>
                <w:szCs w:val="24"/>
              </w:rPr>
              <w:t>apă care izvorăște în cuprinsul unor obiective miniere pentru care este aprobată închiderea prin hotărâre a Guvernului, care nu provine din activități industriale și care nu poate fi înmagazinată sau reinjectată, fiind evacuată în cursurile de apă, după ce este epurată în stațiile de tratare a apelor în scopul obținerii unor limite admise pentru receptorii naturali de suprafață în care vor fi deversați;</w:t>
            </w:r>
            <w:r>
              <w:rPr>
                <w:rFonts w:ascii="Times New Roman" w:hAnsi="Times New Roman"/>
                <w:b/>
                <w:bCs/>
                <w:i/>
                <w:sz w:val="24"/>
                <w:szCs w:val="24"/>
              </w:rPr>
              <w:t xml:space="preserve">” </w:t>
            </w:r>
          </w:p>
          <w:p>
            <w:pPr>
              <w:jc w:val="both"/>
              <w:rPr>
                <w:rFonts w:ascii="Times New Roman" w:hAnsi="Times New Roman"/>
                <w:i/>
                <w:sz w:val="24"/>
                <w:szCs w:val="24"/>
              </w:rPr>
            </w:pPr>
            <w:r>
              <w:rPr>
                <w:rFonts w:ascii="Times New Roman" w:hAnsi="Times New Roman"/>
                <w:i/>
                <w:sz w:val="24"/>
                <w:szCs w:val="24"/>
              </w:rPr>
              <w:t>Autori: Comisia pentru industrii și servicii</w:t>
            </w:r>
          </w:p>
          <w:p>
            <w:pPr>
              <w:jc w:val="both"/>
              <w:rPr>
                <w:rFonts w:ascii="Times New Roman" w:hAnsi="Times New Roman"/>
                <w:i/>
                <w:sz w:val="24"/>
                <w:szCs w:val="24"/>
              </w:rPr>
            </w:pPr>
            <w:r>
              <w:rPr>
                <w:rFonts w:ascii="Times New Roman" w:hAnsi="Times New Roman"/>
                <w:i/>
                <w:sz w:val="24"/>
                <w:szCs w:val="24"/>
              </w:rPr>
              <w:t xml:space="preserve">Comisia pentru mediu și echilibru ecologic </w:t>
            </w:r>
          </w:p>
          <w:p>
            <w:pPr>
              <w:jc w:val="both"/>
              <w:rPr>
                <w:rFonts w:ascii="Times New Roman" w:hAnsi="Times New Roman"/>
                <w:i/>
                <w:sz w:val="24"/>
                <w:szCs w:val="24"/>
              </w:rPr>
            </w:pPr>
          </w:p>
        </w:tc>
        <w:tc>
          <w:tcPr>
            <w:tcW w:w="2040" w:type="dxa"/>
          </w:tcPr>
          <w:p>
            <w:pPr>
              <w:jc w:val="both"/>
              <w:rPr>
                <w:rFonts w:ascii="Times New Roman" w:hAnsi="Times New Roman"/>
                <w:sz w:val="16"/>
                <w:szCs w:val="16"/>
              </w:rPr>
            </w:pPr>
            <w:r>
              <w:rPr>
                <w:rFonts w:ascii="Times New Roman" w:hAnsi="Times New Roman"/>
                <w:sz w:val="16"/>
                <w:szCs w:val="16"/>
              </w:rPr>
              <w:t xml:space="preserve">În acest moment, apele care izvorăsc din fostele guri de mină sunt considerate în Legea apelor nr. 107/1996 ca ape uzate cu toate că ele nu provin dintr-un proces industrial, minele fiind inchise. Administrația Națională Apele Române percepe pentru aceste ape taxe pentru evacuare în receptorii naturali precum și amenzi și penalități pentru neîncadrarea în normele de poluare NTPA 001/2002.   Considerăm că încadrarea apelor de zăcământ, convențional naturale, nu sunt ape uzate, ele nerezultând în urma unui proces industrial și ca atare, calitatea apelor după epurare trebuie să se raporteze la calitatea receptorului natural în care sunt evacuate.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jc w:val="both"/>
              <w:rPr>
                <w:rFonts w:ascii="Times New Roman" w:hAnsi="Times New Roman"/>
                <w:sz w:val="24"/>
                <w:szCs w:val="24"/>
              </w:rPr>
            </w:pPr>
          </w:p>
        </w:tc>
        <w:tc>
          <w:tcPr>
            <w:tcW w:w="3009" w:type="dxa"/>
          </w:tcPr>
          <w:p>
            <w:pPr>
              <w:jc w:val="both"/>
              <w:rPr>
                <w:rFonts w:ascii="Times New Roman" w:hAnsi="Times New Roman"/>
                <w:sz w:val="24"/>
                <w:szCs w:val="24"/>
              </w:rPr>
            </w:pPr>
          </w:p>
        </w:tc>
        <w:tc>
          <w:tcPr>
            <w:tcW w:w="4992" w:type="dxa"/>
          </w:tcPr>
          <w:p>
            <w:pPr>
              <w:jc w:val="both"/>
              <w:rPr>
                <w:rFonts w:ascii="Times New Roman" w:hAnsi="Times New Roman"/>
                <w:i/>
                <w:sz w:val="24"/>
                <w:szCs w:val="24"/>
              </w:rPr>
            </w:pPr>
            <w:r>
              <w:rPr>
                <w:rFonts w:ascii="Times New Roman" w:hAnsi="Times New Roman"/>
                <w:b/>
                <w:sz w:val="24"/>
                <w:szCs w:val="24"/>
              </w:rPr>
              <w:t>3. La articolul 3, după punctul 16 se introduce un nou punct, punctul 16</w:t>
            </w:r>
            <w:r>
              <w:rPr>
                <w:rFonts w:ascii="Times New Roman" w:hAnsi="Times New Roman"/>
                <w:b/>
                <w:sz w:val="24"/>
                <w:szCs w:val="24"/>
                <w:vertAlign w:val="superscript"/>
              </w:rPr>
              <w:t>1</w:t>
            </w:r>
            <w:r>
              <w:rPr>
                <w:rFonts w:ascii="Times New Roman" w:hAnsi="Times New Roman"/>
                <w:b/>
                <w:sz w:val="24"/>
                <w:szCs w:val="24"/>
              </w:rPr>
              <w:t>, cu următorul cuprins:</w:t>
            </w:r>
          </w:p>
          <w:p>
            <w:pPr>
              <w:jc w:val="both"/>
              <w:rPr>
                <w:rFonts w:ascii="Times New Roman" w:hAnsi="Times New Roman"/>
                <w:b/>
                <w:bCs/>
                <w:iCs/>
                <w:sz w:val="24"/>
                <w:szCs w:val="24"/>
              </w:rPr>
            </w:pPr>
            <w:r>
              <w:rPr>
                <w:rFonts w:ascii="Times New Roman" w:hAnsi="Times New Roman"/>
                <w:b/>
                <w:bCs/>
                <w:sz w:val="24"/>
                <w:szCs w:val="24"/>
              </w:rPr>
              <w:t>„</w:t>
            </w:r>
            <w:r>
              <w:rPr>
                <w:rFonts w:ascii="Times New Roman" w:hAnsi="Times New Roman"/>
                <w:b/>
                <w:bCs/>
                <w:i/>
                <w:sz w:val="24"/>
                <w:szCs w:val="24"/>
              </w:rPr>
              <w:t>16</w:t>
            </w:r>
            <w:r>
              <w:rPr>
                <w:rFonts w:ascii="Times New Roman" w:hAnsi="Times New Roman"/>
                <w:b/>
                <w:bCs/>
                <w:i/>
                <w:sz w:val="24"/>
                <w:szCs w:val="24"/>
                <w:vertAlign w:val="superscript"/>
              </w:rPr>
              <w:t>1</w:t>
            </w:r>
            <w:r>
              <w:rPr>
                <w:rFonts w:ascii="Times New Roman" w:hAnsi="Times New Roman"/>
                <w:b/>
                <w:bCs/>
                <w:i/>
                <w:sz w:val="24"/>
                <w:szCs w:val="24"/>
              </w:rPr>
              <w:t>. gol minier</w:t>
            </w:r>
            <w:r>
              <w:rPr>
                <w:rFonts w:ascii="Times New Roman" w:hAnsi="Times New Roman"/>
                <w:b/>
                <w:bCs/>
                <w:iCs/>
                <w:sz w:val="24"/>
                <w:szCs w:val="24"/>
              </w:rPr>
              <w:t xml:space="preserve"> – volumul rezultat în urma extracției resursei minerale, în subteran, care prezintă stabilitate structurală cu sau fără lucrări inginerești, care poate fi utilizat  în alte scopuri, după încetarea activității miniere;” </w:t>
            </w:r>
          </w:p>
          <w:p>
            <w:pPr>
              <w:jc w:val="both"/>
              <w:rPr>
                <w:rFonts w:ascii="Times New Roman" w:hAnsi="Times New Roman"/>
                <w:i/>
                <w:sz w:val="24"/>
                <w:szCs w:val="24"/>
              </w:rPr>
            </w:pPr>
            <w:r>
              <w:rPr>
                <w:rFonts w:ascii="Times New Roman" w:hAnsi="Times New Roman"/>
                <w:i/>
                <w:sz w:val="24"/>
                <w:szCs w:val="24"/>
              </w:rPr>
              <w:t>Autori: Comisia pentru industrii și servicii</w:t>
            </w:r>
          </w:p>
          <w:p>
            <w:pPr>
              <w:jc w:val="both"/>
              <w:rPr>
                <w:rFonts w:ascii="Times New Roman" w:hAnsi="Times New Roman"/>
                <w:i/>
                <w:sz w:val="24"/>
                <w:szCs w:val="24"/>
              </w:rPr>
            </w:pPr>
            <w:r>
              <w:rPr>
                <w:rFonts w:ascii="Times New Roman" w:hAnsi="Times New Roman"/>
                <w:i/>
                <w:sz w:val="24"/>
                <w:szCs w:val="24"/>
              </w:rPr>
              <w:t xml:space="preserve">Comisia pentru mediu și echilibru ecologic </w:t>
            </w:r>
          </w:p>
        </w:tc>
        <w:tc>
          <w:tcPr>
            <w:tcW w:w="2040" w:type="dxa"/>
          </w:tcPr>
          <w:p>
            <w:pPr>
              <w:jc w:val="both"/>
              <w:rPr>
                <w:rFonts w:ascii="Times New Roman" w:hAnsi="Times New Roman"/>
                <w:sz w:val="16"/>
                <w:szCs w:val="16"/>
              </w:rPr>
            </w:pPr>
            <w:r>
              <w:rPr>
                <w:rFonts w:ascii="Times New Roman" w:hAnsi="Times New Roman"/>
                <w:sz w:val="16"/>
                <w:szCs w:val="16"/>
              </w:rPr>
              <w:t xml:space="preserve">În actuala formă a Legii minelor nr.85/2003 nu este reglementat golul minier, fapt care creează dificultăți în amenajarea și exploatarea din punct de vedere turistic și medical a salinelor cu activitate de exploatare sistată și care prezintă un interes major local și național.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widowControl/>
              <w:shd w:val="clear" w:color="auto" w:fill="FFFFFF"/>
              <w:jc w:val="both"/>
              <w:rPr>
                <w:rFonts w:ascii="Times New Roman" w:hAnsi="Times New Roman"/>
                <w:sz w:val="24"/>
                <w:szCs w:val="24"/>
                <w:shd w:val="clear" w:color="auto" w:fill="FFFFFF"/>
              </w:rPr>
            </w:pPr>
          </w:p>
        </w:tc>
        <w:tc>
          <w:tcPr>
            <w:tcW w:w="3009" w:type="dxa"/>
          </w:tcPr>
          <w:p>
            <w:pPr>
              <w:spacing w:line="360" w:lineRule="auto"/>
              <w:jc w:val="both"/>
              <w:rPr>
                <w:rFonts w:ascii="Times New Roman" w:hAnsi="Times New Roman"/>
                <w:b/>
                <w:sz w:val="24"/>
                <w:szCs w:val="24"/>
              </w:rPr>
            </w:pPr>
          </w:p>
        </w:tc>
        <w:tc>
          <w:tcPr>
            <w:tcW w:w="4992" w:type="dxa"/>
          </w:tcPr>
          <w:p>
            <w:pPr>
              <w:widowControl/>
              <w:jc w:val="both"/>
              <w:rPr>
                <w:rFonts w:ascii="Times New Roman" w:hAnsi="Times New Roman" w:eastAsia="Times New Roman"/>
                <w:b/>
                <w:sz w:val="24"/>
                <w:szCs w:val="24"/>
              </w:rPr>
            </w:pPr>
            <w:r>
              <w:rPr>
                <w:rFonts w:ascii="Times New Roman" w:hAnsi="Times New Roman" w:eastAsia="Times New Roman"/>
                <w:b/>
                <w:sz w:val="24"/>
                <w:szCs w:val="24"/>
              </w:rPr>
              <w:t>4. La articolul 3, după punctul 17, se introduce un nou punct, punctul 17</w:t>
            </w:r>
            <w:r>
              <w:rPr>
                <w:rFonts w:ascii="Times New Roman" w:hAnsi="Times New Roman" w:eastAsia="Times New Roman"/>
                <w:b/>
                <w:sz w:val="24"/>
                <w:szCs w:val="24"/>
                <w:vertAlign w:val="superscript"/>
              </w:rPr>
              <w:t>1</w:t>
            </w:r>
            <w:r>
              <w:rPr>
                <w:rFonts w:ascii="Times New Roman" w:hAnsi="Times New Roman" w:eastAsia="Times New Roman"/>
                <w:b/>
                <w:sz w:val="24"/>
                <w:szCs w:val="24"/>
              </w:rPr>
              <w:t xml:space="preserve">, cu următorul cuprins: </w:t>
            </w:r>
          </w:p>
          <w:p>
            <w:pPr>
              <w:widowControl/>
              <w:jc w:val="both"/>
              <w:rPr>
                <w:rFonts w:ascii="Times New Roman" w:hAnsi="Times New Roman" w:eastAsia="Times New Roman"/>
                <w:b/>
                <w:bCs/>
                <w:sz w:val="24"/>
                <w:szCs w:val="24"/>
              </w:rPr>
            </w:pPr>
            <w:r>
              <w:rPr>
                <w:rFonts w:ascii="Times New Roman" w:hAnsi="Times New Roman" w:eastAsia="Times New Roman"/>
                <w:b/>
                <w:bCs/>
                <w:sz w:val="24"/>
                <w:szCs w:val="24"/>
              </w:rPr>
              <w:t>„17</w:t>
            </w:r>
            <w:r>
              <w:rPr>
                <w:rFonts w:ascii="Times New Roman" w:hAnsi="Times New Roman" w:eastAsia="Times New Roman"/>
                <w:b/>
                <w:bCs/>
                <w:sz w:val="24"/>
                <w:szCs w:val="24"/>
                <w:vertAlign w:val="superscript"/>
              </w:rPr>
              <w:t>1</w:t>
            </w:r>
            <w:r>
              <w:rPr>
                <w:rFonts w:ascii="Times New Roman" w:hAnsi="Times New Roman" w:eastAsia="Times New Roman"/>
                <w:b/>
                <w:bCs/>
                <w:sz w:val="24"/>
                <w:szCs w:val="24"/>
              </w:rPr>
              <w:t xml:space="preserve">. </w:t>
            </w:r>
            <w:r>
              <w:rPr>
                <w:rFonts w:ascii="Times New Roman" w:hAnsi="Times New Roman" w:eastAsia="Times New Roman"/>
                <w:b/>
                <w:bCs/>
                <w:i/>
                <w:iCs/>
                <w:sz w:val="24"/>
                <w:szCs w:val="24"/>
              </w:rPr>
              <w:t>licență în curs de aprobare în vederea intrării în vigoare</w:t>
            </w:r>
            <w:r>
              <w:rPr>
                <w:rFonts w:ascii="Times New Roman" w:hAnsi="Times New Roman" w:eastAsia="Times New Roman"/>
                <w:b/>
                <w:bCs/>
                <w:sz w:val="24"/>
                <w:szCs w:val="24"/>
              </w:rPr>
              <w:t xml:space="preserve"> – licența încheiată conform legii pentru care autoritatea competentă a inițiat procedurile legale privind aprobarea intrării în vigoare, după cum urmează: </w:t>
            </w:r>
          </w:p>
          <w:p>
            <w:pPr>
              <w:widowControl/>
              <w:jc w:val="both"/>
              <w:rPr>
                <w:rFonts w:ascii="Times New Roman" w:hAnsi="Times New Roman" w:eastAsia="Times New Roman"/>
                <w:b/>
                <w:bCs/>
                <w:sz w:val="24"/>
                <w:szCs w:val="24"/>
              </w:rPr>
            </w:pPr>
            <w:r>
              <w:rPr>
                <w:rFonts w:ascii="Times New Roman" w:hAnsi="Times New Roman" w:eastAsia="Times New Roman"/>
                <w:b/>
                <w:bCs/>
                <w:sz w:val="24"/>
                <w:szCs w:val="24"/>
              </w:rPr>
              <w:t>a) pentru perioada 1999 – 2019:</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(i) </w:t>
            </w:r>
            <w:r>
              <w:rPr>
                <w:rFonts w:ascii="Times New Roman" w:hAnsi="Times New Roman" w:eastAsia="Times New Roman"/>
                <w:b/>
                <w:bCs/>
                <w:sz w:val="24"/>
                <w:szCs w:val="24"/>
                <w:lang w:val="en-GB"/>
              </w:rPr>
              <w:t>prin</w:t>
            </w:r>
            <w:r>
              <w:rPr>
                <w:rFonts w:ascii="Times New Roman" w:hAnsi="Times New Roman" w:eastAsia="Times New Roman"/>
                <w:b/>
                <w:bCs/>
                <w:sz w:val="24"/>
                <w:szCs w:val="24"/>
              </w:rPr>
              <w:t xml:space="preserve"> emiterea ordinului președintelui autorității competente de aprobare a licenței, în cazurile prevăzute la art. 21 alin. (1</w:t>
            </w:r>
            <w:r>
              <w:rPr>
                <w:rFonts w:ascii="Times New Roman" w:hAnsi="Times New Roman" w:eastAsia="Times New Roman"/>
                <w:b/>
                <w:bCs/>
                <w:sz w:val="24"/>
                <w:szCs w:val="24"/>
                <w:vertAlign w:val="superscript"/>
              </w:rPr>
              <w:t>1</w:t>
            </w:r>
            <w:r>
              <w:rPr>
                <w:rFonts w:ascii="Times New Roman" w:hAnsi="Times New Roman" w:eastAsia="Times New Roman"/>
                <w:b/>
                <w:bCs/>
                <w:sz w:val="24"/>
                <w:szCs w:val="24"/>
              </w:rPr>
              <w:t>) și art. 21 alin. (1</w:t>
            </w:r>
            <w:r>
              <w:rPr>
                <w:rFonts w:ascii="Times New Roman" w:hAnsi="Times New Roman" w:eastAsia="Times New Roman"/>
                <w:b/>
                <w:bCs/>
                <w:sz w:val="24"/>
                <w:szCs w:val="24"/>
                <w:vertAlign w:val="superscript"/>
              </w:rPr>
              <w:t>2</w:t>
            </w:r>
            <w:r>
              <w:rPr>
                <w:rFonts w:ascii="Times New Roman" w:hAnsi="Times New Roman" w:eastAsia="Times New Roman"/>
                <w:b/>
                <w:bCs/>
                <w:sz w:val="24"/>
                <w:szCs w:val="24"/>
              </w:rPr>
              <w:t>) lit. a); această prevedere rămâne în vigoare până la 31 decembrie 2023;</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(ii) este inițiată, conform legii, de către autoritatea competentă procedura la nivelul Guvernului, pentru elaborarea, avizarea şi prezentarea proiectelor de documente de politici publice, a proiectelor de acte normative, precum şi a altor documente, în vederea adoptării/aprobării, în cazurile prevăzute la art. 21 alin. (1</w:t>
            </w:r>
            <w:r>
              <w:rPr>
                <w:rFonts w:ascii="Times New Roman" w:hAnsi="Times New Roman" w:eastAsia="Times New Roman"/>
                <w:b/>
                <w:bCs/>
                <w:sz w:val="24"/>
                <w:szCs w:val="24"/>
                <w:vertAlign w:val="superscript"/>
              </w:rPr>
              <w:t>2</w:t>
            </w:r>
            <w:r>
              <w:rPr>
                <w:rFonts w:ascii="Times New Roman" w:hAnsi="Times New Roman" w:eastAsia="Times New Roman"/>
                <w:b/>
                <w:bCs/>
                <w:sz w:val="24"/>
                <w:szCs w:val="24"/>
              </w:rPr>
              <w:t>) lit. b);</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b) licențele negociate și aprobate de ANRM începând cu anul 2020 urmează procedura de aprobare conform prevederilor prezentei legi.”</w:t>
            </w:r>
          </w:p>
          <w:p>
            <w:pPr>
              <w:widowControl/>
              <w:snapToGrid w:val="0"/>
              <w:ind w:left="-5" w:hanging="10"/>
              <w:jc w:val="both"/>
              <w:rPr>
                <w:rFonts w:ascii="Times New Roman" w:hAnsi="Times New Roman" w:eastAsia="Times New Roman"/>
                <w:i/>
                <w:sz w:val="24"/>
                <w:szCs w:val="24"/>
              </w:rPr>
            </w:pPr>
            <w:r>
              <w:rPr>
                <w:rFonts w:ascii="Times New Roman" w:hAnsi="Times New Roman" w:eastAsia="Times New Roman"/>
                <w:i/>
                <w:sz w:val="24"/>
                <w:szCs w:val="24"/>
              </w:rPr>
              <w:t>Autor: Comisia pentru industrii și servicii</w:t>
            </w:r>
          </w:p>
          <w:p>
            <w:pPr>
              <w:widowControl/>
              <w:snapToGrid w:val="0"/>
              <w:ind w:left="-5" w:hanging="10"/>
              <w:jc w:val="both"/>
              <w:rPr>
                <w:rFonts w:ascii="Times New Roman" w:hAnsi="Times New Roman" w:eastAsia="Times New Roman"/>
                <w:i/>
                <w:sz w:val="24"/>
                <w:szCs w:val="24"/>
              </w:rPr>
            </w:pPr>
            <w:r>
              <w:rPr>
                <w:rFonts w:ascii="Times New Roman" w:hAnsi="Times New Roman"/>
                <w:i/>
                <w:sz w:val="24"/>
                <w:szCs w:val="24"/>
              </w:rPr>
              <w:t xml:space="preserve">Comisia pentru mediu și echilibru ecologic </w:t>
            </w:r>
          </w:p>
        </w:tc>
        <w:tc>
          <w:tcPr>
            <w:tcW w:w="2040" w:type="dxa"/>
          </w:tcPr>
          <w:p>
            <w:pPr>
              <w:jc w:val="both"/>
              <w:rPr>
                <w:rFonts w:ascii="Times New Roman" w:hAnsi="Times New Roman"/>
                <w:sz w:val="16"/>
                <w:szCs w:val="16"/>
              </w:rPr>
            </w:pPr>
            <w:r>
              <w:rPr>
                <w:rFonts w:ascii="Times New Roman" w:hAnsi="Times New Roman"/>
                <w:sz w:val="16"/>
                <w:szCs w:val="16"/>
              </w:rPr>
              <w:t xml:space="preserve">Identificarea de noi soluții legislative aplicabile intrării în vigoare a licențelor de concesiune/dare în administrare pentru exploatare și emiterii permiselor de exploatare este impusă de situația actuală, respectiv existența unui număr mare de licențe de concesiune pentru exploatare încheiate în perioada 1999-2018 și neintrate în vigoare, precum și dificultățile majore întâmpinate în emiterea permiselor de exploatare a resurselor minerale din albiile minore ale râurilor și cuvetele lacurilor. </w:t>
            </w:r>
          </w:p>
          <w:p>
            <w:pPr>
              <w:jc w:val="both"/>
              <w:rPr>
                <w:rFonts w:ascii="Times New Roman" w:hAnsi="Times New Roman"/>
                <w:sz w:val="16"/>
                <w:szCs w:val="16"/>
              </w:rPr>
            </w:pPr>
            <w:r>
              <w:rPr>
                <w:rFonts w:ascii="Times New Roman" w:hAnsi="Times New Roman"/>
                <w:sz w:val="16"/>
                <w:szCs w:val="16"/>
              </w:rPr>
              <w:t xml:space="preserve">Cu privire specială la acest din urmă aspect subliniem faptul că dificultățile întâmpinate sunt datorate, în principal, necorelării legislației din domeniul resurselor minerale cu legislația din domeniul gospodăririi apelor.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widowControl/>
              <w:shd w:val="clear" w:color="auto" w:fill="FFFFFF"/>
              <w:spacing w:line="360" w:lineRule="auto"/>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 xml:space="preserve">Art. 3 (...) </w:t>
            </w:r>
          </w:p>
          <w:p>
            <w:pPr>
              <w:widowControl/>
              <w:numPr>
                <w:ilvl w:val="0"/>
                <w:numId w:val="2"/>
              </w:numPr>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redevența minieră - </w:t>
            </w:r>
            <w:r>
              <w:rPr>
                <w:rFonts w:ascii="Times New Roman" w:hAnsi="Times New Roman"/>
                <w:bCs/>
                <w:sz w:val="24"/>
                <w:szCs w:val="24"/>
                <w:shd w:val="clear" w:color="auto" w:fill="FFFFFF"/>
              </w:rPr>
              <w:t xml:space="preserve">suma datorată </w:t>
            </w:r>
            <w:r>
              <w:rPr>
                <w:rFonts w:ascii="Times New Roman" w:hAnsi="Times New Roman"/>
                <w:b/>
                <w:bCs/>
                <w:sz w:val="24"/>
                <w:szCs w:val="24"/>
                <w:shd w:val="clear" w:color="auto" w:fill="FFFFFF"/>
              </w:rPr>
              <w:t>bugetului de stat de către titular</w:t>
            </w:r>
            <w:r>
              <w:rPr>
                <w:rFonts w:ascii="Times New Roman" w:hAnsi="Times New Roman"/>
                <w:sz w:val="24"/>
                <w:szCs w:val="24"/>
                <w:shd w:val="clear" w:color="auto" w:fill="FFFFFF"/>
              </w:rPr>
              <w:t xml:space="preserve"> pentru concesionarea/administrarea activităților de exploatare a resurselor minerale, bunuri ale domeniului public al statului;</w:t>
            </w:r>
          </w:p>
          <w:p>
            <w:pPr>
              <w:widowControl/>
              <w:spacing w:line="360" w:lineRule="auto"/>
              <w:jc w:val="both"/>
              <w:rPr>
                <w:rFonts w:ascii="Times New Roman" w:hAnsi="Times New Roman"/>
                <w:b/>
                <w:bCs/>
                <w:sz w:val="24"/>
                <w:szCs w:val="24"/>
                <w:shd w:val="clear" w:color="auto" w:fill="FFFFFF"/>
              </w:rPr>
            </w:pPr>
          </w:p>
        </w:tc>
        <w:tc>
          <w:tcPr>
            <w:tcW w:w="3009" w:type="dxa"/>
          </w:tcPr>
          <w:p>
            <w:pPr>
              <w:spacing w:line="360" w:lineRule="auto"/>
              <w:jc w:val="both"/>
              <w:rPr>
                <w:rFonts w:ascii="Times New Roman" w:hAnsi="Times New Roman"/>
                <w:b/>
                <w:sz w:val="24"/>
                <w:szCs w:val="24"/>
              </w:rPr>
            </w:pPr>
          </w:p>
        </w:tc>
        <w:tc>
          <w:tcPr>
            <w:tcW w:w="4992" w:type="dxa"/>
          </w:tcPr>
          <w:p>
            <w:pPr>
              <w:widowControl/>
              <w:jc w:val="both"/>
              <w:rPr>
                <w:rFonts w:ascii="Times New Roman" w:hAnsi="Times New Roman" w:eastAsia="Times New Roman"/>
                <w:b/>
                <w:sz w:val="24"/>
                <w:szCs w:val="24"/>
              </w:rPr>
            </w:pPr>
            <w:r>
              <w:rPr>
                <w:rFonts w:ascii="Times New Roman" w:hAnsi="Times New Roman" w:eastAsia="Times New Roman"/>
                <w:b/>
                <w:sz w:val="24"/>
                <w:szCs w:val="24"/>
              </w:rPr>
              <w:t xml:space="preserve">5. La articolul 3,  punctul 31 se modifică și va avea următorul cuprins: </w:t>
            </w:r>
          </w:p>
          <w:p>
            <w:pPr>
              <w:widowControl/>
              <w:jc w:val="both"/>
              <w:rPr>
                <w:rFonts w:ascii="Times New Roman" w:hAnsi="Times New Roman" w:eastAsia="Times New Roman"/>
                <w:sz w:val="24"/>
                <w:szCs w:val="24"/>
              </w:rPr>
            </w:pPr>
            <w:r>
              <w:rPr>
                <w:rFonts w:ascii="Times New Roman" w:hAnsi="Times New Roman" w:eastAsia="Times New Roman"/>
                <w:b/>
                <w:bCs/>
                <w:sz w:val="24"/>
                <w:szCs w:val="24"/>
              </w:rPr>
              <w:t xml:space="preserve">„31. </w:t>
            </w:r>
            <w:r>
              <w:rPr>
                <w:rFonts w:ascii="Times New Roman" w:hAnsi="Times New Roman" w:eastAsia="Times New Roman"/>
                <w:i/>
                <w:iCs/>
                <w:sz w:val="24"/>
                <w:szCs w:val="24"/>
              </w:rPr>
              <w:t>redevență minieră</w:t>
            </w:r>
            <w:r>
              <w:rPr>
                <w:rFonts w:ascii="Times New Roman" w:hAnsi="Times New Roman" w:eastAsia="Times New Roman"/>
                <w:b/>
                <w:bCs/>
                <w:sz w:val="24"/>
                <w:szCs w:val="24"/>
              </w:rPr>
              <w:t xml:space="preserve"> - </w:t>
            </w:r>
            <w:r>
              <w:rPr>
                <w:rFonts w:ascii="Times New Roman" w:hAnsi="Times New Roman" w:eastAsia="Times New Roman"/>
                <w:bCs/>
                <w:sz w:val="24"/>
                <w:szCs w:val="24"/>
              </w:rPr>
              <w:t>suma datorată</w:t>
            </w:r>
            <w:r>
              <w:rPr>
                <w:rFonts w:ascii="Times New Roman" w:hAnsi="Times New Roman" w:eastAsia="Times New Roman"/>
                <w:b/>
                <w:bCs/>
                <w:sz w:val="24"/>
                <w:szCs w:val="24"/>
              </w:rPr>
              <w:t xml:space="preserve"> conform legii de către titular </w:t>
            </w:r>
            <w:r>
              <w:rPr>
                <w:rFonts w:ascii="Times New Roman" w:hAnsi="Times New Roman" w:eastAsia="Times New Roman"/>
                <w:sz w:val="24"/>
                <w:szCs w:val="24"/>
              </w:rPr>
              <w:t xml:space="preserve">pentru concesionarea/administrarea activităților de exploatare a resurselor minerale, bunuri ale domeniului public al statului;” </w:t>
            </w:r>
          </w:p>
          <w:p>
            <w:pPr>
              <w:widowControl/>
              <w:snapToGrid w:val="0"/>
              <w:ind w:left="-5" w:hanging="10"/>
              <w:jc w:val="both"/>
              <w:rPr>
                <w:rFonts w:ascii="Times New Roman" w:hAnsi="Times New Roman"/>
                <w:i/>
                <w:sz w:val="24"/>
                <w:szCs w:val="24"/>
              </w:rPr>
            </w:pPr>
            <w:r>
              <w:rPr>
                <w:rFonts w:ascii="Times New Roman" w:hAnsi="Times New Roman"/>
                <w:i/>
                <w:sz w:val="24"/>
                <w:szCs w:val="24"/>
              </w:rPr>
              <w:t>Autori: Comisia pentru industrii și servicii,</w:t>
            </w:r>
          </w:p>
          <w:p>
            <w:pPr>
              <w:widowControl/>
              <w:snapToGrid w:val="0"/>
              <w:ind w:left="-5" w:hanging="10"/>
              <w:jc w:val="both"/>
              <w:rPr>
                <w:rFonts w:ascii="Times New Roman" w:hAnsi="Times New Roman" w:eastAsia="Times New Roman"/>
                <w:i/>
                <w:sz w:val="24"/>
                <w:szCs w:val="24"/>
              </w:rPr>
            </w:pPr>
            <w:r>
              <w:rPr>
                <w:rFonts w:ascii="Times New Roman" w:hAnsi="Times New Roman"/>
                <w:i/>
                <w:sz w:val="24"/>
                <w:szCs w:val="24"/>
              </w:rPr>
              <w:t xml:space="preserve">Comisia pentru mediu și echilibru ecologic </w:t>
            </w:r>
          </w:p>
        </w:tc>
        <w:tc>
          <w:tcPr>
            <w:tcW w:w="2040" w:type="dxa"/>
          </w:tcPr>
          <w:p>
            <w:pPr>
              <w:snapToGrid w:val="0"/>
              <w:jc w:val="both"/>
              <w:rPr>
                <w:rFonts w:ascii="Times New Roman" w:hAnsi="Times New Roman"/>
                <w:sz w:val="16"/>
                <w:szCs w:val="16"/>
              </w:rPr>
            </w:pPr>
            <w:r>
              <w:rPr>
                <w:rFonts w:ascii="Times New Roman" w:hAnsi="Times New Roman"/>
                <w:sz w:val="16"/>
                <w:szCs w:val="16"/>
              </w:rPr>
              <w:t xml:space="preserve">Se are în vedere necesitatea corelării legislației speciale, Legea minelor nr.85/2003, cu legea cadru instituită de Ordonanța de urgență nr. 57/2019 privind Codul administrativ, în ceea ce privește regimul juridic aplicabil redevențelor obținute prin concesionare, din activităţi de exploatare a resurselor la suprafață.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jc w:val="both"/>
              <w:rPr>
                <w:rFonts w:ascii="Times New Roman" w:hAnsi="Times New Roman"/>
                <w:sz w:val="24"/>
                <w:szCs w:val="24"/>
              </w:rPr>
            </w:pPr>
          </w:p>
        </w:tc>
        <w:tc>
          <w:tcPr>
            <w:tcW w:w="3009" w:type="dxa"/>
          </w:tcPr>
          <w:p>
            <w:pPr>
              <w:jc w:val="both"/>
              <w:rPr>
                <w:rFonts w:ascii="Times New Roman" w:hAnsi="Times New Roman"/>
                <w:sz w:val="24"/>
                <w:szCs w:val="24"/>
              </w:rPr>
            </w:pPr>
          </w:p>
        </w:tc>
        <w:tc>
          <w:tcPr>
            <w:tcW w:w="4992" w:type="dxa"/>
          </w:tcPr>
          <w:p>
            <w:pPr>
              <w:jc w:val="both"/>
              <w:rPr>
                <w:rFonts w:ascii="Times New Roman" w:hAnsi="Times New Roman"/>
                <w:b/>
                <w:sz w:val="24"/>
                <w:szCs w:val="24"/>
              </w:rPr>
            </w:pPr>
            <w:r>
              <w:rPr>
                <w:rFonts w:ascii="Times New Roman" w:hAnsi="Times New Roman"/>
                <w:b/>
                <w:sz w:val="24"/>
                <w:szCs w:val="24"/>
              </w:rPr>
              <w:t>6. După articolul 4 se introduce un nou articol, articolul 4</w:t>
            </w:r>
            <w:r>
              <w:rPr>
                <w:rFonts w:ascii="Times New Roman" w:hAnsi="Times New Roman"/>
                <w:b/>
                <w:sz w:val="24"/>
                <w:szCs w:val="24"/>
                <w:vertAlign w:val="superscript"/>
              </w:rPr>
              <w:t>1</w:t>
            </w:r>
            <w:r>
              <w:rPr>
                <w:rFonts w:ascii="Times New Roman" w:hAnsi="Times New Roman"/>
                <w:b/>
                <w:sz w:val="24"/>
                <w:szCs w:val="24"/>
              </w:rPr>
              <w:t>, cu următorul cuprins:</w:t>
            </w:r>
          </w:p>
          <w:p>
            <w:pPr>
              <w:jc w:val="both"/>
              <w:rPr>
                <w:rFonts w:ascii="Times New Roman" w:hAnsi="Times New Roman"/>
                <w:b/>
                <w:sz w:val="24"/>
                <w:szCs w:val="24"/>
              </w:rPr>
            </w:pPr>
            <w:r>
              <w:rPr>
                <w:rFonts w:ascii="Times New Roman" w:hAnsi="Times New Roman"/>
                <w:b/>
                <w:sz w:val="24"/>
                <w:szCs w:val="24"/>
              </w:rPr>
              <w:t>„Art. 4</w:t>
            </w:r>
            <w:r>
              <w:rPr>
                <w:rFonts w:ascii="Times New Roman" w:hAnsi="Times New Roman"/>
                <w:b/>
                <w:sz w:val="24"/>
                <w:szCs w:val="24"/>
                <w:vertAlign w:val="superscript"/>
              </w:rPr>
              <w:t>1</w:t>
            </w:r>
            <w:r>
              <w:rPr>
                <w:rFonts w:ascii="Times New Roman" w:hAnsi="Times New Roman"/>
                <w:b/>
                <w:sz w:val="24"/>
                <w:szCs w:val="24"/>
              </w:rPr>
              <w:t>. – Persoanele juridice atestate pot desfășura activități miniere de exploatare a resurselor minerale din haldele și iazurile de decantare.”</w:t>
            </w:r>
          </w:p>
          <w:p>
            <w:pPr>
              <w:jc w:val="both"/>
              <w:rPr>
                <w:rFonts w:ascii="Times New Roman" w:hAnsi="Times New Roman"/>
                <w:i/>
                <w:sz w:val="24"/>
                <w:szCs w:val="24"/>
              </w:rPr>
            </w:pPr>
            <w:r>
              <w:rPr>
                <w:rFonts w:ascii="Times New Roman" w:hAnsi="Times New Roman"/>
                <w:i/>
                <w:sz w:val="24"/>
                <w:szCs w:val="24"/>
              </w:rPr>
              <w:t>Autori: Comisia pentru mediu și echilibru ecologic, Comisia pentru industrii și servicii</w:t>
            </w:r>
          </w:p>
        </w:tc>
        <w:tc>
          <w:tcPr>
            <w:tcW w:w="2040" w:type="dxa"/>
          </w:tcPr>
          <w:p>
            <w:pPr>
              <w:jc w:val="both"/>
              <w:rPr>
                <w:rFonts w:ascii="Times New Roman" w:hAnsi="Times New Roman"/>
                <w:sz w:val="24"/>
                <w:szCs w:val="24"/>
              </w:rPr>
            </w:pPr>
            <w:r>
              <w:rPr>
                <w:rFonts w:ascii="Times New Roman" w:hAnsi="Times New Roman"/>
                <w:sz w:val="24"/>
                <w:szCs w:val="24"/>
              </w:rPr>
              <w:t>Ambele propuneri nou introduse au în vedere valorificarea resurselor minerale.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widowControl/>
              <w:shd w:val="clear" w:color="auto" w:fill="FFFFFF"/>
              <w:jc w:val="both"/>
              <w:rPr>
                <w:rFonts w:ascii="Times New Roman" w:hAnsi="Times New Roman"/>
                <w:bCs/>
                <w:sz w:val="24"/>
                <w:szCs w:val="24"/>
                <w:shd w:val="clear" w:color="auto" w:fill="FFFFFF"/>
              </w:rPr>
            </w:pPr>
          </w:p>
          <w:p>
            <w:pPr>
              <w:widowControl/>
              <w:shd w:val="clear" w:color="auto" w:fill="FFFFFF"/>
              <w:jc w:val="both"/>
              <w:rPr>
                <w:rFonts w:ascii="Times New Roman" w:hAnsi="Times New Roman"/>
                <w:bCs/>
                <w:sz w:val="24"/>
                <w:szCs w:val="24"/>
                <w:shd w:val="clear" w:color="auto" w:fill="FFFFFF"/>
              </w:rPr>
            </w:pPr>
          </w:p>
          <w:p>
            <w:pPr>
              <w:widowControl/>
              <w:shd w:val="clear" w:color="auto" w:fill="FFFFFF"/>
              <w:jc w:val="both"/>
              <w:rPr>
                <w:rFonts w:ascii="Times New Roman" w:hAnsi="Times New Roman"/>
                <w:b/>
                <w:bCs/>
                <w:sz w:val="24"/>
                <w:szCs w:val="24"/>
                <w:shd w:val="clear" w:color="auto" w:fill="FFFFFF"/>
              </w:rPr>
            </w:pPr>
            <w:r>
              <w:rPr>
                <w:rFonts w:ascii="Times New Roman" w:hAnsi="Times New Roman"/>
                <w:bCs/>
                <w:sz w:val="24"/>
                <w:szCs w:val="24"/>
                <w:shd w:val="clear" w:color="auto" w:fill="FFFFFF"/>
              </w:rPr>
              <w:t>Art. 21 - (1) Licenţa se încheie în formă scrisă.</w:t>
            </w:r>
            <w:r>
              <w:rPr>
                <w:rFonts w:ascii="Times New Roman" w:hAnsi="Times New Roman"/>
                <w:b/>
                <w:sz w:val="24"/>
                <w:szCs w:val="24"/>
                <w:shd w:val="clear" w:color="auto" w:fill="FFFFFF"/>
              </w:rPr>
              <w:t xml:space="preserve"> Pentru explorare licenţa intră în vigoare la data publicării ordinului preşedintelui autorităţii competente de aprobare a acesteia în Monitorul Oficial al României, Partea I; pentru exploatare licenţa intră în vigoare la data publicării în Monitorul Oficial al României, Partea I, a hotărârii Guvernului de aprobare a acesteia.</w:t>
            </w:r>
          </w:p>
        </w:tc>
        <w:tc>
          <w:tcPr>
            <w:tcW w:w="3009" w:type="dxa"/>
          </w:tcPr>
          <w:p>
            <w:pPr>
              <w:spacing w:line="360" w:lineRule="auto"/>
              <w:jc w:val="both"/>
              <w:rPr>
                <w:rFonts w:ascii="Times New Roman" w:hAnsi="Times New Roman"/>
                <w:b/>
                <w:sz w:val="24"/>
                <w:szCs w:val="24"/>
              </w:rPr>
            </w:pPr>
          </w:p>
        </w:tc>
        <w:tc>
          <w:tcPr>
            <w:tcW w:w="4992" w:type="dxa"/>
          </w:tcPr>
          <w:p>
            <w:pPr>
              <w:widowControl/>
              <w:jc w:val="both"/>
              <w:rPr>
                <w:rFonts w:ascii="Times New Roman" w:hAnsi="Times New Roman" w:eastAsia="Times New Roman"/>
                <w:b/>
                <w:sz w:val="24"/>
                <w:szCs w:val="24"/>
              </w:rPr>
            </w:pPr>
            <w:r>
              <w:rPr>
                <w:rFonts w:ascii="Times New Roman" w:hAnsi="Times New Roman" w:eastAsia="Times New Roman"/>
                <w:b/>
                <w:sz w:val="24"/>
                <w:szCs w:val="24"/>
              </w:rPr>
              <w:t xml:space="preserve">7. La articolul 21, alineatul (1) se modifică și va avea următorul cuprins:  </w:t>
            </w:r>
          </w:p>
          <w:p>
            <w:pPr>
              <w:widowControl/>
              <w:jc w:val="both"/>
              <w:rPr>
                <w:rFonts w:ascii="Times New Roman" w:hAnsi="Times New Roman" w:eastAsia="Times New Roman"/>
                <w:b/>
                <w:sz w:val="24"/>
                <w:szCs w:val="24"/>
              </w:rPr>
            </w:pPr>
            <w:r>
              <w:rPr>
                <w:rFonts w:ascii="Times New Roman" w:hAnsi="Times New Roman" w:eastAsia="Times New Roman"/>
                <w:b/>
                <w:sz w:val="24"/>
                <w:szCs w:val="24"/>
              </w:rPr>
              <w:t xml:space="preserve">„Art. 21. - (1) </w:t>
            </w:r>
            <w:r>
              <w:rPr>
                <w:rFonts w:ascii="Times New Roman" w:hAnsi="Times New Roman" w:eastAsia="Times New Roman"/>
                <w:sz w:val="24"/>
                <w:szCs w:val="24"/>
                <w:lang w:val="en-GB"/>
              </w:rPr>
              <w:t>Licența</w:t>
            </w:r>
            <w:r>
              <w:rPr>
                <w:rFonts w:ascii="Times New Roman" w:hAnsi="Times New Roman" w:eastAsia="Times New Roman"/>
                <w:sz w:val="24"/>
                <w:szCs w:val="24"/>
              </w:rPr>
              <w:t xml:space="preserve"> se încheie în formă scrisă.</w:t>
            </w:r>
            <w:r>
              <w:rPr>
                <w:rFonts w:ascii="Times New Roman" w:hAnsi="Times New Roman" w:eastAsia="Times New Roman"/>
                <w:b/>
                <w:sz w:val="24"/>
                <w:szCs w:val="24"/>
              </w:rPr>
              <w:t xml:space="preserve">” </w:t>
            </w:r>
          </w:p>
          <w:p>
            <w:pPr>
              <w:widowControl/>
              <w:snapToGrid w:val="0"/>
              <w:jc w:val="both"/>
              <w:rPr>
                <w:rFonts w:ascii="Times New Roman" w:hAnsi="Times New Roman"/>
                <w:i/>
                <w:sz w:val="24"/>
                <w:szCs w:val="24"/>
              </w:rPr>
            </w:pPr>
            <w:r>
              <w:rPr>
                <w:rFonts w:ascii="Times New Roman" w:hAnsi="Times New Roman"/>
                <w:i/>
                <w:sz w:val="24"/>
                <w:szCs w:val="24"/>
              </w:rPr>
              <w:t>Autori: Comisia pentru industrii și servicii</w:t>
            </w:r>
          </w:p>
          <w:p>
            <w:pPr>
              <w:widowControl/>
              <w:snapToGrid w:val="0"/>
              <w:jc w:val="both"/>
              <w:rPr>
                <w:rFonts w:ascii="Times New Roman" w:hAnsi="Times New Roman"/>
                <w:i/>
                <w:sz w:val="24"/>
                <w:szCs w:val="24"/>
              </w:rPr>
            </w:pPr>
            <w:r>
              <w:rPr>
                <w:rFonts w:ascii="Times New Roman" w:hAnsi="Times New Roman"/>
                <w:i/>
                <w:sz w:val="24"/>
                <w:szCs w:val="24"/>
              </w:rPr>
              <w:t xml:space="preserve">Comisia pentru mediu și echilibru ecologic </w:t>
            </w:r>
          </w:p>
        </w:tc>
        <w:tc>
          <w:tcPr>
            <w:tcW w:w="2040" w:type="dxa"/>
          </w:tcPr>
          <w:p>
            <w:pPr>
              <w:jc w:val="both"/>
              <w:rPr>
                <w:rFonts w:ascii="Times New Roman" w:hAnsi="Times New Roman"/>
                <w:sz w:val="24"/>
                <w:szCs w:val="24"/>
              </w:rPr>
            </w:pPr>
            <w:r>
              <w:rPr>
                <w:rFonts w:ascii="Times New Roman" w:hAnsi="Times New Roman"/>
                <w:sz w:val="20"/>
                <w:szCs w:val="20"/>
              </w:rPr>
              <w:t>Pentru simplificarea și clarificarea procedurilor administrative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widowControl/>
              <w:numPr>
                <w:ilvl w:val="0"/>
                <w:numId w:val="3"/>
              </w:numPr>
              <w:shd w:val="clear" w:color="auto" w:fill="FFFFFF"/>
              <w:jc w:val="both"/>
              <w:rPr>
                <w:rFonts w:ascii="Times New Roman" w:hAnsi="Times New Roman"/>
                <w:bCs/>
                <w:sz w:val="24"/>
                <w:szCs w:val="24"/>
                <w:shd w:val="clear" w:color="auto" w:fill="FFFFFF"/>
              </w:rPr>
            </w:pPr>
          </w:p>
        </w:tc>
        <w:tc>
          <w:tcPr>
            <w:tcW w:w="3009" w:type="dxa"/>
          </w:tcPr>
          <w:p>
            <w:pPr>
              <w:spacing w:line="360" w:lineRule="auto"/>
              <w:jc w:val="both"/>
              <w:rPr>
                <w:rFonts w:ascii="Times New Roman" w:hAnsi="Times New Roman"/>
                <w:b/>
                <w:sz w:val="24"/>
                <w:szCs w:val="24"/>
              </w:rPr>
            </w:pPr>
          </w:p>
        </w:tc>
        <w:tc>
          <w:tcPr>
            <w:tcW w:w="4992" w:type="dxa"/>
          </w:tcPr>
          <w:p>
            <w:pPr>
              <w:widowControl/>
              <w:jc w:val="both"/>
              <w:rPr>
                <w:rFonts w:ascii="Times New Roman" w:hAnsi="Times New Roman" w:eastAsia="Times New Roman"/>
                <w:b/>
                <w:sz w:val="24"/>
                <w:szCs w:val="24"/>
              </w:rPr>
            </w:pPr>
            <w:r>
              <w:rPr>
                <w:rFonts w:ascii="Times New Roman" w:hAnsi="Times New Roman" w:eastAsia="Times New Roman"/>
                <w:b/>
                <w:sz w:val="24"/>
                <w:szCs w:val="24"/>
              </w:rPr>
              <w:t>8. La articolul 21, după alineatul (1) se introduc trei noi alineate, alineatele (1</w:t>
            </w:r>
            <w:r>
              <w:rPr>
                <w:rFonts w:ascii="Times New Roman" w:hAnsi="Times New Roman" w:eastAsia="Times New Roman"/>
                <w:b/>
                <w:sz w:val="24"/>
                <w:szCs w:val="24"/>
                <w:vertAlign w:val="superscript"/>
              </w:rPr>
              <w:t>1</w:t>
            </w:r>
            <w:r>
              <w:rPr>
                <w:rFonts w:ascii="Times New Roman" w:hAnsi="Times New Roman" w:eastAsia="Times New Roman"/>
                <w:b/>
                <w:sz w:val="24"/>
                <w:szCs w:val="24"/>
              </w:rPr>
              <w:t>) -alin.(1</w:t>
            </w:r>
            <w:r>
              <w:rPr>
                <w:rFonts w:ascii="Times New Roman" w:hAnsi="Times New Roman" w:eastAsia="Times New Roman"/>
                <w:b/>
                <w:sz w:val="24"/>
                <w:szCs w:val="24"/>
                <w:vertAlign w:val="superscript"/>
              </w:rPr>
              <w:t>3</w:t>
            </w:r>
            <w:r>
              <w:rPr>
                <w:rFonts w:ascii="Times New Roman" w:hAnsi="Times New Roman" w:eastAsia="Times New Roman"/>
                <w:b/>
                <w:sz w:val="24"/>
                <w:szCs w:val="24"/>
              </w:rPr>
              <w:t xml:space="preserve">), cu următorul cuprins: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„(1</w:t>
            </w:r>
            <w:r>
              <w:rPr>
                <w:rFonts w:ascii="Times New Roman" w:hAnsi="Times New Roman" w:eastAsia="Times New Roman"/>
                <w:b/>
                <w:bCs/>
                <w:sz w:val="24"/>
                <w:szCs w:val="24"/>
                <w:vertAlign w:val="superscript"/>
              </w:rPr>
              <w:t>1</w:t>
            </w:r>
            <w:r>
              <w:rPr>
                <w:rFonts w:ascii="Times New Roman" w:hAnsi="Times New Roman" w:eastAsia="Times New Roman"/>
                <w:b/>
                <w:bCs/>
                <w:sz w:val="24"/>
                <w:szCs w:val="24"/>
              </w:rPr>
              <w:t xml:space="preserve">) Pentru activitatea de explorare licența intră în vigoare la data intrării în vigoare a ordinului președintelui autorității competente de aprobare a acesteia. </w:t>
            </w:r>
          </w:p>
          <w:p>
            <w:pPr>
              <w:widowControl/>
              <w:snapToGrid w:val="0"/>
              <w:jc w:val="both"/>
              <w:rPr>
                <w:rFonts w:ascii="Times New Roman" w:hAnsi="Times New Roman" w:eastAsia="Times New Roman"/>
                <w:b/>
                <w:bCs/>
                <w:sz w:val="24"/>
                <w:szCs w:val="24"/>
              </w:rPr>
            </w:pP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(1</w:t>
            </w:r>
            <w:r>
              <w:rPr>
                <w:rFonts w:ascii="Times New Roman" w:hAnsi="Times New Roman" w:eastAsia="Times New Roman"/>
                <w:b/>
                <w:bCs/>
                <w:sz w:val="24"/>
                <w:szCs w:val="24"/>
                <w:vertAlign w:val="superscript"/>
              </w:rPr>
              <w:t>2</w:t>
            </w:r>
            <w:r>
              <w:rPr>
                <w:rFonts w:ascii="Times New Roman" w:hAnsi="Times New Roman" w:eastAsia="Times New Roman"/>
                <w:b/>
                <w:bCs/>
                <w:sz w:val="24"/>
                <w:szCs w:val="24"/>
              </w:rPr>
              <w:t xml:space="preserve">) Pentru activitatea de exploatare licența intră în vigoare după cum urmează: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a) la data intrării în vigoare a ordinului președintelui autorității competente de aprobare a acesteia, cu excepția  licențelor  de concesiune/dare în administrare pentru exploatare prevăzute la lit. b); </w:t>
            </w:r>
          </w:p>
          <w:p>
            <w:pPr>
              <w:widowControl/>
              <w:snapToGrid w:val="0"/>
              <w:jc w:val="both"/>
              <w:rPr>
                <w:rFonts w:ascii="Times New Roman" w:hAnsi="Times New Roman" w:eastAsia="Times New Roman"/>
                <w:b/>
                <w:bCs/>
                <w:sz w:val="24"/>
                <w:szCs w:val="24"/>
              </w:rPr>
            </w:pP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b) la data intrării în vigoare a hotărârii Guvernului privind aprobarea licenței de concesiune/dare în administrare pentru exploatare a minereurilor de aluminiu şi rocilor aluminifere, minereurilor feroase, minereurilor neferoase, metalelor nobile,  minereurilor radioactive, pământurilor rare şi disperse, precum și a cărbunilor. </w:t>
            </w:r>
          </w:p>
          <w:p>
            <w:pPr>
              <w:widowControl/>
              <w:snapToGrid w:val="0"/>
              <w:jc w:val="both"/>
              <w:rPr>
                <w:rFonts w:ascii="Times New Roman" w:hAnsi="Times New Roman" w:eastAsia="Times New Roman"/>
                <w:b/>
                <w:bCs/>
                <w:sz w:val="24"/>
                <w:szCs w:val="24"/>
              </w:rPr>
            </w:pP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(1</w:t>
            </w:r>
            <w:r>
              <w:rPr>
                <w:rFonts w:ascii="Times New Roman" w:hAnsi="Times New Roman" w:eastAsia="Times New Roman"/>
                <w:b/>
                <w:bCs/>
                <w:sz w:val="24"/>
                <w:szCs w:val="24"/>
                <w:vertAlign w:val="superscript"/>
              </w:rPr>
              <w:t>3</w:t>
            </w:r>
            <w:r>
              <w:rPr>
                <w:rFonts w:ascii="Times New Roman" w:hAnsi="Times New Roman" w:eastAsia="Times New Roman"/>
                <w:b/>
                <w:bCs/>
                <w:sz w:val="24"/>
                <w:szCs w:val="24"/>
              </w:rPr>
              <w:t xml:space="preserve">) Ordinul președintelui autorității competente privind aprobarea licențelor intră în vigoare la data publicării în Monitorul Oficial al României, Partea I.” </w:t>
            </w:r>
          </w:p>
          <w:p>
            <w:pPr>
              <w:widowControl/>
              <w:snapToGrid w:val="0"/>
              <w:jc w:val="both"/>
              <w:rPr>
                <w:rFonts w:ascii="Times New Roman" w:hAnsi="Times New Roman" w:eastAsia="Times New Roman"/>
                <w:i/>
                <w:sz w:val="24"/>
                <w:szCs w:val="24"/>
              </w:rPr>
            </w:pPr>
            <w:r>
              <w:rPr>
                <w:rFonts w:ascii="Times New Roman" w:hAnsi="Times New Roman" w:eastAsia="Times New Roman"/>
                <w:i/>
                <w:sz w:val="24"/>
                <w:szCs w:val="24"/>
              </w:rPr>
              <w:t>Autor: Comisia pentru industrii și servicii</w:t>
            </w:r>
          </w:p>
          <w:p>
            <w:pPr>
              <w:widowControl/>
              <w:snapToGrid w:val="0"/>
              <w:jc w:val="both"/>
              <w:rPr>
                <w:rFonts w:ascii="Times New Roman" w:hAnsi="Times New Roman" w:eastAsia="Times New Roman"/>
                <w:i/>
                <w:sz w:val="24"/>
                <w:szCs w:val="24"/>
              </w:rPr>
            </w:pPr>
            <w:r>
              <w:rPr>
                <w:rFonts w:ascii="Times New Roman" w:hAnsi="Times New Roman"/>
                <w:i/>
                <w:sz w:val="24"/>
                <w:szCs w:val="24"/>
              </w:rPr>
              <w:t xml:space="preserve">Comisia pentru mediu și echilibru ecologic </w:t>
            </w:r>
          </w:p>
        </w:tc>
        <w:tc>
          <w:tcPr>
            <w:tcW w:w="2040" w:type="dxa"/>
          </w:tcPr>
          <w:p>
            <w:pPr>
              <w:jc w:val="both"/>
              <w:rPr>
                <w:rFonts w:ascii="Times New Roman" w:hAnsi="Times New Roman"/>
                <w:sz w:val="20"/>
                <w:szCs w:val="20"/>
              </w:rPr>
            </w:pPr>
            <w:r>
              <w:rPr>
                <w:rFonts w:ascii="Times New Roman" w:hAnsi="Times New Roman"/>
                <w:sz w:val="20"/>
                <w:szCs w:val="20"/>
              </w:rPr>
              <w:t xml:space="preserve">În ceea ce privește schimbările preconizate în privința intrării în vigoare a licențelor de concesiune dare în </w:t>
            </w:r>
          </w:p>
          <w:p>
            <w:pPr>
              <w:jc w:val="both"/>
              <w:rPr>
                <w:rFonts w:ascii="Times New Roman" w:hAnsi="Times New Roman"/>
                <w:sz w:val="20"/>
                <w:szCs w:val="20"/>
              </w:rPr>
            </w:pPr>
            <w:r>
              <w:rPr>
                <w:rFonts w:ascii="Times New Roman" w:hAnsi="Times New Roman"/>
                <w:sz w:val="20"/>
                <w:szCs w:val="20"/>
              </w:rPr>
              <w:t xml:space="preserve">administrare pentru exploatare soluțiile legislative propuse au în vedere intrarea în vigoare a acestor acte de concesiune minieră ca urmare a aprobării acestora prin ordin al conducatorului autorității competente și,în mod excepțional, ca a aprobării acestora prin hotărâre a Guvernului. </w:t>
            </w:r>
          </w:p>
          <w:p>
            <w:pPr>
              <w:spacing w:line="360" w:lineRule="auto"/>
              <w:jc w:val="both"/>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widowControl/>
              <w:jc w:val="both"/>
              <w:rPr>
                <w:rFonts w:ascii="Times New Roman" w:hAnsi="Times New Roman" w:eastAsia="Times New Roman"/>
                <w:sz w:val="24"/>
                <w:szCs w:val="24"/>
                <w:lang w:val="en-US"/>
              </w:rPr>
            </w:pPr>
          </w:p>
          <w:p>
            <w:pPr>
              <w:widowControl/>
              <w:jc w:val="both"/>
              <w:rPr>
                <w:rFonts w:ascii="Times New Roman" w:hAnsi="Times New Roman" w:eastAsia="Times New Roman"/>
                <w:sz w:val="24"/>
                <w:szCs w:val="24"/>
                <w:lang w:val="en-US"/>
              </w:rPr>
            </w:pPr>
          </w:p>
          <w:p>
            <w:pPr>
              <w:widowControl/>
              <w:jc w:val="both"/>
              <w:rPr>
                <w:rFonts w:ascii="Times New Roman" w:hAnsi="Times New Roman" w:eastAsia="Times New Roman"/>
                <w:sz w:val="24"/>
                <w:szCs w:val="24"/>
                <w:lang w:val="en-US"/>
              </w:rPr>
            </w:pPr>
          </w:p>
          <w:p>
            <w:pPr>
              <w:widowControl/>
              <w:jc w:val="both"/>
              <w:rPr>
                <w:rFonts w:ascii="Times New Roman" w:hAnsi="Times New Roman" w:eastAsia="Times New Roman"/>
                <w:sz w:val="24"/>
                <w:szCs w:val="24"/>
                <w:lang w:val="en-US"/>
              </w:rPr>
            </w:pPr>
            <w:r>
              <w:rPr>
                <w:rFonts w:ascii="Times New Roman" w:hAnsi="Times New Roman" w:eastAsia="Times New Roman"/>
                <w:sz w:val="24"/>
                <w:szCs w:val="24"/>
                <w:lang w:val="en-US"/>
              </w:rPr>
              <w:t xml:space="preserve">Art. 22 - </w:t>
            </w:r>
            <w:bookmarkStart w:id="2" w:name="do|caIII|ar22|al1"/>
            <w:bookmarkEnd w:id="2"/>
            <w:r>
              <w:rPr>
                <w:rFonts w:ascii="Times New Roman" w:hAnsi="Times New Roman" w:eastAsia="Times New Roman"/>
                <w:sz w:val="24"/>
                <w:szCs w:val="24"/>
                <w:lang w:val="en-US"/>
              </w:rPr>
              <w:t xml:space="preserve">(1) Începerea activităţilor miniere prevăzute în licenţă se autorizează în scris de către autoritatea competentă, în termen de până la </w:t>
            </w:r>
            <w:r>
              <w:rPr>
                <w:rFonts w:ascii="Times New Roman" w:hAnsi="Times New Roman" w:eastAsia="Times New Roman"/>
                <w:b/>
                <w:sz w:val="24"/>
                <w:szCs w:val="24"/>
                <w:lang w:val="en-US"/>
              </w:rPr>
              <w:t xml:space="preserve">180 </w:t>
            </w:r>
            <w:r>
              <w:rPr>
                <w:rFonts w:ascii="Times New Roman" w:hAnsi="Times New Roman" w:eastAsia="Times New Roman"/>
                <w:sz w:val="24"/>
                <w:szCs w:val="24"/>
                <w:lang w:val="en-US"/>
              </w:rPr>
              <w:t>de zile de la intrarea în vigoare a licenţei, după prezentarea de către titular, cumulativ, a următoarelor documente:</w:t>
            </w:r>
          </w:p>
          <w:p>
            <w:pPr>
              <w:widowControl/>
              <w:jc w:val="both"/>
              <w:rPr>
                <w:rFonts w:ascii="Times New Roman" w:hAnsi="Times New Roman" w:eastAsia="Times New Roman"/>
                <w:sz w:val="24"/>
                <w:szCs w:val="24"/>
                <w:lang w:val="en-US"/>
              </w:rPr>
            </w:pPr>
            <w:bookmarkStart w:id="3" w:name="do|caIII|ar22|al1|lia"/>
            <w:bookmarkEnd w:id="3"/>
          </w:p>
        </w:tc>
        <w:tc>
          <w:tcPr>
            <w:tcW w:w="3009" w:type="dxa"/>
          </w:tcPr>
          <w:p>
            <w:pPr>
              <w:jc w:val="both"/>
              <w:rPr>
                <w:rFonts w:ascii="Times New Roman" w:hAnsi="Times New Roman"/>
                <w:b/>
                <w:sz w:val="24"/>
                <w:szCs w:val="24"/>
              </w:rPr>
            </w:pPr>
          </w:p>
        </w:tc>
        <w:tc>
          <w:tcPr>
            <w:tcW w:w="4992" w:type="dxa"/>
          </w:tcPr>
          <w:p>
            <w:pPr>
              <w:jc w:val="both"/>
              <w:rPr>
                <w:rFonts w:ascii="Times New Roman" w:hAnsi="Times New Roman"/>
                <w:b/>
                <w:sz w:val="24"/>
              </w:rPr>
            </w:pPr>
            <w:r>
              <w:rPr>
                <w:rFonts w:ascii="Times New Roman" w:hAnsi="Times New Roman"/>
                <w:b/>
                <w:sz w:val="24"/>
              </w:rPr>
              <w:t>9. La articolul 22, partea introductivă a alineatului (1) se modifică și va avea următorul cuprins:</w:t>
            </w:r>
          </w:p>
          <w:p>
            <w:pPr>
              <w:jc w:val="both"/>
              <w:rPr>
                <w:rFonts w:ascii="Times New Roman" w:hAnsi="Times New Roman"/>
                <w:sz w:val="24"/>
              </w:rPr>
            </w:pPr>
            <w:r>
              <w:rPr>
                <w:rFonts w:ascii="Times New Roman" w:hAnsi="Times New Roman"/>
                <w:sz w:val="24"/>
              </w:rPr>
              <w:t xml:space="preserve">„Art. 22. - (1) Începerea activităţilor miniere prevăzute în licenţă se autorizează în scris de către autoritatea competentă, în termen de până la </w:t>
            </w:r>
            <w:r>
              <w:rPr>
                <w:rFonts w:ascii="Times New Roman" w:hAnsi="Times New Roman"/>
                <w:b/>
                <w:sz w:val="24"/>
              </w:rPr>
              <w:t xml:space="preserve">360 </w:t>
            </w:r>
            <w:r>
              <w:rPr>
                <w:rFonts w:ascii="Times New Roman" w:hAnsi="Times New Roman"/>
                <w:sz w:val="24"/>
              </w:rPr>
              <w:t>de zile de la intrarea în vigoare a licenţei, după prezentarea de către titular, cumulativ, a următoarelor documente:”</w:t>
            </w:r>
          </w:p>
          <w:p>
            <w:pPr>
              <w:jc w:val="both"/>
              <w:rPr>
                <w:rFonts w:ascii="Times New Roman" w:hAnsi="Times New Roman"/>
                <w:sz w:val="24"/>
              </w:rPr>
            </w:pPr>
            <w:r>
              <w:rPr>
                <w:rFonts w:ascii="Times New Roman" w:hAnsi="Times New Roman"/>
                <w:i/>
                <w:sz w:val="24"/>
              </w:rPr>
              <w:t>Autori: Grup PSD și Grup PNL – Comisia pentru industrii și servicii</w:t>
            </w:r>
          </w:p>
        </w:tc>
        <w:tc>
          <w:tcPr>
            <w:tcW w:w="2040" w:type="dxa"/>
          </w:tcPr>
          <w:p>
            <w:pPr>
              <w:jc w:val="both"/>
              <w:rPr>
                <w:rFonts w:ascii="Times New Roman" w:hAnsi="Times New Roman"/>
                <w:sz w:val="16"/>
                <w:szCs w:val="16"/>
              </w:rPr>
            </w:pPr>
            <w:r>
              <w:rPr>
                <w:rFonts w:ascii="Times New Roman" w:hAnsi="Times New Roman"/>
                <w:sz w:val="16"/>
                <w:szCs w:val="16"/>
              </w:rPr>
              <w:t>1. Datorită naturii activităților specifice de exploatare a resurselor minerale și a efectelor asupra mediului pentru toate activitățile în obiective miniere, în conformitate cu Legea 292/2018, se aplică procedura de evaluare a impactului de mediu;</w:t>
            </w:r>
          </w:p>
          <w:p>
            <w:pPr>
              <w:jc w:val="both"/>
              <w:rPr>
                <w:rFonts w:ascii="Times New Roman" w:hAnsi="Times New Roman"/>
                <w:sz w:val="16"/>
                <w:szCs w:val="16"/>
              </w:rPr>
            </w:pPr>
            <w:r>
              <w:rPr>
                <w:rFonts w:ascii="Times New Roman" w:hAnsi="Times New Roman"/>
                <w:sz w:val="16"/>
                <w:szCs w:val="16"/>
              </w:rPr>
              <w:t>2. Timpii de derulare a etapelor de avizare sunt reglementați de Legea 292/2018, dar depind în mare măsură de consultările publice de pe parcurs, cu trecerile succesive din etape în etape condiționat, ceea ce nu pot fi cuantificați și care conduc la prelungirea necontrolată a duratei de obținere a actului de reglementare de mediu;</w:t>
            </w:r>
          </w:p>
          <w:p>
            <w:pPr>
              <w:jc w:val="both"/>
              <w:rPr>
                <w:rFonts w:ascii="Times New Roman" w:hAnsi="Times New Roman"/>
                <w:sz w:val="16"/>
                <w:szCs w:val="16"/>
              </w:rPr>
            </w:pPr>
            <w:r>
              <w:rPr>
                <w:rFonts w:ascii="Times New Roman" w:hAnsi="Times New Roman"/>
                <w:sz w:val="16"/>
                <w:szCs w:val="16"/>
              </w:rPr>
              <w:t>3. Procedura de obținere a actului de reglementare de mediu nu poate fi lansată decât după inițializarea actului de reglementare a ANRM (licența de exploatare); Acesta se depune în anexa la memoriul de prezentare întocmit pentru etapa de încadrare a proiectului;</w:t>
            </w:r>
          </w:p>
          <w:p>
            <w:pPr>
              <w:jc w:val="both"/>
              <w:rPr>
                <w:rFonts w:ascii="Times New Roman" w:hAnsi="Times New Roman"/>
                <w:sz w:val="16"/>
                <w:szCs w:val="16"/>
              </w:rPr>
            </w:pPr>
            <w:r>
              <w:rPr>
                <w:rFonts w:ascii="Times New Roman" w:hAnsi="Times New Roman"/>
                <w:sz w:val="16"/>
                <w:szCs w:val="16"/>
              </w:rPr>
              <w:t>4. În art. 22 din Legea minelor nr. 85/2003 se observă că acordul/autorizația de mediu este obligatorie și nu opțională, așa cum va și rămâne;</w:t>
            </w:r>
          </w:p>
          <w:p>
            <w:pPr>
              <w:jc w:val="both"/>
              <w:rPr>
                <w:rFonts w:ascii="Times New Roman" w:hAnsi="Times New Roman"/>
                <w:sz w:val="24"/>
                <w:szCs w:val="24"/>
              </w:rPr>
            </w:pPr>
            <w:r>
              <w:rPr>
                <w:rFonts w:ascii="Times New Roman" w:hAnsi="Times New Roman"/>
                <w:sz w:val="16"/>
                <w:szCs w:val="16"/>
              </w:rPr>
              <w:t>5. În condițiile în care nu se poate respecta termenul de 180 de zile din motive „subiective”, respectiv obținerea autorizației de începere a activităților miniere prevăzute în licență conform art. 22 din Legea 85/2003, licența de exploatare va fi anulată.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widowControl/>
              <w:shd w:val="clear" w:color="auto" w:fill="FFFFFF"/>
              <w:jc w:val="both"/>
              <w:rPr>
                <w:rFonts w:ascii="Times New Roman" w:hAnsi="Times New Roman"/>
                <w:bCs/>
                <w:sz w:val="24"/>
                <w:szCs w:val="24"/>
                <w:shd w:val="clear" w:color="auto" w:fill="FFFFFF"/>
              </w:rPr>
            </w:pPr>
          </w:p>
          <w:p>
            <w:pPr>
              <w:widowControl/>
              <w:shd w:val="clear" w:color="auto" w:fill="FFFFFF"/>
              <w:jc w:val="both"/>
              <w:rPr>
                <w:rFonts w:ascii="Times New Roman" w:hAnsi="Times New Roman"/>
                <w:bCs/>
                <w:sz w:val="24"/>
                <w:szCs w:val="24"/>
                <w:shd w:val="clear" w:color="auto" w:fill="FFFFFF"/>
              </w:rPr>
            </w:pPr>
          </w:p>
          <w:p>
            <w:pPr>
              <w:widowControl/>
              <w:shd w:val="clear" w:color="auto" w:fill="FFFFFF"/>
              <w:jc w:val="both"/>
              <w:rPr>
                <w:rFonts w:ascii="Times New Roman" w:hAnsi="Times New Roman"/>
                <w:b/>
                <w:bCs/>
                <w:sz w:val="24"/>
                <w:szCs w:val="24"/>
                <w:shd w:val="clear" w:color="auto" w:fill="FFFFFF"/>
              </w:rPr>
            </w:pPr>
            <w:r>
              <w:rPr>
                <w:rFonts w:ascii="Times New Roman" w:hAnsi="Times New Roman"/>
                <w:bCs/>
                <w:sz w:val="24"/>
                <w:szCs w:val="24"/>
                <w:shd w:val="clear" w:color="auto" w:fill="FFFFFF"/>
              </w:rPr>
              <w:t xml:space="preserve">Art. 24 - (1) </w:t>
            </w:r>
            <w:r>
              <w:rPr>
                <w:rFonts w:ascii="Times New Roman" w:hAnsi="Times New Roman"/>
                <w:b/>
                <w:bCs/>
                <w:sz w:val="24"/>
                <w:szCs w:val="24"/>
                <w:shd w:val="clear" w:color="auto" w:fill="FFFFFF"/>
              </w:rPr>
              <w:t>Titularul unei licențe poate transfera unei alte persoane juridice drepturile dobândite şi obligațiile asumate numai cu aprobarea prealabilă scrisă a autorității competente. Orice transfer realizat fără aprobare scrisă este nul de drept.</w:t>
            </w:r>
          </w:p>
          <w:p>
            <w:pPr>
              <w:widowControl/>
              <w:shd w:val="clear" w:color="auto" w:fill="FFFFFF"/>
              <w:jc w:val="both"/>
              <w:rPr>
                <w:rFonts w:ascii="Times New Roman" w:hAnsi="Times New Roman"/>
                <w:b/>
                <w:bCs/>
                <w:sz w:val="24"/>
                <w:szCs w:val="24"/>
                <w:shd w:val="clear" w:color="auto" w:fill="FFFFFF"/>
              </w:rPr>
            </w:pPr>
          </w:p>
          <w:p>
            <w:pPr>
              <w:widowControl/>
              <w:shd w:val="clear" w:color="auto" w:fill="FFFFFF"/>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 xml:space="preserve">(2) În vederea aprobării transferului autoritatea competentă </w:t>
            </w:r>
            <w:r>
              <w:rPr>
                <w:rFonts w:ascii="Times New Roman" w:hAnsi="Times New Roman"/>
                <w:b/>
                <w:bCs/>
                <w:sz w:val="24"/>
                <w:szCs w:val="24"/>
                <w:shd w:val="clear" w:color="auto" w:fill="FFFFFF"/>
              </w:rPr>
              <w:t>va avea</w:t>
            </w:r>
            <w:r>
              <w:rPr>
                <w:rFonts w:ascii="Times New Roman" w:hAnsi="Times New Roman"/>
                <w:bCs/>
                <w:sz w:val="24"/>
                <w:szCs w:val="24"/>
                <w:shd w:val="clear" w:color="auto" w:fill="FFFFFF"/>
              </w:rPr>
              <w:t xml:space="preserve"> în vedere criterii de aprobare, ce se stabilesc prin </w:t>
            </w:r>
            <w:r>
              <w:rPr>
                <w:rFonts w:ascii="Times New Roman" w:hAnsi="Times New Roman"/>
                <w:b/>
                <w:bCs/>
                <w:sz w:val="24"/>
                <w:szCs w:val="24"/>
                <w:shd w:val="clear" w:color="auto" w:fill="FFFFFF"/>
              </w:rPr>
              <w:t>norme</w:t>
            </w:r>
            <w:r>
              <w:rPr>
                <w:rFonts w:ascii="Times New Roman" w:hAnsi="Times New Roman"/>
                <w:bCs/>
                <w:sz w:val="24"/>
                <w:szCs w:val="24"/>
                <w:shd w:val="clear" w:color="auto" w:fill="FFFFFF"/>
              </w:rPr>
              <w:t>.</w:t>
            </w:r>
          </w:p>
          <w:p>
            <w:pPr>
              <w:widowControl/>
              <w:shd w:val="clear" w:color="auto" w:fill="FFFFFF"/>
              <w:jc w:val="both"/>
              <w:rPr>
                <w:rFonts w:ascii="Times New Roman" w:hAnsi="Times New Roman"/>
                <w:bCs/>
                <w:sz w:val="24"/>
                <w:szCs w:val="24"/>
                <w:shd w:val="clear" w:color="auto" w:fill="FFFFFF"/>
              </w:rPr>
            </w:pPr>
          </w:p>
          <w:p>
            <w:pPr>
              <w:widowControl/>
              <w:shd w:val="clear" w:color="auto" w:fill="FFFFFF"/>
              <w:jc w:val="both"/>
              <w:rPr>
                <w:rFonts w:ascii="Times New Roman" w:hAnsi="Times New Roman"/>
                <w:bCs/>
                <w:sz w:val="24"/>
                <w:szCs w:val="24"/>
                <w:shd w:val="clear" w:color="auto" w:fill="FFFFFF"/>
              </w:rPr>
            </w:pPr>
          </w:p>
          <w:p>
            <w:pPr>
              <w:widowControl/>
              <w:shd w:val="clear" w:color="auto" w:fill="FFFFFF"/>
              <w:jc w:val="both"/>
              <w:rPr>
                <w:rFonts w:ascii="Times New Roman" w:hAnsi="Times New Roman"/>
                <w:b/>
                <w:bCs/>
                <w:sz w:val="24"/>
                <w:szCs w:val="24"/>
                <w:shd w:val="clear" w:color="auto" w:fill="FFFFFF"/>
              </w:rPr>
            </w:pPr>
            <w:r>
              <w:rPr>
                <w:rFonts w:ascii="Times New Roman" w:hAnsi="Times New Roman"/>
                <w:bCs/>
                <w:sz w:val="24"/>
                <w:szCs w:val="24"/>
                <w:shd w:val="clear" w:color="auto" w:fill="FFFFFF"/>
              </w:rPr>
              <w:t>(3)</w:t>
            </w:r>
            <w:r>
              <w:rPr>
                <w:rFonts w:ascii="Times New Roman" w:hAnsi="Times New Roman"/>
                <w:b/>
                <w:bCs/>
                <w:sz w:val="24"/>
                <w:szCs w:val="24"/>
                <w:shd w:val="clear" w:color="auto" w:fill="FFFFFF"/>
              </w:rPr>
              <w:t xml:space="preserve"> În cazul în care titularul licenței îşi modifică statutul prin reorganizare, vânzare sau orice alte motive, licența, aşa cum a fost negociată, va fi acordată prin act adiţional succesorilor legali ai titularului, în baza contractului dintre părţi sau a hotărârii judecătorești, prezentată autorității competente.</w:t>
            </w:r>
          </w:p>
          <w:p>
            <w:pPr>
              <w:widowControl/>
              <w:shd w:val="clear" w:color="auto" w:fill="FFFFFF"/>
              <w:jc w:val="both"/>
              <w:rPr>
                <w:rFonts w:ascii="Times New Roman" w:hAnsi="Times New Roman"/>
                <w:b/>
                <w:bCs/>
                <w:sz w:val="24"/>
                <w:szCs w:val="24"/>
                <w:shd w:val="clear" w:color="auto" w:fill="FFFFFF"/>
              </w:rPr>
            </w:pPr>
          </w:p>
          <w:p>
            <w:pPr>
              <w:widowControl/>
              <w:shd w:val="clear" w:color="auto" w:fill="FFFFFF"/>
              <w:jc w:val="both"/>
              <w:rPr>
                <w:rFonts w:ascii="Times New Roman" w:hAnsi="Times New Roman"/>
                <w:b/>
                <w:bCs/>
                <w:sz w:val="24"/>
                <w:szCs w:val="24"/>
                <w:shd w:val="clear" w:color="auto" w:fill="FFFFFF"/>
              </w:rPr>
            </w:pPr>
          </w:p>
          <w:p>
            <w:pPr>
              <w:widowControl/>
              <w:shd w:val="clear" w:color="auto" w:fill="FFFFFF"/>
              <w:jc w:val="both"/>
              <w:rPr>
                <w:rFonts w:ascii="Times New Roman" w:hAnsi="Times New Roman"/>
                <w:b/>
                <w:bCs/>
                <w:sz w:val="24"/>
                <w:szCs w:val="24"/>
                <w:shd w:val="clear" w:color="auto" w:fill="FFFFFF"/>
              </w:rPr>
            </w:pPr>
          </w:p>
          <w:p>
            <w:pPr>
              <w:widowControl/>
              <w:shd w:val="clear" w:color="auto" w:fill="FFFFFF"/>
              <w:jc w:val="both"/>
              <w:rPr>
                <w:rFonts w:ascii="Times New Roman" w:hAnsi="Times New Roman"/>
                <w:b/>
                <w:bCs/>
                <w:sz w:val="24"/>
                <w:szCs w:val="24"/>
                <w:shd w:val="clear" w:color="auto" w:fill="FFFFFF"/>
              </w:rPr>
            </w:pPr>
          </w:p>
          <w:p>
            <w:pPr>
              <w:widowControl/>
              <w:shd w:val="clear" w:color="auto" w:fill="FFFFFF"/>
              <w:jc w:val="both"/>
              <w:rPr>
                <w:rFonts w:ascii="Times New Roman" w:hAnsi="Times New Roman"/>
                <w:b/>
                <w:bCs/>
                <w:sz w:val="24"/>
                <w:szCs w:val="24"/>
                <w:shd w:val="clear" w:color="auto" w:fill="FFFFFF"/>
              </w:rPr>
            </w:pPr>
          </w:p>
          <w:p>
            <w:pPr>
              <w:widowControl/>
              <w:shd w:val="clear" w:color="auto" w:fill="FFFFFF"/>
              <w:jc w:val="both"/>
              <w:rPr>
                <w:rFonts w:ascii="Times New Roman" w:hAnsi="Times New Roman"/>
                <w:b/>
                <w:bCs/>
                <w:sz w:val="24"/>
                <w:szCs w:val="24"/>
                <w:shd w:val="clear" w:color="auto" w:fill="FFFFFF"/>
              </w:rPr>
            </w:pPr>
          </w:p>
          <w:p>
            <w:pPr>
              <w:widowControl/>
              <w:shd w:val="clear" w:color="auto" w:fill="FFFFFF"/>
              <w:jc w:val="both"/>
              <w:rPr>
                <w:rFonts w:ascii="Times New Roman" w:hAnsi="Times New Roman"/>
                <w:b/>
                <w:bCs/>
                <w:sz w:val="24"/>
                <w:szCs w:val="24"/>
                <w:shd w:val="clear" w:color="auto" w:fill="FFFFFF"/>
              </w:rPr>
            </w:pPr>
          </w:p>
          <w:p>
            <w:pPr>
              <w:widowControl/>
              <w:shd w:val="clear" w:color="auto" w:fill="FFFFFF"/>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 xml:space="preserve">(4) </w:t>
            </w:r>
            <w:r>
              <w:rPr>
                <w:rFonts w:ascii="Times New Roman" w:hAnsi="Times New Roman"/>
                <w:b/>
                <w:bCs/>
                <w:sz w:val="24"/>
                <w:szCs w:val="24"/>
                <w:shd w:val="clear" w:color="auto" w:fill="FFFFFF"/>
              </w:rPr>
              <w:t>Licența de dare în administrare nu este transferabilă.</w:t>
            </w:r>
          </w:p>
        </w:tc>
        <w:tc>
          <w:tcPr>
            <w:tcW w:w="3009" w:type="dxa"/>
          </w:tcPr>
          <w:p>
            <w:pPr>
              <w:jc w:val="both"/>
              <w:rPr>
                <w:rFonts w:ascii="Times New Roman" w:hAnsi="Times New Roman"/>
                <w:b/>
                <w:sz w:val="24"/>
                <w:szCs w:val="24"/>
              </w:rPr>
            </w:pPr>
          </w:p>
        </w:tc>
        <w:tc>
          <w:tcPr>
            <w:tcW w:w="4992" w:type="dxa"/>
          </w:tcPr>
          <w:p>
            <w:pPr>
              <w:widowControl/>
              <w:snapToGrid w:val="0"/>
              <w:jc w:val="both"/>
              <w:rPr>
                <w:rFonts w:ascii="Times New Roman" w:hAnsi="Times New Roman" w:eastAsia="Times New Roman"/>
                <w:b/>
                <w:sz w:val="24"/>
                <w:szCs w:val="24"/>
              </w:rPr>
            </w:pPr>
            <w:r>
              <w:rPr>
                <w:rFonts w:ascii="Times New Roman" w:hAnsi="Times New Roman" w:eastAsia="Times New Roman"/>
                <w:b/>
                <w:sz w:val="24"/>
                <w:szCs w:val="24"/>
              </w:rPr>
              <w:t xml:space="preserve">10. Articolul 24 se modifică și va avea următorul cuprins: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„Art. 24. - </w:t>
            </w:r>
            <w:r>
              <w:rPr>
                <w:rFonts w:ascii="Times New Roman" w:hAnsi="Times New Roman" w:eastAsia="Times New Roman"/>
                <w:bCs/>
                <w:sz w:val="24"/>
                <w:szCs w:val="24"/>
              </w:rPr>
              <w:t>(1)</w:t>
            </w:r>
            <w:r>
              <w:rPr>
                <w:rFonts w:ascii="Times New Roman" w:hAnsi="Times New Roman" w:eastAsia="Times New Roman"/>
                <w:b/>
                <w:bCs/>
                <w:sz w:val="24"/>
                <w:szCs w:val="24"/>
              </w:rPr>
              <w:t xml:space="preserve"> Drepturile dobândite și obligațiile asumate prin licenţa de concesiune în vigoare pot fi  transferate de către titularunei alte persoane juridice</w:t>
            </w:r>
            <w:r>
              <w:rPr>
                <w:rFonts w:ascii="Times New Roman" w:hAnsi="Times New Roman" w:eastAsia="Times New Roman"/>
                <w:b/>
                <w:bCs/>
                <w:sz w:val="24"/>
                <w:szCs w:val="24"/>
                <w:lang w:val="en-GB"/>
              </w:rPr>
              <w:t xml:space="preserve"> n</w:t>
            </w:r>
            <w:r>
              <w:rPr>
                <w:rFonts w:ascii="Times New Roman" w:hAnsi="Times New Roman" w:eastAsia="Times New Roman"/>
                <w:b/>
                <w:bCs/>
                <w:sz w:val="24"/>
                <w:szCs w:val="24"/>
              </w:rPr>
              <w:t xml:space="preserve">umai cu aprobarea autorității competente. </w:t>
            </w:r>
          </w:p>
          <w:p>
            <w:pPr>
              <w:widowControl/>
              <w:snapToGrid w:val="0"/>
              <w:jc w:val="both"/>
              <w:rPr>
                <w:rFonts w:ascii="Times New Roman" w:hAnsi="Times New Roman" w:eastAsia="Times New Roman"/>
                <w:b/>
                <w:bCs/>
                <w:sz w:val="24"/>
                <w:szCs w:val="24"/>
              </w:rPr>
            </w:pPr>
          </w:p>
          <w:p>
            <w:pPr>
              <w:widowControl/>
              <w:snapToGrid w:val="0"/>
              <w:jc w:val="both"/>
              <w:rPr>
                <w:rFonts w:ascii="Times New Roman" w:hAnsi="Times New Roman" w:eastAsia="Times New Roman"/>
                <w:b/>
                <w:bCs/>
                <w:sz w:val="24"/>
                <w:szCs w:val="24"/>
              </w:rPr>
            </w:pPr>
          </w:p>
          <w:p>
            <w:pPr>
              <w:widowControl/>
              <w:snapToGrid w:val="0"/>
              <w:jc w:val="both"/>
              <w:rPr>
                <w:rFonts w:ascii="Times New Roman" w:hAnsi="Times New Roman" w:eastAsia="Times New Roman"/>
                <w:b/>
                <w:bCs/>
                <w:sz w:val="24"/>
                <w:szCs w:val="24"/>
              </w:rPr>
            </w:pPr>
          </w:p>
          <w:p>
            <w:pPr>
              <w:widowControl/>
              <w:numPr>
                <w:ilvl w:val="0"/>
                <w:numId w:val="3"/>
              </w:numPr>
              <w:snapToGrid w:val="0"/>
              <w:jc w:val="both"/>
              <w:rPr>
                <w:rFonts w:ascii="Times New Roman" w:hAnsi="Times New Roman" w:eastAsia="Times New Roman"/>
                <w:b/>
                <w:bCs/>
                <w:sz w:val="24"/>
                <w:szCs w:val="24"/>
              </w:rPr>
            </w:pPr>
            <w:r>
              <w:rPr>
                <w:rFonts w:ascii="Times New Roman" w:hAnsi="Times New Roman" w:eastAsia="Times New Roman"/>
                <w:bCs/>
                <w:sz w:val="24"/>
                <w:szCs w:val="24"/>
              </w:rPr>
              <w:t>În vederea aprobării transferului</w:t>
            </w:r>
            <w:r>
              <w:rPr>
                <w:rFonts w:ascii="Times New Roman" w:hAnsi="Times New Roman" w:eastAsia="Times New Roman"/>
                <w:b/>
                <w:bCs/>
                <w:sz w:val="24"/>
                <w:szCs w:val="24"/>
              </w:rPr>
              <w:t xml:space="preserve"> prevăzut la alin. (1) </w:t>
            </w:r>
            <w:r>
              <w:rPr>
                <w:rFonts w:ascii="Times New Roman" w:hAnsi="Times New Roman" w:eastAsia="Times New Roman"/>
                <w:bCs/>
                <w:sz w:val="24"/>
                <w:szCs w:val="24"/>
              </w:rPr>
              <w:t>autoritatea competentă</w:t>
            </w:r>
            <w:r>
              <w:rPr>
                <w:rFonts w:ascii="Times New Roman" w:hAnsi="Times New Roman" w:eastAsia="Times New Roman"/>
                <w:b/>
                <w:bCs/>
                <w:sz w:val="24"/>
                <w:szCs w:val="24"/>
              </w:rPr>
              <w:t xml:space="preserve"> are </w:t>
            </w:r>
            <w:r>
              <w:rPr>
                <w:rFonts w:ascii="Times New Roman" w:hAnsi="Times New Roman" w:eastAsia="Times New Roman"/>
                <w:bCs/>
                <w:sz w:val="24"/>
                <w:szCs w:val="24"/>
              </w:rPr>
              <w:t>în vedere criterii de aprobare, care se stabilesc prin</w:t>
            </w:r>
            <w:r>
              <w:rPr>
                <w:rFonts w:ascii="Times New Roman" w:hAnsi="Times New Roman" w:eastAsia="Times New Roman"/>
                <w:b/>
                <w:bCs/>
                <w:sz w:val="24"/>
                <w:szCs w:val="24"/>
              </w:rPr>
              <w:t xml:space="preserve"> normele pentru aplicarea prezentei legi. </w:t>
            </w:r>
          </w:p>
          <w:p>
            <w:pPr>
              <w:widowControl/>
              <w:snapToGrid w:val="0"/>
              <w:jc w:val="both"/>
              <w:rPr>
                <w:rFonts w:ascii="Times New Roman" w:hAnsi="Times New Roman" w:eastAsia="Times New Roman"/>
                <w:b/>
                <w:bCs/>
                <w:sz w:val="24"/>
                <w:szCs w:val="24"/>
              </w:rPr>
            </w:pPr>
          </w:p>
          <w:p>
            <w:pPr>
              <w:widowControl/>
              <w:snapToGrid w:val="0"/>
              <w:jc w:val="both"/>
              <w:rPr>
                <w:rFonts w:ascii="Times New Roman" w:hAnsi="Times New Roman" w:eastAsia="Times New Roman"/>
                <w:b/>
                <w:bCs/>
                <w:sz w:val="24"/>
                <w:szCs w:val="24"/>
              </w:rPr>
            </w:pPr>
            <w:r>
              <w:rPr>
                <w:rFonts w:ascii="Times New Roman" w:hAnsi="Times New Roman" w:eastAsia="Times New Roman"/>
                <w:bCs/>
                <w:sz w:val="24"/>
                <w:szCs w:val="24"/>
              </w:rPr>
              <w:t>(3)</w:t>
            </w:r>
            <w:r>
              <w:rPr>
                <w:rFonts w:ascii="Times New Roman" w:hAnsi="Times New Roman" w:eastAsia="Times New Roman"/>
                <w:b/>
                <w:bCs/>
                <w:sz w:val="24"/>
                <w:szCs w:val="24"/>
              </w:rPr>
              <w:t xml:space="preserve"> Drepturile dobândite și obligațiile asumate prin licența de concesiune în curs de aprobare în vederea intrării în vigoare pot fi transferate numai cu aprobarea autorității competente, în următoarele cazuri: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a) absorbția titularului de către altă persoană juridică;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b) contopirea titularului cu altă persoană juridică;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c) divizarea totală a titularului;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d) divizarea parțială a titularului;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e) transformarea titularului;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f) vânzarea de către titular a activelor corespunzătoare activității miniere. </w:t>
            </w:r>
          </w:p>
          <w:p>
            <w:pPr>
              <w:widowControl/>
              <w:snapToGrid w:val="0"/>
              <w:jc w:val="both"/>
              <w:rPr>
                <w:rFonts w:ascii="Times New Roman" w:hAnsi="Times New Roman" w:eastAsia="Times New Roman"/>
                <w:b/>
                <w:bCs/>
                <w:sz w:val="24"/>
                <w:szCs w:val="24"/>
              </w:rPr>
            </w:pP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(4) În cazurile prevăzute la alin. (3), drepturile dobândite și obligațiile asumate prin licența de concesiune în curs de aprobare în vederea intrării în vigoare pot fi transferate numai către succesorii titularului rezultați prin reorganizare în cazurile prevăzute la alin. (3) lit. a)-e) sau cumpărătorului activelor corespunzătoare activității miniere în cazul prevăzut la alin. (3) lit. f). </w:t>
            </w:r>
          </w:p>
          <w:p>
            <w:pPr>
              <w:widowControl/>
              <w:snapToGrid w:val="0"/>
              <w:jc w:val="both"/>
              <w:rPr>
                <w:rFonts w:ascii="Times New Roman" w:hAnsi="Times New Roman" w:eastAsia="Times New Roman"/>
                <w:b/>
                <w:bCs/>
                <w:sz w:val="24"/>
                <w:szCs w:val="24"/>
              </w:rPr>
            </w:pP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(5) În vederea aprobării transferului prevăzut la alin.(3) lit. a)-e),  autoritatea competentă are în vedere solicitarea transmisă în acest sens de către succesorul titularului, actele  privind reorganizarea și actele constitutive ale succesorului titularului. </w:t>
            </w:r>
          </w:p>
          <w:p>
            <w:pPr>
              <w:widowControl/>
              <w:snapToGrid w:val="0"/>
              <w:jc w:val="both"/>
              <w:rPr>
                <w:rFonts w:ascii="Times New Roman" w:hAnsi="Times New Roman" w:eastAsia="Times New Roman"/>
                <w:b/>
                <w:bCs/>
                <w:sz w:val="24"/>
                <w:szCs w:val="24"/>
              </w:rPr>
            </w:pP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(6) În vederea aprobării transferului prevăzutla alin. (3) lit. f), autoritatea competentă are în vedere solicitarea transmisă în acest sens de către titular și cumpărătorul activelor corespunzătoare activității miniere, însoțită de contractul de vânzare-cumpărare a activelor corespunzătoare activității miniere, actele constitutive și actele privind capacitatea tehnică și financiară, ale cumpărătorului acestor active.</w:t>
            </w:r>
          </w:p>
          <w:p>
            <w:pPr>
              <w:widowControl/>
              <w:snapToGrid w:val="0"/>
              <w:jc w:val="both"/>
              <w:rPr>
                <w:rFonts w:ascii="Times New Roman" w:hAnsi="Times New Roman" w:eastAsia="Times New Roman"/>
                <w:b/>
                <w:bCs/>
                <w:sz w:val="24"/>
                <w:szCs w:val="24"/>
              </w:rPr>
            </w:pP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(7) În vederea aprobării transferului licenței prevăzut la alin. (3) lit. f), autoritatea competentă este îndreptățită să evalueze capacitatea tehnică și financiară a cumpărătorului activelor corespunzătoare activității miniere și să respingă transferul în cazul în care consideră că acesta nu are capacitatea tehnică sau financiară necesare executării obligațiilor convenite prin licență de concesiune. </w:t>
            </w:r>
          </w:p>
          <w:p>
            <w:pPr>
              <w:widowControl/>
              <w:snapToGrid w:val="0"/>
              <w:jc w:val="both"/>
              <w:rPr>
                <w:rFonts w:ascii="Times New Roman" w:hAnsi="Times New Roman" w:eastAsia="Times New Roman"/>
                <w:b/>
                <w:bCs/>
                <w:sz w:val="24"/>
                <w:szCs w:val="24"/>
              </w:rPr>
            </w:pP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(8) Licența de concesiune în curs de aprobare în vederea intrării în vigoare, transferată potrivit alin. (3), se semnează de către autoritatea competentă și persoana juridică succesoare titularului rezultată prin reorganizare, în cazurile prevăzute la alin. (3) lit. a)-e) sau cumpărătorul activelor corespunzătoare activității miniere în cazul prevăzut la alin. (3) lit. f), menținându-se condițiile concesiunii astfel cum sunt prevăzute în licență. </w:t>
            </w:r>
          </w:p>
          <w:p>
            <w:pPr>
              <w:widowControl/>
              <w:snapToGrid w:val="0"/>
              <w:jc w:val="both"/>
              <w:rPr>
                <w:rFonts w:ascii="Times New Roman" w:hAnsi="Times New Roman" w:eastAsia="Times New Roman"/>
                <w:b/>
                <w:bCs/>
                <w:sz w:val="24"/>
                <w:szCs w:val="24"/>
              </w:rPr>
            </w:pP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(9) Autoritatea competentă aprobă transferul prin ordin care se publică în Monitorul Oficial al României, Partea I. </w:t>
            </w:r>
          </w:p>
          <w:p>
            <w:pPr>
              <w:widowControl/>
              <w:snapToGrid w:val="0"/>
              <w:jc w:val="both"/>
              <w:rPr>
                <w:rFonts w:ascii="Times New Roman" w:hAnsi="Times New Roman" w:eastAsia="Times New Roman"/>
                <w:b/>
                <w:bCs/>
                <w:sz w:val="24"/>
                <w:szCs w:val="24"/>
              </w:rPr>
            </w:pPr>
          </w:p>
          <w:p>
            <w:pPr>
              <w:widowControl/>
              <w:snapToGrid w:val="0"/>
              <w:jc w:val="both"/>
              <w:rPr>
                <w:rFonts w:ascii="Times New Roman" w:hAnsi="Times New Roman" w:eastAsia="Times New Roman"/>
                <w:i/>
                <w:sz w:val="24"/>
                <w:szCs w:val="24"/>
              </w:rPr>
            </w:pPr>
            <w:r>
              <w:rPr>
                <w:rFonts w:ascii="Times New Roman" w:hAnsi="Times New Roman" w:eastAsia="Times New Roman"/>
                <w:b/>
                <w:bCs/>
                <w:sz w:val="24"/>
                <w:szCs w:val="24"/>
              </w:rPr>
              <w:t>(10) Licența de dare în administrare nu este transferabilă.”</w:t>
            </w:r>
          </w:p>
          <w:p>
            <w:pPr>
              <w:widowControl/>
              <w:snapToGrid w:val="0"/>
              <w:jc w:val="both"/>
              <w:rPr>
                <w:rFonts w:ascii="Times New Roman" w:hAnsi="Times New Roman"/>
                <w:i/>
                <w:sz w:val="24"/>
                <w:szCs w:val="24"/>
              </w:rPr>
            </w:pPr>
            <w:r>
              <w:rPr>
                <w:rFonts w:ascii="Times New Roman" w:hAnsi="Times New Roman"/>
                <w:i/>
                <w:sz w:val="24"/>
                <w:szCs w:val="24"/>
              </w:rPr>
              <w:t>Autori: Comisia pentru industrii și servicii</w:t>
            </w:r>
          </w:p>
          <w:p>
            <w:pPr>
              <w:widowControl/>
              <w:snapToGrid w:val="0"/>
              <w:jc w:val="both"/>
              <w:rPr>
                <w:rFonts w:ascii="Times New Roman" w:hAnsi="Times New Roman"/>
                <w:i/>
                <w:sz w:val="24"/>
                <w:szCs w:val="24"/>
              </w:rPr>
            </w:pPr>
            <w:r>
              <w:rPr>
                <w:rFonts w:ascii="Times New Roman" w:hAnsi="Times New Roman"/>
                <w:i/>
                <w:sz w:val="24"/>
                <w:szCs w:val="24"/>
              </w:rPr>
              <w:t xml:space="preserve">Comisia pentru mediu și echilibru ecologic </w:t>
            </w:r>
          </w:p>
        </w:tc>
        <w:tc>
          <w:tcPr>
            <w:tcW w:w="2040" w:type="dxa"/>
          </w:tcPr>
          <w:p>
            <w:pPr>
              <w:jc w:val="both"/>
              <w:rPr>
                <w:rFonts w:ascii="Times New Roman" w:hAnsi="Times New Roman"/>
                <w:sz w:val="24"/>
                <w:szCs w:val="24"/>
              </w:rPr>
            </w:pPr>
            <w:r>
              <w:rPr>
                <w:rFonts w:ascii="Times New Roman" w:hAnsi="Times New Roman"/>
                <w:sz w:val="24"/>
                <w:szCs w:val="24"/>
              </w:rPr>
              <w:t>Pentru simplificarea și clarificarea procedurilor administrative</w:t>
            </w: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widowControl/>
              <w:shd w:val="clear" w:color="auto" w:fill="FFFFFF"/>
              <w:jc w:val="both"/>
              <w:rPr>
                <w:rFonts w:ascii="Times New Roman" w:hAnsi="Times New Roman"/>
                <w:b/>
                <w:sz w:val="24"/>
                <w:szCs w:val="24"/>
                <w:shd w:val="clear" w:color="auto" w:fill="FFFFFF"/>
              </w:rPr>
            </w:pPr>
            <w:r>
              <w:rPr>
                <w:rFonts w:ascii="Times New Roman" w:hAnsi="Times New Roman"/>
                <w:b/>
                <w:sz w:val="24"/>
                <w:szCs w:val="24"/>
                <w:shd w:val="clear" w:color="auto" w:fill="FFFFFF"/>
              </w:rPr>
              <w:t>Art. 34</w:t>
            </w:r>
          </w:p>
          <w:p>
            <w:pPr>
              <w:widowControl/>
              <w:shd w:val="clear" w:color="auto" w:fill="FFFFFF"/>
              <w:jc w:val="both"/>
              <w:rPr>
                <w:rFonts w:ascii="Times New Roman" w:hAnsi="Times New Roman"/>
                <w:b/>
                <w:bCs/>
                <w:sz w:val="24"/>
                <w:szCs w:val="24"/>
                <w:shd w:val="clear" w:color="auto" w:fill="FFFFFF"/>
              </w:rPr>
            </w:pPr>
            <w:r>
              <w:rPr>
                <w:rFonts w:ascii="Times New Roman" w:hAnsi="Times New Roman"/>
                <w:bCs/>
                <w:sz w:val="24"/>
                <w:szCs w:val="24"/>
                <w:shd w:val="clear" w:color="auto" w:fill="FFFFFF"/>
              </w:rPr>
              <w:t xml:space="preserve"> (...)</w:t>
            </w:r>
          </w:p>
          <w:p>
            <w:pPr>
              <w:widowControl/>
              <w:shd w:val="clear" w:color="auto" w:fill="FFFFFF"/>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 xml:space="preserve">g)titularul nu achită în termen de 6 luni de la data exigibilităţii taxele şi redevenţele miniere </w:t>
            </w:r>
            <w:r>
              <w:rPr>
                <w:rFonts w:ascii="Times New Roman" w:hAnsi="Times New Roman"/>
                <w:b/>
                <w:sz w:val="24"/>
                <w:szCs w:val="24"/>
                <w:shd w:val="clear" w:color="auto" w:fill="FFFFFF"/>
              </w:rPr>
              <w:t>datorate statului;</w:t>
            </w:r>
          </w:p>
        </w:tc>
        <w:tc>
          <w:tcPr>
            <w:tcW w:w="3009" w:type="dxa"/>
          </w:tcPr>
          <w:p>
            <w:pPr>
              <w:jc w:val="both"/>
              <w:rPr>
                <w:rFonts w:ascii="Times New Roman" w:hAnsi="Times New Roman"/>
                <w:b/>
                <w:sz w:val="24"/>
                <w:szCs w:val="24"/>
              </w:rPr>
            </w:pPr>
          </w:p>
        </w:tc>
        <w:tc>
          <w:tcPr>
            <w:tcW w:w="4992" w:type="dxa"/>
          </w:tcPr>
          <w:p>
            <w:pPr>
              <w:widowControl/>
              <w:jc w:val="both"/>
              <w:rPr>
                <w:rFonts w:ascii="Times New Roman" w:hAnsi="Times New Roman" w:eastAsia="Times New Roman"/>
                <w:b/>
                <w:sz w:val="24"/>
                <w:szCs w:val="24"/>
              </w:rPr>
            </w:pPr>
            <w:r>
              <w:rPr>
                <w:rFonts w:ascii="Times New Roman" w:hAnsi="Times New Roman" w:eastAsia="Times New Roman"/>
                <w:b/>
                <w:sz w:val="24"/>
                <w:szCs w:val="24"/>
              </w:rPr>
              <w:t xml:space="preserve">11. La articolului 34, litera g)  se modifică și va avea următorul cuprins: </w:t>
            </w:r>
          </w:p>
          <w:p>
            <w:pPr>
              <w:widowControl/>
              <w:jc w:val="both"/>
              <w:rPr>
                <w:rFonts w:ascii="Times New Roman" w:hAnsi="Times New Roman" w:eastAsia="Times New Roman"/>
                <w:b/>
                <w:sz w:val="24"/>
                <w:szCs w:val="24"/>
              </w:rPr>
            </w:pPr>
            <w:r>
              <w:rPr>
                <w:rFonts w:ascii="Times New Roman" w:hAnsi="Times New Roman" w:eastAsia="Times New Roman"/>
                <w:sz w:val="24"/>
                <w:szCs w:val="24"/>
              </w:rPr>
              <w:t xml:space="preserve">„g) </w:t>
            </w:r>
            <w:r>
              <w:rPr>
                <w:rFonts w:ascii="Times New Roman" w:hAnsi="Times New Roman" w:eastAsia="Times New Roman"/>
                <w:bCs/>
                <w:sz w:val="24"/>
                <w:szCs w:val="24"/>
              </w:rPr>
              <w:t>titularul nu achită în termen de 6 luni de la data exigibilității taxele şi redevențele miniere</w:t>
            </w:r>
            <w:r>
              <w:rPr>
                <w:rFonts w:ascii="Times New Roman" w:hAnsi="Times New Roman" w:eastAsia="Times New Roman"/>
                <w:b/>
                <w:sz w:val="24"/>
                <w:szCs w:val="24"/>
              </w:rPr>
              <w:t xml:space="preserve"> datorate conform legii;” </w:t>
            </w:r>
          </w:p>
          <w:p>
            <w:pPr>
              <w:widowControl/>
              <w:snapToGrid w:val="0"/>
              <w:jc w:val="both"/>
              <w:rPr>
                <w:rFonts w:ascii="Times New Roman" w:hAnsi="Times New Roman"/>
                <w:i/>
                <w:sz w:val="24"/>
                <w:szCs w:val="24"/>
              </w:rPr>
            </w:pPr>
            <w:r>
              <w:rPr>
                <w:rFonts w:ascii="Times New Roman" w:hAnsi="Times New Roman"/>
                <w:i/>
                <w:sz w:val="24"/>
                <w:szCs w:val="24"/>
              </w:rPr>
              <w:t>Autori: Comisia pentru industrii și servicii</w:t>
            </w:r>
          </w:p>
          <w:p>
            <w:pPr>
              <w:widowControl/>
              <w:snapToGrid w:val="0"/>
              <w:jc w:val="both"/>
              <w:rPr>
                <w:rFonts w:ascii="Times New Roman" w:hAnsi="Times New Roman"/>
                <w:i/>
                <w:sz w:val="24"/>
                <w:szCs w:val="24"/>
              </w:rPr>
            </w:pPr>
            <w:r>
              <w:rPr>
                <w:rFonts w:ascii="Times New Roman" w:hAnsi="Times New Roman"/>
                <w:i/>
                <w:sz w:val="24"/>
                <w:szCs w:val="24"/>
              </w:rPr>
              <w:t xml:space="preserve">Comisia pentru mediu și echilibru ecologic </w:t>
            </w:r>
          </w:p>
        </w:tc>
        <w:tc>
          <w:tcPr>
            <w:tcW w:w="2040" w:type="dxa"/>
          </w:tcPr>
          <w:p>
            <w:pPr>
              <w:spacing w:line="360" w:lineRule="auto"/>
              <w:jc w:val="both"/>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jc w:val="both"/>
              <w:rPr>
                <w:rFonts w:ascii="Times New Roman" w:hAnsi="Times New Roman"/>
                <w:sz w:val="24"/>
                <w:szCs w:val="24"/>
              </w:rPr>
            </w:pPr>
          </w:p>
        </w:tc>
        <w:tc>
          <w:tcPr>
            <w:tcW w:w="3009" w:type="dxa"/>
          </w:tcPr>
          <w:p>
            <w:pPr>
              <w:jc w:val="both"/>
              <w:rPr>
                <w:rFonts w:ascii="Times New Roman" w:hAnsi="Times New Roman"/>
                <w:sz w:val="24"/>
                <w:szCs w:val="24"/>
              </w:rPr>
            </w:pPr>
          </w:p>
        </w:tc>
        <w:tc>
          <w:tcPr>
            <w:tcW w:w="4992" w:type="dxa"/>
          </w:tcPr>
          <w:p>
            <w:pPr>
              <w:jc w:val="both"/>
              <w:rPr>
                <w:rFonts w:ascii="Times New Roman" w:hAnsi="Times New Roman"/>
                <w:b/>
                <w:sz w:val="24"/>
                <w:szCs w:val="24"/>
              </w:rPr>
            </w:pPr>
            <w:r>
              <w:rPr>
                <w:rFonts w:ascii="Times New Roman" w:hAnsi="Times New Roman"/>
                <w:b/>
                <w:sz w:val="24"/>
                <w:szCs w:val="24"/>
              </w:rPr>
              <w:t>12. La articolul 38, după litera h) se introduce o nouă literă, litera i), cu următorul cuprins:</w:t>
            </w:r>
          </w:p>
          <w:p>
            <w:pPr>
              <w:jc w:val="both"/>
              <w:rPr>
                <w:rFonts w:ascii="Times New Roman" w:hAnsi="Times New Roman"/>
                <w:b/>
                <w:sz w:val="24"/>
                <w:szCs w:val="24"/>
              </w:rPr>
            </w:pPr>
            <w:r>
              <w:rPr>
                <w:rFonts w:ascii="Times New Roman" w:hAnsi="Times New Roman"/>
                <w:b/>
                <w:sz w:val="24"/>
                <w:szCs w:val="24"/>
              </w:rPr>
              <w:t xml:space="preserve">„i) să amenajeze și să utilizeze golurile miniere, cu aprobarea autorității competente.” </w:t>
            </w:r>
          </w:p>
          <w:p>
            <w:pPr>
              <w:jc w:val="both"/>
              <w:rPr>
                <w:rFonts w:ascii="Times New Roman" w:hAnsi="Times New Roman"/>
                <w:i/>
                <w:sz w:val="24"/>
                <w:szCs w:val="24"/>
              </w:rPr>
            </w:pPr>
            <w:r>
              <w:rPr>
                <w:rFonts w:ascii="Times New Roman" w:hAnsi="Times New Roman"/>
                <w:i/>
                <w:sz w:val="24"/>
                <w:szCs w:val="24"/>
              </w:rPr>
              <w:t xml:space="preserve">Autori: Comisia pentru industrii și servicii, Comisia pentru mediu </w:t>
            </w:r>
            <w:r>
              <w:rPr>
                <w:rFonts w:ascii="Times New Roman" w:hAnsi="Times New Roman"/>
                <w:i/>
                <w:sz w:val="24"/>
                <w:szCs w:val="24"/>
                <w:lang w:val="en-GB"/>
              </w:rPr>
              <w:t>și</w:t>
            </w:r>
            <w:r>
              <w:rPr>
                <w:rFonts w:ascii="Times New Roman" w:hAnsi="Times New Roman"/>
                <w:i/>
                <w:sz w:val="24"/>
                <w:szCs w:val="24"/>
              </w:rPr>
              <w:t xml:space="preserve"> echilibru ecologic </w:t>
            </w:r>
          </w:p>
          <w:p>
            <w:pPr>
              <w:jc w:val="both"/>
              <w:rPr>
                <w:rFonts w:ascii="Times New Roman" w:hAnsi="Times New Roman"/>
                <w:i/>
                <w:sz w:val="24"/>
                <w:szCs w:val="24"/>
              </w:rPr>
            </w:pPr>
          </w:p>
        </w:tc>
        <w:tc>
          <w:tcPr>
            <w:tcW w:w="2040" w:type="dxa"/>
          </w:tcPr>
          <w:p>
            <w:pPr>
              <w:jc w:val="both"/>
              <w:rPr>
                <w:rFonts w:ascii="Times New Roman" w:hAnsi="Times New Roman"/>
                <w:sz w:val="16"/>
                <w:szCs w:val="16"/>
              </w:rPr>
            </w:pPr>
            <w:r>
              <w:rPr>
                <w:rFonts w:ascii="Times New Roman" w:hAnsi="Times New Roman"/>
                <w:sz w:val="16"/>
                <w:szCs w:val="16"/>
              </w:rPr>
              <w:t xml:space="preserve">Instituie posibilitatea dezvoltării și valorificării fostelor saline în care exploatarea a fost sistată, la care pot fi utilizate din punct de vedere turistic sau medical golurile miniere rezultate in urma exploatarii, precum și realizarea unor economii de cca. 13 milioane lei/an la bugetul de stat  prin reducerea cheltuielilor pentru operarea stațiilor de tratare a apelor ce debitează natural din perimetrele miniere închise și care trebuie monitorizate post închidere pe perioade de maximum 30 de ani.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widowControl/>
              <w:shd w:val="clear" w:color="auto" w:fill="FFFFFF"/>
              <w:jc w:val="both"/>
              <w:rPr>
                <w:rFonts w:ascii="Times New Roman" w:hAnsi="Times New Roman"/>
                <w:b/>
                <w:sz w:val="24"/>
                <w:szCs w:val="24"/>
                <w:shd w:val="clear" w:color="auto" w:fill="FFFFFF"/>
              </w:rPr>
            </w:pPr>
            <w:r>
              <w:rPr>
                <w:rFonts w:ascii="Times New Roman" w:hAnsi="Times New Roman"/>
                <w:b/>
                <w:sz w:val="24"/>
                <w:szCs w:val="24"/>
                <w:shd w:val="clear" w:color="auto" w:fill="FFFFFF"/>
              </w:rPr>
              <w:t>Art. 39</w:t>
            </w:r>
          </w:p>
          <w:p>
            <w:pPr>
              <w:widowControl/>
              <w:shd w:val="clear" w:color="auto" w:fill="FFFFFF"/>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w:t>
            </w:r>
          </w:p>
          <w:p>
            <w:pPr>
              <w:widowControl/>
              <w:shd w:val="clear" w:color="auto" w:fill="FFFFFF"/>
              <w:jc w:val="both"/>
              <w:rPr>
                <w:rFonts w:ascii="Times New Roman" w:hAnsi="Times New Roman"/>
                <w:b/>
                <w:sz w:val="24"/>
                <w:szCs w:val="24"/>
                <w:shd w:val="clear" w:color="auto" w:fill="FFFFFF"/>
              </w:rPr>
            </w:pPr>
            <w:r>
              <w:rPr>
                <w:rFonts w:ascii="Times New Roman" w:hAnsi="Times New Roman"/>
                <w:bCs/>
                <w:sz w:val="24"/>
                <w:szCs w:val="24"/>
                <w:shd w:val="clear" w:color="auto" w:fill="FFFFFF"/>
              </w:rPr>
              <w:t xml:space="preserve">q) să suporte cheltuielile aferente transferului de tehnologie și perfecționării profesionale, prevăzute în licență. </w:t>
            </w:r>
            <w:r>
              <w:rPr>
                <w:rFonts w:ascii="Times New Roman" w:hAnsi="Times New Roman"/>
                <w:b/>
                <w:sz w:val="24"/>
                <w:szCs w:val="24"/>
                <w:shd w:val="clear" w:color="auto" w:fill="FFFFFF"/>
              </w:rPr>
              <w:t>Sumele respective vor fi virate într-un cont separat al autorității competente, deschis în acest scop, şi vor fi evidențiate ca atare;</w:t>
            </w:r>
          </w:p>
        </w:tc>
        <w:tc>
          <w:tcPr>
            <w:tcW w:w="3009" w:type="dxa"/>
          </w:tcPr>
          <w:p>
            <w:pPr>
              <w:jc w:val="both"/>
              <w:rPr>
                <w:rFonts w:ascii="Times New Roman" w:hAnsi="Times New Roman"/>
                <w:b/>
                <w:sz w:val="24"/>
                <w:szCs w:val="24"/>
              </w:rPr>
            </w:pPr>
          </w:p>
        </w:tc>
        <w:tc>
          <w:tcPr>
            <w:tcW w:w="4992" w:type="dxa"/>
          </w:tcPr>
          <w:p>
            <w:pPr>
              <w:widowControl/>
              <w:jc w:val="both"/>
              <w:rPr>
                <w:rFonts w:ascii="Times New Roman" w:hAnsi="Times New Roman" w:eastAsia="Times New Roman"/>
                <w:b/>
                <w:sz w:val="24"/>
                <w:szCs w:val="24"/>
              </w:rPr>
            </w:pPr>
            <w:r>
              <w:rPr>
                <w:rFonts w:ascii="Times New Roman" w:hAnsi="Times New Roman" w:eastAsia="Times New Roman"/>
                <w:b/>
                <w:sz w:val="24"/>
                <w:szCs w:val="24"/>
              </w:rPr>
              <w:t xml:space="preserve">13. La articolul 39 alineatul (1), litera q) se modifică și va avea următorul cuprins: </w:t>
            </w:r>
          </w:p>
          <w:p>
            <w:pPr>
              <w:widowControl/>
              <w:jc w:val="both"/>
              <w:rPr>
                <w:rFonts w:ascii="Times New Roman" w:hAnsi="Times New Roman" w:eastAsia="Times New Roman"/>
                <w:b/>
                <w:sz w:val="24"/>
                <w:szCs w:val="24"/>
              </w:rPr>
            </w:pPr>
            <w:r>
              <w:rPr>
                <w:rFonts w:ascii="Times New Roman" w:hAnsi="Times New Roman" w:eastAsia="Times New Roman"/>
                <w:sz w:val="24"/>
                <w:szCs w:val="24"/>
              </w:rPr>
              <w:t>„q) să suporte cheltuielile aferente transferului de tehnologie şi perfecționării profesionale, prevăzute în licență</w:t>
            </w:r>
            <w:r>
              <w:rPr>
                <w:rFonts w:ascii="Times New Roman" w:hAnsi="Times New Roman" w:eastAsia="Times New Roman"/>
                <w:b/>
                <w:sz w:val="24"/>
                <w:szCs w:val="24"/>
              </w:rPr>
              <w:t xml:space="preserve">;”  </w:t>
            </w:r>
          </w:p>
          <w:p>
            <w:pPr>
              <w:widowControl/>
              <w:snapToGrid w:val="0"/>
              <w:jc w:val="both"/>
              <w:rPr>
                <w:rFonts w:ascii="Times New Roman" w:hAnsi="Times New Roman"/>
                <w:i/>
                <w:sz w:val="24"/>
                <w:szCs w:val="24"/>
              </w:rPr>
            </w:pPr>
            <w:r>
              <w:rPr>
                <w:rFonts w:ascii="Times New Roman" w:hAnsi="Times New Roman"/>
                <w:i/>
                <w:sz w:val="24"/>
                <w:szCs w:val="24"/>
              </w:rPr>
              <w:t>Autori: Comisia pentru industrii și servicii</w:t>
            </w:r>
          </w:p>
          <w:p>
            <w:pPr>
              <w:widowControl/>
              <w:snapToGrid w:val="0"/>
              <w:jc w:val="both"/>
              <w:rPr>
                <w:rFonts w:ascii="Times New Roman" w:hAnsi="Times New Roman"/>
                <w:i/>
                <w:sz w:val="24"/>
                <w:szCs w:val="24"/>
              </w:rPr>
            </w:pPr>
            <w:r>
              <w:rPr>
                <w:rFonts w:ascii="Times New Roman" w:hAnsi="Times New Roman"/>
                <w:i/>
                <w:sz w:val="24"/>
                <w:szCs w:val="24"/>
              </w:rPr>
              <w:t xml:space="preserve">Comisia pentru mediu și echilibru ecologic </w:t>
            </w:r>
          </w:p>
        </w:tc>
        <w:tc>
          <w:tcPr>
            <w:tcW w:w="2040" w:type="dxa"/>
          </w:tcPr>
          <w:p>
            <w:pPr>
              <w:jc w:val="both"/>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widowControl/>
              <w:shd w:val="clear" w:color="auto" w:fill="FFFFFF"/>
              <w:jc w:val="both"/>
              <w:rPr>
                <w:rFonts w:ascii="Times New Roman" w:hAnsi="Times New Roman"/>
                <w:bCs/>
                <w:sz w:val="24"/>
                <w:szCs w:val="24"/>
                <w:shd w:val="clear" w:color="auto" w:fill="FFFFFF"/>
              </w:rPr>
            </w:pPr>
          </w:p>
          <w:p>
            <w:pPr>
              <w:widowControl/>
              <w:shd w:val="clear" w:color="auto" w:fill="FFFFFF"/>
              <w:jc w:val="both"/>
              <w:rPr>
                <w:rFonts w:ascii="Times New Roman" w:hAnsi="Times New Roman"/>
                <w:bCs/>
                <w:sz w:val="24"/>
                <w:szCs w:val="24"/>
                <w:shd w:val="clear" w:color="auto" w:fill="FFFFFF"/>
              </w:rPr>
            </w:pPr>
          </w:p>
          <w:p>
            <w:pPr>
              <w:widowControl/>
              <w:shd w:val="clear" w:color="auto" w:fill="FFFFFF"/>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Art. 44  - (1) Titularii licențelor/permiselor sunt obligați la plata către bugetul de stat a unei taxe pentru activitatea de prospecțiune, explorare şi exploatare a resurselor minerale, precum şi a unei redevențe miniere.</w:t>
            </w:r>
          </w:p>
        </w:tc>
        <w:tc>
          <w:tcPr>
            <w:tcW w:w="3009" w:type="dxa"/>
          </w:tcPr>
          <w:p>
            <w:pPr>
              <w:jc w:val="both"/>
              <w:rPr>
                <w:rFonts w:ascii="Times New Roman" w:hAnsi="Times New Roman"/>
                <w:bCs/>
                <w:sz w:val="24"/>
                <w:szCs w:val="24"/>
              </w:rPr>
            </w:pPr>
          </w:p>
        </w:tc>
        <w:tc>
          <w:tcPr>
            <w:tcW w:w="4992" w:type="dxa"/>
          </w:tcPr>
          <w:p>
            <w:pPr>
              <w:widowControl/>
              <w:jc w:val="both"/>
              <w:rPr>
                <w:rFonts w:ascii="Times New Roman" w:hAnsi="Times New Roman" w:eastAsia="Times New Roman"/>
                <w:b/>
                <w:sz w:val="24"/>
                <w:szCs w:val="24"/>
              </w:rPr>
            </w:pPr>
            <w:r>
              <w:rPr>
                <w:rFonts w:ascii="Times New Roman" w:hAnsi="Times New Roman" w:eastAsia="Times New Roman"/>
                <w:b/>
                <w:sz w:val="24"/>
                <w:szCs w:val="24"/>
              </w:rPr>
              <w:t xml:space="preserve">14. La articolul 44, alineatul (1) se modifică și va avea următorul cuprins: </w:t>
            </w:r>
          </w:p>
          <w:p>
            <w:pPr>
              <w:widowControl/>
              <w:jc w:val="both"/>
              <w:rPr>
                <w:rFonts w:ascii="Times New Roman" w:hAnsi="Times New Roman" w:eastAsia="Times New Roman"/>
                <w:bCs/>
                <w:sz w:val="24"/>
                <w:szCs w:val="24"/>
              </w:rPr>
            </w:pPr>
            <w:r>
              <w:rPr>
                <w:rFonts w:ascii="Times New Roman" w:hAnsi="Times New Roman" w:eastAsia="Times New Roman"/>
                <w:bCs/>
                <w:sz w:val="24"/>
                <w:szCs w:val="24"/>
              </w:rPr>
              <w:t>„</w:t>
            </w:r>
            <w:r>
              <w:rPr>
                <w:rFonts w:ascii="Times New Roman" w:hAnsi="Times New Roman" w:eastAsia="Times New Roman"/>
                <w:sz w:val="24"/>
                <w:szCs w:val="24"/>
              </w:rPr>
              <w:t>Art. 44.</w:t>
            </w:r>
            <w:r>
              <w:rPr>
                <w:rFonts w:ascii="Times New Roman" w:hAnsi="Times New Roman" w:eastAsia="Times New Roman"/>
                <w:b/>
                <w:sz w:val="24"/>
                <w:szCs w:val="24"/>
              </w:rPr>
              <w:t xml:space="preserve"> - </w:t>
            </w:r>
            <w:r>
              <w:rPr>
                <w:rFonts w:ascii="Times New Roman" w:hAnsi="Times New Roman" w:eastAsia="Times New Roman"/>
                <w:sz w:val="24"/>
                <w:szCs w:val="24"/>
              </w:rPr>
              <w:t>(1)</w:t>
            </w:r>
            <w:r>
              <w:rPr>
                <w:rFonts w:ascii="Times New Roman" w:hAnsi="Times New Roman" w:eastAsia="Times New Roman"/>
                <w:bCs/>
                <w:sz w:val="24"/>
                <w:szCs w:val="24"/>
              </w:rPr>
              <w:t xml:space="preserve"> Titularii licențelor/permiselor sunt obligați la plata către bugetul de stat a unei taxe pentru activitatea de prospecțiune, explorare şi exploatare a resurselor minerale, precum </w:t>
            </w:r>
            <w:r>
              <w:rPr>
                <w:rFonts w:ascii="Times New Roman" w:hAnsi="Times New Roman" w:eastAsia="Times New Roman"/>
                <w:b/>
                <w:bCs/>
                <w:sz w:val="24"/>
                <w:szCs w:val="24"/>
              </w:rPr>
              <w:t xml:space="preserve">şi la plata, </w:t>
            </w:r>
            <w:r>
              <w:rPr>
                <w:rFonts w:ascii="Times New Roman" w:hAnsi="Times New Roman" w:eastAsia="Times New Roman"/>
                <w:b/>
                <w:sz w:val="24"/>
                <w:szCs w:val="24"/>
              </w:rPr>
              <w:t>conform legii</w:t>
            </w:r>
            <w:r>
              <w:rPr>
                <w:rFonts w:ascii="Times New Roman" w:hAnsi="Times New Roman" w:eastAsia="Times New Roman"/>
                <w:bCs/>
                <w:sz w:val="24"/>
                <w:szCs w:val="24"/>
              </w:rPr>
              <w:t xml:space="preserve">, a unei redevențe miniere.” </w:t>
            </w:r>
          </w:p>
          <w:p>
            <w:pPr>
              <w:widowControl/>
              <w:snapToGrid w:val="0"/>
              <w:jc w:val="both"/>
              <w:rPr>
                <w:rFonts w:ascii="Times New Roman" w:hAnsi="Times New Roman" w:eastAsia="Times New Roman"/>
                <w:i/>
                <w:sz w:val="24"/>
                <w:szCs w:val="24"/>
              </w:rPr>
            </w:pPr>
            <w:r>
              <w:rPr>
                <w:rFonts w:ascii="Times New Roman" w:hAnsi="Times New Roman" w:eastAsia="Times New Roman"/>
                <w:i/>
                <w:sz w:val="24"/>
                <w:szCs w:val="24"/>
              </w:rPr>
              <w:t>Autori Comisia pentru industrii și servicii</w:t>
            </w:r>
          </w:p>
          <w:p>
            <w:pPr>
              <w:widowControl/>
              <w:snapToGrid w:val="0"/>
              <w:jc w:val="both"/>
              <w:rPr>
                <w:rFonts w:ascii="Times New Roman" w:hAnsi="Times New Roman" w:eastAsia="Times New Roman"/>
                <w:i/>
                <w:sz w:val="24"/>
                <w:szCs w:val="24"/>
              </w:rPr>
            </w:pPr>
            <w:r>
              <w:rPr>
                <w:rFonts w:ascii="Times New Roman" w:hAnsi="Times New Roman"/>
                <w:i/>
                <w:sz w:val="24"/>
                <w:szCs w:val="24"/>
              </w:rPr>
              <w:t xml:space="preserve">Comisia pentru mediu și echilibru ecologic </w:t>
            </w:r>
          </w:p>
        </w:tc>
        <w:tc>
          <w:tcPr>
            <w:tcW w:w="2040" w:type="dxa"/>
          </w:tcPr>
          <w:p>
            <w:pPr>
              <w:jc w:val="both"/>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widowControl/>
              <w:shd w:val="clear" w:color="auto" w:fill="FFFFFF"/>
              <w:jc w:val="both"/>
              <w:rPr>
                <w:rFonts w:ascii="Times New Roman" w:hAnsi="Times New Roman"/>
                <w:bCs/>
                <w:sz w:val="24"/>
                <w:szCs w:val="24"/>
                <w:shd w:val="clear" w:color="auto" w:fill="FFFFFF"/>
              </w:rPr>
            </w:pPr>
          </w:p>
          <w:p>
            <w:pPr>
              <w:widowControl/>
              <w:shd w:val="clear" w:color="auto" w:fill="FFFFFF"/>
              <w:jc w:val="both"/>
              <w:rPr>
                <w:rFonts w:ascii="Times New Roman" w:hAnsi="Times New Roman"/>
                <w:bCs/>
                <w:sz w:val="24"/>
                <w:szCs w:val="24"/>
                <w:shd w:val="clear" w:color="auto" w:fill="FFFFFF"/>
              </w:rPr>
            </w:pPr>
          </w:p>
          <w:p>
            <w:pPr>
              <w:widowControl/>
              <w:shd w:val="clear" w:color="auto" w:fill="FFFFFF"/>
              <w:jc w:val="both"/>
              <w:rPr>
                <w:rFonts w:ascii="Times New Roman" w:hAnsi="Times New Roman"/>
                <w:bCs/>
                <w:sz w:val="24"/>
                <w:szCs w:val="24"/>
                <w:shd w:val="clear" w:color="auto" w:fill="FFFFFF"/>
              </w:rPr>
            </w:pPr>
          </w:p>
          <w:p>
            <w:pPr>
              <w:widowControl/>
              <w:shd w:val="clear" w:color="auto" w:fill="FFFFFF"/>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 xml:space="preserve">Art. 45 - (1) Redevență minieră </w:t>
            </w:r>
            <w:r>
              <w:rPr>
                <w:rFonts w:ascii="Times New Roman" w:hAnsi="Times New Roman"/>
                <w:b/>
                <w:sz w:val="24"/>
                <w:szCs w:val="24"/>
                <w:shd w:val="clear" w:color="auto" w:fill="FFFFFF"/>
              </w:rPr>
              <w:t>cuvenită bugetului de stat</w:t>
            </w:r>
            <w:r>
              <w:rPr>
                <w:rFonts w:ascii="Times New Roman" w:hAnsi="Times New Roman"/>
                <w:bCs/>
                <w:sz w:val="24"/>
                <w:szCs w:val="24"/>
                <w:shd w:val="clear" w:color="auto" w:fill="FFFFFF"/>
              </w:rPr>
              <w:t xml:space="preserve"> se stabilește, la încheierea licenței ori la eliberarea permisului de exploatare, după cum urmează:</w:t>
            </w:r>
          </w:p>
          <w:p>
            <w:pPr>
              <w:widowControl/>
              <w:shd w:val="clear" w:color="auto" w:fill="FFFFFF"/>
              <w:jc w:val="both"/>
              <w:rPr>
                <w:rFonts w:ascii="Times New Roman" w:hAnsi="Times New Roman"/>
                <w:bCs/>
                <w:sz w:val="24"/>
                <w:szCs w:val="24"/>
                <w:shd w:val="clear" w:color="auto" w:fill="FFFFFF"/>
              </w:rPr>
            </w:pPr>
          </w:p>
        </w:tc>
        <w:tc>
          <w:tcPr>
            <w:tcW w:w="3009" w:type="dxa"/>
          </w:tcPr>
          <w:p>
            <w:pPr>
              <w:spacing w:line="360" w:lineRule="auto"/>
              <w:jc w:val="both"/>
              <w:rPr>
                <w:rFonts w:ascii="Times New Roman" w:hAnsi="Times New Roman"/>
                <w:bCs/>
                <w:sz w:val="24"/>
                <w:szCs w:val="24"/>
              </w:rPr>
            </w:pPr>
          </w:p>
        </w:tc>
        <w:tc>
          <w:tcPr>
            <w:tcW w:w="4992" w:type="dxa"/>
          </w:tcPr>
          <w:p>
            <w:pPr>
              <w:widowControl/>
              <w:jc w:val="both"/>
              <w:rPr>
                <w:rFonts w:ascii="Times New Roman" w:hAnsi="Times New Roman" w:eastAsia="Times New Roman"/>
                <w:b/>
                <w:sz w:val="24"/>
                <w:szCs w:val="24"/>
              </w:rPr>
            </w:pPr>
            <w:r>
              <w:rPr>
                <w:rFonts w:ascii="Times New Roman" w:hAnsi="Times New Roman" w:eastAsia="Times New Roman"/>
                <w:b/>
                <w:sz w:val="24"/>
                <w:szCs w:val="24"/>
              </w:rPr>
              <w:t xml:space="preserve">15. La articolului 45 partea introductivă a alineatului (1) se modifică și va avea următorul cuprins: </w:t>
            </w:r>
          </w:p>
          <w:p>
            <w:pPr>
              <w:widowControl/>
              <w:jc w:val="both"/>
              <w:rPr>
                <w:rFonts w:ascii="Times New Roman" w:hAnsi="Times New Roman" w:eastAsia="Times New Roman"/>
                <w:sz w:val="24"/>
                <w:szCs w:val="24"/>
              </w:rPr>
            </w:pPr>
            <w:r>
              <w:rPr>
                <w:rFonts w:ascii="Times New Roman" w:hAnsi="Times New Roman" w:eastAsia="Times New Roman"/>
                <w:sz w:val="24"/>
                <w:szCs w:val="24"/>
              </w:rPr>
              <w:t>„</w:t>
            </w:r>
            <w:r>
              <w:rPr>
                <w:rFonts w:ascii="Times New Roman" w:hAnsi="Times New Roman" w:eastAsia="Times New Roman"/>
                <w:bCs/>
                <w:sz w:val="24"/>
                <w:szCs w:val="24"/>
              </w:rPr>
              <w:t>Art. 45</w:t>
            </w:r>
            <w:r>
              <w:rPr>
                <w:rFonts w:ascii="Times New Roman" w:hAnsi="Times New Roman" w:eastAsia="Times New Roman"/>
                <w:sz w:val="24"/>
                <w:szCs w:val="24"/>
              </w:rPr>
              <w:t xml:space="preserve">. - </w:t>
            </w:r>
            <w:r>
              <w:rPr>
                <w:rFonts w:ascii="Times New Roman" w:hAnsi="Times New Roman" w:eastAsia="Times New Roman"/>
                <w:bCs/>
                <w:sz w:val="24"/>
                <w:szCs w:val="24"/>
              </w:rPr>
              <w:t>(1)</w:t>
            </w:r>
            <w:r>
              <w:rPr>
                <w:rFonts w:ascii="Times New Roman" w:hAnsi="Times New Roman" w:eastAsia="Times New Roman"/>
                <w:sz w:val="24"/>
                <w:szCs w:val="24"/>
              </w:rPr>
              <w:t xml:space="preserve"> Redevența minieră</w:t>
            </w:r>
            <w:r>
              <w:rPr>
                <w:rFonts w:ascii="Times New Roman" w:hAnsi="Times New Roman" w:eastAsia="Times New Roman"/>
                <w:b/>
                <w:bCs/>
                <w:sz w:val="24"/>
                <w:szCs w:val="24"/>
              </w:rPr>
              <w:t xml:space="preserve"> se stabilește, </w:t>
            </w:r>
            <w:r>
              <w:rPr>
                <w:rFonts w:ascii="Times New Roman" w:hAnsi="Times New Roman" w:eastAsia="Times New Roman"/>
                <w:sz w:val="24"/>
                <w:szCs w:val="24"/>
              </w:rPr>
              <w:t>la încheierea licenței ori la eliberarea permisului de exploatare, după cum urmează:”</w:t>
            </w:r>
          </w:p>
          <w:p>
            <w:pPr>
              <w:widowControl/>
              <w:snapToGrid w:val="0"/>
              <w:jc w:val="both"/>
              <w:rPr>
                <w:rFonts w:ascii="Times New Roman" w:hAnsi="Times New Roman" w:eastAsia="Times New Roman"/>
                <w:i/>
                <w:sz w:val="24"/>
                <w:szCs w:val="24"/>
              </w:rPr>
            </w:pPr>
            <w:r>
              <w:rPr>
                <w:rFonts w:ascii="Times New Roman" w:hAnsi="Times New Roman" w:eastAsia="Times New Roman"/>
                <w:i/>
                <w:sz w:val="24"/>
                <w:szCs w:val="24"/>
              </w:rPr>
              <w:t>Autori: Comisia pentru industrii și servicii</w:t>
            </w:r>
          </w:p>
          <w:p>
            <w:pPr>
              <w:widowControl/>
              <w:snapToGrid w:val="0"/>
              <w:jc w:val="both"/>
              <w:rPr>
                <w:rFonts w:ascii="Times New Roman" w:hAnsi="Times New Roman" w:eastAsia="Times New Roman"/>
                <w:i/>
                <w:sz w:val="24"/>
                <w:szCs w:val="24"/>
              </w:rPr>
            </w:pPr>
            <w:r>
              <w:rPr>
                <w:rFonts w:ascii="Times New Roman" w:hAnsi="Times New Roman"/>
                <w:i/>
                <w:sz w:val="24"/>
                <w:szCs w:val="24"/>
              </w:rPr>
              <w:t xml:space="preserve">Comisia pentru mediu și echilibru ecologic </w:t>
            </w:r>
          </w:p>
        </w:tc>
        <w:tc>
          <w:tcPr>
            <w:tcW w:w="2040" w:type="dxa"/>
          </w:tcPr>
          <w:p>
            <w:pPr>
              <w:jc w:val="both"/>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r>
              <w:rPr>
                <w:rFonts w:ascii="Times New Roman" w:hAnsi="Times New Roman"/>
                <w:sz w:val="24"/>
                <w:szCs w:val="24"/>
              </w:rPr>
              <w:t xml:space="preserve">Art. 45 - </w:t>
            </w:r>
            <w:r>
              <w:rPr>
                <w:rFonts w:ascii="Times New Roman" w:hAnsi="Times New Roman"/>
                <w:bCs/>
                <w:sz w:val="24"/>
                <w:szCs w:val="24"/>
                <w:shd w:val="clear" w:color="auto" w:fill="FFFFFF"/>
              </w:rPr>
              <w:t xml:space="preserve">(2) Redevență minieră </w:t>
            </w:r>
            <w:r>
              <w:rPr>
                <w:rFonts w:ascii="Times New Roman" w:hAnsi="Times New Roman"/>
                <w:b/>
                <w:sz w:val="24"/>
                <w:szCs w:val="24"/>
                <w:shd w:val="clear" w:color="auto" w:fill="FFFFFF"/>
              </w:rPr>
              <w:t xml:space="preserve">cuvenită bugetului de stat </w:t>
            </w:r>
            <w:r>
              <w:rPr>
                <w:rFonts w:ascii="Times New Roman" w:hAnsi="Times New Roman"/>
                <w:sz w:val="24"/>
                <w:szCs w:val="24"/>
                <w:shd w:val="clear" w:color="auto" w:fill="FFFFFF"/>
              </w:rPr>
              <w:t>pentru ape minerale naturale</w:t>
            </w:r>
            <w:r>
              <w:rPr>
                <w:rFonts w:ascii="Times New Roman" w:hAnsi="Times New Roman"/>
                <w:bCs/>
                <w:sz w:val="24"/>
                <w:szCs w:val="24"/>
                <w:shd w:val="clear" w:color="auto" w:fill="FFFFFF"/>
              </w:rPr>
              <w:t>se stabilește la sursă, în echivalentul în lei a 4 euro /1.000 litri, la cursul Băncii Naționale a României de la data plății</w:t>
            </w:r>
          </w:p>
        </w:tc>
        <w:tc>
          <w:tcPr>
            <w:tcW w:w="3009" w:type="dxa"/>
          </w:tcPr>
          <w:p>
            <w:pPr>
              <w:jc w:val="both"/>
              <w:rPr>
                <w:rFonts w:ascii="Times New Roman" w:hAnsi="Times New Roman"/>
                <w:b/>
                <w:bCs/>
                <w:sz w:val="24"/>
                <w:szCs w:val="24"/>
              </w:rPr>
            </w:pPr>
          </w:p>
        </w:tc>
        <w:tc>
          <w:tcPr>
            <w:tcW w:w="4992" w:type="dxa"/>
          </w:tcPr>
          <w:p>
            <w:pPr>
              <w:widowControl/>
              <w:jc w:val="both"/>
              <w:rPr>
                <w:rFonts w:ascii="Times New Roman" w:hAnsi="Times New Roman" w:eastAsia="Times New Roman"/>
                <w:b/>
                <w:sz w:val="24"/>
                <w:szCs w:val="24"/>
              </w:rPr>
            </w:pPr>
            <w:r>
              <w:rPr>
                <w:rFonts w:ascii="Times New Roman" w:hAnsi="Times New Roman" w:eastAsia="Times New Roman"/>
                <w:b/>
                <w:sz w:val="24"/>
                <w:szCs w:val="24"/>
              </w:rPr>
              <w:t xml:space="preserve">16. La articolului 45, alineatul (2) se modifică și va avea următorul cuprins: </w:t>
            </w:r>
          </w:p>
          <w:p>
            <w:pPr>
              <w:widowControl/>
              <w:jc w:val="both"/>
              <w:rPr>
                <w:rFonts w:ascii="Times New Roman" w:hAnsi="Times New Roman" w:eastAsia="Times New Roman"/>
                <w:sz w:val="24"/>
                <w:szCs w:val="24"/>
              </w:rPr>
            </w:pPr>
            <w:r>
              <w:rPr>
                <w:rFonts w:ascii="Times New Roman" w:hAnsi="Times New Roman" w:eastAsia="Times New Roman"/>
                <w:sz w:val="24"/>
                <w:szCs w:val="24"/>
              </w:rPr>
              <w:t xml:space="preserve">„(2) </w:t>
            </w:r>
            <w:r>
              <w:rPr>
                <w:rFonts w:ascii="Times New Roman" w:hAnsi="Times New Roman" w:eastAsia="Times New Roman"/>
                <w:bCs/>
                <w:sz w:val="24"/>
                <w:szCs w:val="24"/>
              </w:rPr>
              <w:t xml:space="preserve">Redevența minieră pentru ape minerale naturale </w:t>
            </w:r>
            <w:r>
              <w:rPr>
                <w:rFonts w:ascii="Times New Roman" w:hAnsi="Times New Roman" w:eastAsia="Times New Roman"/>
                <w:sz w:val="24"/>
                <w:szCs w:val="24"/>
              </w:rPr>
              <w:t xml:space="preserve">se stabilește la sursă, în echivalentul în lei a 4 euro/1.000 litri, la cursul Băncii Naționale a României de la data plății.” </w:t>
            </w:r>
          </w:p>
          <w:p>
            <w:pPr>
              <w:jc w:val="both"/>
              <w:rPr>
                <w:rFonts w:ascii="Times New Roman" w:hAnsi="Times New Roman" w:eastAsia="Times New Roman"/>
                <w:i/>
                <w:sz w:val="24"/>
                <w:szCs w:val="24"/>
              </w:rPr>
            </w:pPr>
            <w:r>
              <w:rPr>
                <w:rFonts w:ascii="Times New Roman" w:hAnsi="Times New Roman" w:eastAsia="Times New Roman"/>
                <w:i/>
                <w:sz w:val="24"/>
                <w:szCs w:val="24"/>
              </w:rPr>
              <w:t>Autori: Comisia pentru industrii și servicii</w:t>
            </w:r>
          </w:p>
          <w:p>
            <w:pPr>
              <w:jc w:val="both"/>
              <w:rPr>
                <w:rFonts w:ascii="Times New Roman" w:hAnsi="Times New Roman" w:eastAsia="Times New Roman"/>
                <w:i/>
                <w:sz w:val="24"/>
                <w:szCs w:val="24"/>
              </w:rPr>
            </w:pPr>
            <w:r>
              <w:rPr>
                <w:rFonts w:ascii="Times New Roman" w:hAnsi="Times New Roman"/>
                <w:i/>
                <w:sz w:val="24"/>
                <w:szCs w:val="24"/>
              </w:rPr>
              <w:t xml:space="preserve">Comisia pentru mediu și echilibru ecologic </w:t>
            </w:r>
          </w:p>
        </w:tc>
        <w:tc>
          <w:tcPr>
            <w:tcW w:w="2040" w:type="dxa"/>
          </w:tcPr>
          <w:p>
            <w:pPr>
              <w:jc w:val="both"/>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jc w:val="both"/>
              <w:rPr>
                <w:rFonts w:ascii="Times New Roman" w:hAnsi="Times New Roman"/>
                <w:sz w:val="24"/>
                <w:szCs w:val="24"/>
              </w:rPr>
            </w:pPr>
          </w:p>
        </w:tc>
        <w:tc>
          <w:tcPr>
            <w:tcW w:w="3009" w:type="dxa"/>
          </w:tcPr>
          <w:p>
            <w:pPr>
              <w:jc w:val="both"/>
              <w:rPr>
                <w:rFonts w:ascii="Times New Roman" w:hAnsi="Times New Roman"/>
                <w:sz w:val="24"/>
                <w:szCs w:val="24"/>
              </w:rPr>
            </w:pPr>
            <w:r>
              <w:rPr>
                <w:rFonts w:ascii="Times New Roman" w:hAnsi="Times New Roman"/>
                <w:b/>
                <w:bCs/>
                <w:sz w:val="24"/>
                <w:szCs w:val="24"/>
              </w:rPr>
              <w:t xml:space="preserve">Art.45 - </w:t>
            </w:r>
            <w:r>
              <w:rPr>
                <w:rFonts w:ascii="Times New Roman" w:hAnsi="Times New Roman"/>
                <w:sz w:val="24"/>
                <w:szCs w:val="24"/>
              </w:rPr>
              <w:t xml:space="preserve">”(5) În termen de 30 de zile de la fiecare încasare la bugetul de stat cu titlul redevențe miniere, un procent de </w:t>
            </w:r>
            <w:r>
              <w:rPr>
                <w:rFonts w:ascii="Times New Roman" w:hAnsi="Times New Roman"/>
                <w:b/>
                <w:sz w:val="24"/>
                <w:szCs w:val="24"/>
              </w:rPr>
              <w:t xml:space="preserve">80% </w:t>
            </w:r>
            <w:r>
              <w:rPr>
                <w:rFonts w:ascii="Times New Roman" w:hAnsi="Times New Roman"/>
                <w:sz w:val="24"/>
                <w:szCs w:val="24"/>
              </w:rPr>
              <w:t xml:space="preserve">din aceste sume se transferă autorității locale pe al cărei teritoriu administrativ se desfășoară exploatarea pentru care s-a încasat redevența, distribuită după cum urmează: </w:t>
            </w:r>
            <w:r>
              <w:rPr>
                <w:rFonts w:ascii="Times New Roman" w:hAnsi="Times New Roman"/>
                <w:b/>
                <w:sz w:val="24"/>
                <w:szCs w:val="24"/>
              </w:rPr>
              <w:t>55%</w:t>
            </w:r>
            <w:r>
              <w:rPr>
                <w:rFonts w:ascii="Times New Roman" w:hAnsi="Times New Roman"/>
                <w:sz w:val="24"/>
                <w:szCs w:val="24"/>
              </w:rPr>
              <w:t xml:space="preserve"> la bugetul local al județului și 25% la bugetele locale ale unităților </w:t>
            </w:r>
            <w:r>
              <w:rPr>
                <w:rFonts w:ascii="Times New Roman" w:hAnsi="Times New Roman"/>
                <w:b/>
                <w:sz w:val="24"/>
                <w:szCs w:val="24"/>
              </w:rPr>
              <w:t>administrativ teritoriale</w:t>
            </w:r>
            <w:r>
              <w:rPr>
                <w:rFonts w:ascii="Times New Roman" w:hAnsi="Times New Roman"/>
                <w:sz w:val="24"/>
                <w:szCs w:val="24"/>
              </w:rPr>
              <w:t>.”</w:t>
            </w:r>
          </w:p>
        </w:tc>
        <w:tc>
          <w:tcPr>
            <w:tcW w:w="4992" w:type="dxa"/>
          </w:tcPr>
          <w:p>
            <w:pPr>
              <w:jc w:val="both"/>
              <w:rPr>
                <w:rFonts w:ascii="Times New Roman" w:hAnsi="Times New Roman"/>
                <w:b/>
                <w:sz w:val="24"/>
                <w:szCs w:val="24"/>
              </w:rPr>
            </w:pPr>
            <w:r>
              <w:rPr>
                <w:rFonts w:ascii="Times New Roman" w:hAnsi="Times New Roman"/>
                <w:b/>
                <w:sz w:val="24"/>
                <w:szCs w:val="24"/>
              </w:rPr>
              <w:t>Se elimină.</w:t>
            </w:r>
          </w:p>
          <w:p>
            <w:pPr>
              <w:jc w:val="both"/>
              <w:rPr>
                <w:rFonts w:ascii="Times New Roman" w:hAnsi="Times New Roman"/>
                <w:i/>
                <w:sz w:val="24"/>
                <w:szCs w:val="24"/>
              </w:rPr>
            </w:pPr>
            <w:r>
              <w:rPr>
                <w:rFonts w:ascii="Times New Roman" w:hAnsi="Times New Roman"/>
                <w:i/>
                <w:sz w:val="24"/>
                <w:szCs w:val="24"/>
              </w:rPr>
              <w:t xml:space="preserve">Autor: Comisia pentru industrii și servicii, Comisia pentru mediu si echilibru ecologic </w:t>
            </w:r>
          </w:p>
          <w:p>
            <w:pPr>
              <w:rPr>
                <w:rFonts w:ascii="Times New Roman" w:hAnsi="Times New Roman"/>
                <w:sz w:val="24"/>
                <w:szCs w:val="24"/>
              </w:rPr>
            </w:pPr>
          </w:p>
          <w:p>
            <w:pPr>
              <w:rPr>
                <w:rFonts w:ascii="Times New Roman" w:hAnsi="Times New Roman"/>
                <w:sz w:val="24"/>
                <w:szCs w:val="24"/>
              </w:rPr>
            </w:pPr>
          </w:p>
          <w:p>
            <w:pPr>
              <w:jc w:val="center"/>
              <w:rPr>
                <w:rFonts w:ascii="Times New Roman" w:hAnsi="Times New Roman"/>
                <w:sz w:val="24"/>
                <w:szCs w:val="24"/>
              </w:rPr>
            </w:pPr>
          </w:p>
        </w:tc>
        <w:tc>
          <w:tcPr>
            <w:tcW w:w="2040" w:type="dxa"/>
          </w:tcPr>
          <w:p>
            <w:pPr>
              <w:jc w:val="both"/>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jc w:val="both"/>
              <w:rPr>
                <w:rFonts w:ascii="Times New Roman" w:hAnsi="Times New Roman"/>
                <w:b/>
                <w:sz w:val="24"/>
                <w:szCs w:val="24"/>
              </w:rPr>
            </w:pPr>
          </w:p>
        </w:tc>
        <w:tc>
          <w:tcPr>
            <w:tcW w:w="3009" w:type="dxa"/>
          </w:tcPr>
          <w:p>
            <w:pPr>
              <w:jc w:val="both"/>
              <w:rPr>
                <w:rFonts w:ascii="Times New Roman" w:hAnsi="Times New Roman"/>
                <w:b/>
                <w:sz w:val="24"/>
                <w:szCs w:val="24"/>
              </w:rPr>
            </w:pPr>
          </w:p>
        </w:tc>
        <w:tc>
          <w:tcPr>
            <w:tcW w:w="4992" w:type="dxa"/>
          </w:tcPr>
          <w:p>
            <w:pPr>
              <w:widowControl/>
              <w:snapToGrid w:val="0"/>
              <w:jc w:val="both"/>
              <w:rPr>
                <w:rFonts w:ascii="Times New Roman" w:hAnsi="Times New Roman" w:eastAsia="Times New Roman"/>
                <w:b/>
                <w:bCs/>
                <w:sz w:val="24"/>
                <w:szCs w:val="24"/>
                <w:vertAlign w:val="superscript"/>
              </w:rPr>
            </w:pPr>
            <w:r>
              <w:rPr>
                <w:rFonts w:ascii="Times New Roman" w:hAnsi="Times New Roman" w:eastAsia="Times New Roman"/>
                <w:b/>
                <w:sz w:val="24"/>
                <w:szCs w:val="24"/>
              </w:rPr>
              <w:t>17. După articolul 45 se introduce un nou articol, articolul 45</w:t>
            </w:r>
            <w:r>
              <w:rPr>
                <w:rFonts w:ascii="Times New Roman" w:hAnsi="Times New Roman" w:eastAsia="Times New Roman"/>
                <w:b/>
                <w:sz w:val="24"/>
                <w:szCs w:val="24"/>
                <w:vertAlign w:val="superscript"/>
              </w:rPr>
              <w:t>1</w:t>
            </w:r>
            <w:r>
              <w:rPr>
                <w:rFonts w:ascii="Times New Roman" w:hAnsi="Times New Roman" w:eastAsia="Times New Roman"/>
                <w:b/>
                <w:sz w:val="24"/>
                <w:szCs w:val="24"/>
              </w:rPr>
              <w:t>, având următorul cuprins:</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„Art. 45</w:t>
            </w:r>
            <w:r>
              <w:rPr>
                <w:rFonts w:ascii="Times New Roman" w:hAnsi="Times New Roman" w:eastAsia="Times New Roman"/>
                <w:b/>
                <w:bCs/>
                <w:sz w:val="24"/>
                <w:szCs w:val="24"/>
                <w:vertAlign w:val="superscript"/>
              </w:rPr>
              <w:t>1</w:t>
            </w:r>
            <w:r>
              <w:rPr>
                <w:rFonts w:ascii="Times New Roman" w:hAnsi="Times New Roman" w:eastAsia="Times New Roman"/>
                <w:b/>
                <w:bCs/>
                <w:sz w:val="24"/>
                <w:szCs w:val="24"/>
              </w:rPr>
              <w:t xml:space="preserve">. - (1) Redevența minieră se constituie venit la bugetul de stat, cu excepția redevenței prevăzute la alin.(2).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(2) Prin derogare de la art. 307 alin. (2) din Ordonanța de urgență a Guvernului nr. 57/2019 privind Codul administrativ, cu modificările și completările ulterioare, redevența minieră obținută prin concesionare, din activități de exploatare a resurselor la suprafață și a apelor minerale naturale carbogazoase sau necarbogazoase se constituie venit după cum urmează: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a) 35% la bugetul local al județului pe teritoriul căruia există activitatea de exploatare;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b) 45% la bugetul local al comunei, al orașului sau al municipiului, după caz, pe teritoriul căreia/căruia există activitate de exploatare;</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c) 20% la bugetul de stat.”</w:t>
            </w:r>
          </w:p>
          <w:p>
            <w:pPr>
              <w:widowControl/>
              <w:snapToGrid w:val="0"/>
              <w:jc w:val="both"/>
              <w:rPr>
                <w:rFonts w:ascii="Times New Roman" w:hAnsi="Times New Roman"/>
                <w:i/>
                <w:sz w:val="24"/>
                <w:szCs w:val="24"/>
              </w:rPr>
            </w:pPr>
            <w:r>
              <w:rPr>
                <w:rFonts w:ascii="Times New Roman" w:hAnsi="Times New Roman"/>
                <w:i/>
                <w:sz w:val="24"/>
                <w:szCs w:val="24"/>
              </w:rPr>
              <w:t>Autor: Sorin-Ioan Bumb - PNL</w:t>
            </w:r>
          </w:p>
        </w:tc>
        <w:tc>
          <w:tcPr>
            <w:tcW w:w="2040" w:type="dxa"/>
          </w:tcPr>
          <w:p>
            <w:pPr>
              <w:snapToGrid w:val="0"/>
              <w:jc w:val="both"/>
              <w:rPr>
                <w:rFonts w:ascii="Times New Roman" w:hAnsi="Times New Roman"/>
                <w:sz w:val="16"/>
                <w:szCs w:val="16"/>
              </w:rPr>
            </w:pPr>
            <w:r>
              <w:rPr>
                <w:rFonts w:ascii="Times New Roman" w:hAnsi="Times New Roman"/>
                <w:sz w:val="16"/>
                <w:szCs w:val="16"/>
              </w:rPr>
              <w:t xml:space="preserve">Cu referire la schimbările preconizate în ceea ce privește regimul juridic al redevențelor obţinute prin concesionare, din activităţi de exploatare a resurselor la suprafață, prezentul proiect transpune în materia specială a Legii minelor nr.85/2003 normele cadru ale Codului administrativ care prin art. 307 dispun în sensul că “redevenţa obţinută prin concesionare, din activităţi de exploatare a resurselor la suprafaţă ale statului, se constituie venit după cum urmează: </w:t>
            </w:r>
          </w:p>
          <w:p>
            <w:pPr>
              <w:numPr>
                <w:ilvl w:val="0"/>
                <w:numId w:val="4"/>
              </w:numPr>
              <w:snapToGrid w:val="0"/>
              <w:jc w:val="both"/>
              <w:rPr>
                <w:rFonts w:ascii="Times New Roman" w:hAnsi="Times New Roman"/>
                <w:sz w:val="16"/>
                <w:szCs w:val="16"/>
              </w:rPr>
            </w:pPr>
            <w:r>
              <w:rPr>
                <w:rFonts w:ascii="Times New Roman" w:hAnsi="Times New Roman"/>
                <w:sz w:val="16"/>
                <w:szCs w:val="16"/>
              </w:rPr>
              <w:t xml:space="preserve">40% la bugetul local al judeţului pe teritoriul căruia există activitatea de exploatare; </w:t>
            </w:r>
          </w:p>
          <w:p>
            <w:pPr>
              <w:numPr>
                <w:ilvl w:val="0"/>
                <w:numId w:val="4"/>
              </w:numPr>
              <w:snapToGrid w:val="0"/>
              <w:jc w:val="both"/>
              <w:rPr>
                <w:rFonts w:ascii="Times New Roman" w:hAnsi="Times New Roman"/>
                <w:sz w:val="16"/>
                <w:szCs w:val="16"/>
              </w:rPr>
            </w:pPr>
            <w:r>
              <w:rPr>
                <w:rFonts w:ascii="Times New Roman" w:hAnsi="Times New Roman"/>
                <w:sz w:val="16"/>
                <w:szCs w:val="16"/>
              </w:rPr>
              <w:t xml:space="preserve">40% la bugetul local al comunei, al oraşului sau al municipiului, după caz, pe teritoriul căreia/căruia există activitate de exploatare; </w:t>
            </w:r>
          </w:p>
          <w:p>
            <w:pPr>
              <w:numPr>
                <w:ilvl w:val="0"/>
                <w:numId w:val="4"/>
              </w:numPr>
              <w:snapToGrid w:val="0"/>
              <w:jc w:val="both"/>
              <w:rPr>
                <w:rFonts w:ascii="Times New Roman" w:hAnsi="Times New Roman"/>
                <w:sz w:val="24"/>
                <w:szCs w:val="24"/>
              </w:rPr>
            </w:pPr>
            <w:r>
              <w:rPr>
                <w:rFonts w:ascii="Times New Roman" w:hAnsi="Times New Roman"/>
                <w:sz w:val="16"/>
                <w:szCs w:val="16"/>
              </w:rPr>
              <w:t>20% la bugetul de stat”.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widowControl/>
              <w:shd w:val="clear" w:color="auto" w:fill="FFFFFF"/>
              <w:jc w:val="both"/>
              <w:rPr>
                <w:rFonts w:ascii="Times New Roman" w:hAnsi="Times New Roman"/>
                <w:bCs/>
                <w:sz w:val="24"/>
                <w:szCs w:val="24"/>
                <w:shd w:val="clear" w:color="auto" w:fill="FFFFFF"/>
              </w:rPr>
            </w:pPr>
          </w:p>
          <w:p>
            <w:pPr>
              <w:widowControl/>
              <w:shd w:val="clear" w:color="auto" w:fill="FFFFFF"/>
              <w:jc w:val="both"/>
              <w:rPr>
                <w:rFonts w:ascii="Times New Roman" w:hAnsi="Times New Roman"/>
                <w:bCs/>
                <w:sz w:val="24"/>
                <w:szCs w:val="24"/>
                <w:shd w:val="clear" w:color="auto" w:fill="FFFFFF"/>
              </w:rPr>
            </w:pPr>
          </w:p>
          <w:p>
            <w:pPr>
              <w:widowControl/>
              <w:shd w:val="clear" w:color="auto" w:fill="FFFFFF"/>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 xml:space="preserve">Art. 47 - (2) Sumele reprezentând taxa pentru activitatea minieră şi redevență minieră </w:t>
            </w:r>
            <w:r>
              <w:rPr>
                <w:rFonts w:ascii="Times New Roman" w:hAnsi="Times New Roman"/>
                <w:b/>
                <w:sz w:val="24"/>
                <w:szCs w:val="24"/>
                <w:shd w:val="clear" w:color="auto" w:fill="FFFFFF"/>
              </w:rPr>
              <w:t xml:space="preserve">datorate bugetului de stat </w:t>
            </w:r>
            <w:r>
              <w:rPr>
                <w:rFonts w:ascii="Times New Roman" w:hAnsi="Times New Roman"/>
                <w:bCs/>
                <w:sz w:val="24"/>
                <w:szCs w:val="24"/>
                <w:shd w:val="clear" w:color="auto" w:fill="FFFFFF"/>
              </w:rPr>
              <w:t>se declară de către plătitor la organul fiscal competent până la termenul de plată prevăzut la art. 45 alin. (4).</w:t>
            </w:r>
          </w:p>
        </w:tc>
        <w:tc>
          <w:tcPr>
            <w:tcW w:w="3009" w:type="dxa"/>
          </w:tcPr>
          <w:p>
            <w:pPr>
              <w:jc w:val="both"/>
              <w:rPr>
                <w:rFonts w:ascii="Times New Roman" w:hAnsi="Times New Roman"/>
                <w:b/>
                <w:sz w:val="24"/>
                <w:szCs w:val="24"/>
              </w:rPr>
            </w:pPr>
          </w:p>
        </w:tc>
        <w:tc>
          <w:tcPr>
            <w:tcW w:w="4992" w:type="dxa"/>
          </w:tcPr>
          <w:p>
            <w:pPr>
              <w:widowControl/>
              <w:jc w:val="both"/>
              <w:rPr>
                <w:rFonts w:ascii="Times New Roman" w:hAnsi="Times New Roman" w:eastAsia="Times New Roman"/>
                <w:b/>
                <w:sz w:val="24"/>
                <w:szCs w:val="24"/>
              </w:rPr>
            </w:pPr>
            <w:r>
              <w:rPr>
                <w:rFonts w:ascii="Times New Roman" w:hAnsi="Times New Roman" w:eastAsia="Times New Roman"/>
                <w:b/>
                <w:sz w:val="24"/>
                <w:szCs w:val="24"/>
              </w:rPr>
              <w:t xml:space="preserve">18. La articolul 47, alineatul (2) se modifică și va avea următorul cuprins: </w:t>
            </w:r>
          </w:p>
          <w:p>
            <w:pPr>
              <w:widowControl/>
              <w:jc w:val="both"/>
              <w:rPr>
                <w:rFonts w:ascii="Times New Roman" w:hAnsi="Times New Roman" w:eastAsia="Times New Roman"/>
                <w:sz w:val="24"/>
                <w:szCs w:val="24"/>
              </w:rPr>
            </w:pPr>
            <w:r>
              <w:rPr>
                <w:rFonts w:ascii="Times New Roman" w:hAnsi="Times New Roman" w:eastAsia="Times New Roman"/>
                <w:sz w:val="24"/>
                <w:szCs w:val="24"/>
              </w:rPr>
              <w:t>„(2) Sumele reprezentând taxa pentru activitatea minieră şi redevența minieră</w:t>
            </w:r>
            <w:r>
              <w:rPr>
                <w:rFonts w:ascii="Times New Roman" w:hAnsi="Times New Roman" w:eastAsia="Times New Roman"/>
                <w:b/>
                <w:bCs/>
                <w:sz w:val="24"/>
                <w:szCs w:val="24"/>
              </w:rPr>
              <w:t xml:space="preserve"> se declară </w:t>
            </w:r>
            <w:r>
              <w:rPr>
                <w:rFonts w:ascii="Times New Roman" w:hAnsi="Times New Roman" w:eastAsia="Times New Roman"/>
                <w:sz w:val="24"/>
                <w:szCs w:val="24"/>
              </w:rPr>
              <w:t>de către plătitor la organul fiscal competent până la termenul de plată prevăzut la art. 45 alin. (4).”</w:t>
            </w:r>
          </w:p>
          <w:p>
            <w:pPr>
              <w:widowControl/>
              <w:snapToGrid w:val="0"/>
              <w:jc w:val="both"/>
              <w:rPr>
                <w:rFonts w:ascii="Times New Roman" w:hAnsi="Times New Roman" w:eastAsia="Times New Roman"/>
                <w:i/>
                <w:sz w:val="24"/>
                <w:szCs w:val="24"/>
              </w:rPr>
            </w:pPr>
            <w:r>
              <w:rPr>
                <w:rFonts w:ascii="Times New Roman" w:hAnsi="Times New Roman" w:eastAsia="Times New Roman"/>
                <w:i/>
                <w:sz w:val="24"/>
                <w:szCs w:val="24"/>
              </w:rPr>
              <w:t>Autori: Comisia pentru industrii și servicii</w:t>
            </w:r>
          </w:p>
          <w:p>
            <w:pPr>
              <w:widowControl/>
              <w:snapToGrid w:val="0"/>
              <w:jc w:val="both"/>
              <w:rPr>
                <w:rFonts w:ascii="Times New Roman" w:hAnsi="Times New Roman" w:eastAsia="Times New Roman"/>
                <w:i/>
                <w:sz w:val="24"/>
                <w:szCs w:val="24"/>
              </w:rPr>
            </w:pPr>
            <w:r>
              <w:rPr>
                <w:rFonts w:ascii="Times New Roman" w:hAnsi="Times New Roman"/>
                <w:i/>
                <w:sz w:val="24"/>
                <w:szCs w:val="24"/>
              </w:rPr>
              <w:t xml:space="preserve">Comisia pentru mediu și echilibru ecologic </w:t>
            </w:r>
          </w:p>
        </w:tc>
        <w:tc>
          <w:tcPr>
            <w:tcW w:w="2040" w:type="dxa"/>
          </w:tcPr>
          <w:p>
            <w:pPr>
              <w:jc w:val="both"/>
              <w:rPr>
                <w:rFonts w:ascii="Times New Roman" w:hAnsi="Times New Roman"/>
                <w:sz w:val="16"/>
                <w:szCs w:val="16"/>
              </w:rPr>
            </w:pPr>
            <w:r>
              <w:rPr>
                <w:rFonts w:ascii="Times New Roman" w:hAnsi="Times New Roman"/>
                <w:sz w:val="16"/>
                <w:szCs w:val="16"/>
              </w:rPr>
              <w:t>Se anticipează o valoare medie de producție de 80.000 m</w:t>
            </w:r>
            <w:r>
              <w:rPr>
                <w:rFonts w:ascii="Times New Roman" w:hAnsi="Times New Roman"/>
                <w:sz w:val="16"/>
                <w:szCs w:val="16"/>
                <w:vertAlign w:val="superscript"/>
              </w:rPr>
              <w:t>3</w:t>
            </w:r>
            <w:r>
              <w:rPr>
                <w:rFonts w:ascii="Times New Roman" w:hAnsi="Times New Roman"/>
                <w:sz w:val="16"/>
                <w:szCs w:val="16"/>
              </w:rPr>
              <w:t>/perimetru/an, la o redevență medie anuală de 0,75 EUR/m</w:t>
            </w:r>
            <w:r>
              <w:rPr>
                <w:rFonts w:ascii="Times New Roman" w:hAnsi="Times New Roman"/>
                <w:sz w:val="16"/>
                <w:szCs w:val="16"/>
                <w:vertAlign w:val="superscript"/>
              </w:rPr>
              <w:t>3</w:t>
            </w:r>
            <w:r>
              <w:rPr>
                <w:rFonts w:ascii="Times New Roman" w:hAnsi="Times New Roman"/>
                <w:sz w:val="16"/>
                <w:szCs w:val="16"/>
              </w:rPr>
              <w:t xml:space="preserve">. Pentru 30 de obiective miniere vechi, redevența estimată va fi cca. 5.760 mii lei/an iar, pentru 317 obiective miniere noi, redevența estimate va fi de ccc.60.864 mii lei/an. La sumele menționate anterior se adaugă cca.2.469 mii lei/an reprezentând taxa pentru activitatea minieră și tarife, corespunzătoare celor 30 de obiective miniere vechi și cca.24.346 mii lei/an corespunzatoare celor 317 obiective miniere noi.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jc w:val="both"/>
              <w:rPr>
                <w:rStyle w:val="34"/>
                <w:rFonts w:ascii="Times New Roman" w:hAnsi="Times New Roman"/>
                <w:sz w:val="24"/>
                <w:szCs w:val="24"/>
              </w:rPr>
            </w:pPr>
          </w:p>
          <w:p>
            <w:pPr>
              <w:jc w:val="both"/>
              <w:rPr>
                <w:rStyle w:val="34"/>
                <w:rFonts w:ascii="Times New Roman" w:hAnsi="Times New Roman"/>
                <w:sz w:val="24"/>
                <w:szCs w:val="24"/>
              </w:rPr>
            </w:pPr>
          </w:p>
          <w:p>
            <w:pPr>
              <w:jc w:val="both"/>
              <w:rPr>
                <w:rStyle w:val="34"/>
                <w:rFonts w:ascii="Times New Roman" w:hAnsi="Times New Roman"/>
                <w:sz w:val="24"/>
                <w:szCs w:val="24"/>
              </w:rPr>
            </w:pPr>
            <w:r>
              <w:rPr>
                <w:rStyle w:val="34"/>
                <w:rFonts w:ascii="Times New Roman" w:hAnsi="Times New Roman"/>
                <w:sz w:val="24"/>
                <w:szCs w:val="24"/>
              </w:rPr>
              <w:t xml:space="preserve">Art. 53 - (3) </w:t>
            </w:r>
            <w:r>
              <w:rPr>
                <w:rStyle w:val="35"/>
                <w:rFonts w:ascii="Times New Roman" w:hAnsi="Times New Roman"/>
                <w:sz w:val="24"/>
                <w:szCs w:val="24"/>
              </w:rPr>
              <w:t>Punerea în aplicare a programului de monitorizare a factorilor de mediu postînchidere se va face de către titular, cu fonduri proprii. Pentru companiile şi societăţile naţionale miniere monitorizarea factorilor de mediu postînchidere se va face de către ministerul de resort, prin direcţiile de specialitate, cu fonduri bugetare.</w:t>
            </w:r>
          </w:p>
        </w:tc>
        <w:tc>
          <w:tcPr>
            <w:tcW w:w="3009" w:type="dxa"/>
          </w:tcPr>
          <w:p>
            <w:pPr>
              <w:jc w:val="both"/>
              <w:rPr>
                <w:rStyle w:val="34"/>
                <w:rFonts w:ascii="Times New Roman" w:hAnsi="Times New Roman"/>
                <w:sz w:val="24"/>
                <w:szCs w:val="24"/>
              </w:rPr>
            </w:pPr>
          </w:p>
          <w:p>
            <w:pPr>
              <w:jc w:val="both"/>
              <w:rPr>
                <w:rStyle w:val="34"/>
                <w:rFonts w:ascii="Times New Roman" w:hAnsi="Times New Roman"/>
                <w:sz w:val="24"/>
                <w:szCs w:val="24"/>
              </w:rPr>
            </w:pPr>
          </w:p>
          <w:p>
            <w:pPr>
              <w:jc w:val="both"/>
              <w:rPr>
                <w:rFonts w:ascii="Times New Roman" w:hAnsi="Times New Roman"/>
                <w:b/>
                <w:sz w:val="24"/>
                <w:szCs w:val="24"/>
              </w:rPr>
            </w:pPr>
          </w:p>
        </w:tc>
        <w:tc>
          <w:tcPr>
            <w:tcW w:w="4992" w:type="dxa"/>
          </w:tcPr>
          <w:p>
            <w:pPr>
              <w:jc w:val="both"/>
              <w:rPr>
                <w:rFonts w:ascii="Times New Roman" w:hAnsi="Times New Roman"/>
                <w:b/>
                <w:sz w:val="24"/>
                <w:szCs w:val="24"/>
              </w:rPr>
            </w:pPr>
            <w:r>
              <w:rPr>
                <w:rFonts w:ascii="Times New Roman" w:hAnsi="Times New Roman"/>
                <w:b/>
                <w:sz w:val="24"/>
                <w:szCs w:val="24"/>
              </w:rPr>
              <w:t>19. La articolul 53, alineatul (3) se modifică și va avea următorul cuprins:</w:t>
            </w:r>
          </w:p>
          <w:p>
            <w:pPr>
              <w:jc w:val="both"/>
              <w:rPr>
                <w:rStyle w:val="35"/>
                <w:rFonts w:ascii="Times New Roman" w:hAnsi="Times New Roman"/>
                <w:sz w:val="24"/>
                <w:szCs w:val="24"/>
              </w:rPr>
            </w:pPr>
            <w:r>
              <w:rPr>
                <w:rFonts w:ascii="Times New Roman" w:hAnsi="Times New Roman"/>
                <w:sz w:val="24"/>
                <w:szCs w:val="24"/>
              </w:rPr>
              <w:t xml:space="preserve">„(3) </w:t>
            </w:r>
            <w:r>
              <w:rPr>
                <w:rStyle w:val="35"/>
                <w:rFonts w:ascii="Times New Roman" w:hAnsi="Times New Roman"/>
                <w:sz w:val="24"/>
                <w:szCs w:val="24"/>
              </w:rPr>
              <w:t xml:space="preserve">Punerea în aplicare a programului de monitorizare a factorilor de mediu post închidere se face de către titular, cu fonduri proprii. Pentru companiile şi societățile naționale miniere aflate în insolvență monitorizarea factorilor de mediu post închidere, inclusiv epurarea apelor de zăcământ, se face de către ministerul de resort, prin direcțiile de specialitate, cu fonduri bugetare.” </w:t>
            </w:r>
          </w:p>
          <w:p>
            <w:pPr>
              <w:jc w:val="both"/>
              <w:rPr>
                <w:rFonts w:ascii="Times New Roman" w:hAnsi="Times New Roman" w:eastAsia="Times New Roman"/>
                <w:i/>
                <w:sz w:val="24"/>
                <w:szCs w:val="24"/>
              </w:rPr>
            </w:pPr>
            <w:r>
              <w:rPr>
                <w:rFonts w:ascii="Times New Roman" w:hAnsi="Times New Roman" w:eastAsia="Times New Roman"/>
                <w:i/>
                <w:sz w:val="24"/>
                <w:szCs w:val="24"/>
              </w:rPr>
              <w:t>Autor: Comisia pentru industrii și servicii</w:t>
            </w:r>
          </w:p>
          <w:p>
            <w:pPr>
              <w:jc w:val="both"/>
              <w:rPr>
                <w:rFonts w:ascii="Times New Roman" w:hAnsi="Times New Roman" w:eastAsia="Times New Roman"/>
                <w:i/>
                <w:sz w:val="24"/>
                <w:szCs w:val="24"/>
              </w:rPr>
            </w:pPr>
            <w:r>
              <w:rPr>
                <w:rFonts w:ascii="Times New Roman" w:hAnsi="Times New Roman"/>
                <w:i/>
                <w:sz w:val="24"/>
                <w:szCs w:val="24"/>
              </w:rPr>
              <w:t xml:space="preserve">Comisia pentru mediu și echilibru ecologic </w:t>
            </w:r>
          </w:p>
        </w:tc>
        <w:tc>
          <w:tcPr>
            <w:tcW w:w="2040" w:type="dxa"/>
          </w:tcPr>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p>
            <w:pPr>
              <w:jc w:val="both"/>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jc w:val="both"/>
              <w:rPr>
                <w:rFonts w:ascii="Times New Roman" w:hAnsi="Times New Roman"/>
                <w:b/>
                <w:sz w:val="24"/>
                <w:szCs w:val="24"/>
              </w:rPr>
            </w:pPr>
          </w:p>
        </w:tc>
        <w:tc>
          <w:tcPr>
            <w:tcW w:w="3009" w:type="dxa"/>
          </w:tcPr>
          <w:p>
            <w:pPr>
              <w:jc w:val="both"/>
              <w:rPr>
                <w:rFonts w:ascii="Times New Roman" w:hAnsi="Times New Roman"/>
                <w:sz w:val="24"/>
                <w:szCs w:val="24"/>
              </w:rPr>
            </w:pPr>
            <w:r>
              <w:rPr>
                <w:rFonts w:ascii="Times New Roman" w:hAnsi="Times New Roman"/>
                <w:b/>
                <w:sz w:val="24"/>
                <w:szCs w:val="24"/>
              </w:rPr>
              <w:t>Art. II.</w:t>
            </w:r>
            <w:r>
              <w:rPr>
                <w:rFonts w:ascii="Times New Roman" w:hAnsi="Times New Roman"/>
                <w:sz w:val="24"/>
                <w:szCs w:val="24"/>
              </w:rPr>
              <w:t xml:space="preserve"> – În termen de 30 de zile de la publicarea în Monitorul Oficial al României, Partea I, a prezentei legi, autoritatea publică centrală care răspunde de finanțe și autoritatea publică centrală care răspunde de economie aprobă normele metodologice privind transferul redevenței către autoritățile locale.</w:t>
            </w:r>
          </w:p>
        </w:tc>
        <w:tc>
          <w:tcPr>
            <w:tcW w:w="4992" w:type="dxa"/>
          </w:tcPr>
          <w:p>
            <w:pPr>
              <w:jc w:val="both"/>
              <w:rPr>
                <w:rFonts w:ascii="Times New Roman" w:hAnsi="Times New Roman"/>
                <w:b/>
                <w:sz w:val="24"/>
                <w:szCs w:val="24"/>
              </w:rPr>
            </w:pPr>
            <w:r>
              <w:rPr>
                <w:rFonts w:ascii="Times New Roman" w:hAnsi="Times New Roman"/>
                <w:b/>
                <w:sz w:val="24"/>
                <w:szCs w:val="24"/>
              </w:rPr>
              <w:t>Se elimină.</w:t>
            </w:r>
          </w:p>
          <w:p>
            <w:pPr>
              <w:jc w:val="both"/>
              <w:rPr>
                <w:rFonts w:ascii="Times New Roman" w:hAnsi="Times New Roman"/>
                <w:i/>
                <w:sz w:val="24"/>
                <w:szCs w:val="24"/>
              </w:rPr>
            </w:pPr>
            <w:r>
              <w:rPr>
                <w:rFonts w:ascii="Times New Roman" w:hAnsi="Times New Roman"/>
                <w:i/>
                <w:sz w:val="24"/>
                <w:szCs w:val="24"/>
              </w:rPr>
              <w:t>Autor: Comisia pentru industrii și servicii, Comisia mediu și echilibru ecologic</w:t>
            </w:r>
          </w:p>
        </w:tc>
        <w:tc>
          <w:tcPr>
            <w:tcW w:w="2040" w:type="dxa"/>
          </w:tcPr>
          <w:p>
            <w:pPr>
              <w:jc w:val="both"/>
              <w:rPr>
                <w:rFonts w:ascii="Times New Roman" w:hAnsi="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jc w:val="both"/>
              <w:rPr>
                <w:rFonts w:ascii="Times New Roman" w:hAnsi="Times New Roman"/>
                <w:b/>
                <w:sz w:val="24"/>
                <w:szCs w:val="24"/>
              </w:rPr>
            </w:pPr>
          </w:p>
        </w:tc>
        <w:tc>
          <w:tcPr>
            <w:tcW w:w="3009" w:type="dxa"/>
          </w:tcPr>
          <w:p>
            <w:pPr>
              <w:jc w:val="both"/>
              <w:rPr>
                <w:rFonts w:ascii="Times New Roman" w:hAnsi="Times New Roman"/>
                <w:b/>
                <w:sz w:val="24"/>
                <w:szCs w:val="24"/>
              </w:rPr>
            </w:pPr>
          </w:p>
        </w:tc>
        <w:tc>
          <w:tcPr>
            <w:tcW w:w="4992" w:type="dxa"/>
          </w:tcPr>
          <w:p>
            <w:pPr>
              <w:jc w:val="both"/>
              <w:rPr>
                <w:rFonts w:ascii="Times New Roman" w:hAnsi="Times New Roman"/>
                <w:b/>
                <w:sz w:val="24"/>
                <w:szCs w:val="24"/>
              </w:rPr>
            </w:pPr>
            <w:r>
              <w:rPr>
                <w:rFonts w:ascii="Times New Roman" w:hAnsi="Times New Roman"/>
                <w:b/>
                <w:sz w:val="24"/>
                <w:szCs w:val="24"/>
              </w:rPr>
              <w:t>Art. II. - Ministerul de resort poate iniția acte normative pentru redeschiderea minelor sau părți din perimetrele de exploatare, aprobate la închidere prin hotărâri ale Guvernului, care au cantități semnificative de resurse minerale în vederea exploatării acestora, în condițiile</w:t>
            </w:r>
            <w:r>
              <w:rPr>
                <w:rFonts w:ascii="Times New Roman" w:hAnsi="Times New Roman"/>
                <w:b/>
                <w:sz w:val="24"/>
                <w:szCs w:val="24"/>
                <w:lang w:val="en-GB"/>
              </w:rPr>
              <w:t xml:space="preserve"> Legii minelor nr. 85/2003, cu modific</w:t>
            </w:r>
            <w:r>
              <w:rPr>
                <w:rFonts w:ascii="Times New Roman" w:hAnsi="Times New Roman"/>
                <w:b/>
                <w:sz w:val="24"/>
                <w:szCs w:val="24"/>
              </w:rPr>
              <w:t>ă</w:t>
            </w:r>
            <w:r>
              <w:rPr>
                <w:rFonts w:ascii="Times New Roman" w:hAnsi="Times New Roman"/>
                <w:b/>
                <w:sz w:val="24"/>
                <w:szCs w:val="24"/>
                <w:lang w:val="en-GB"/>
              </w:rPr>
              <w:t xml:space="preserve">rile </w:t>
            </w:r>
            <w:r>
              <w:rPr>
                <w:rFonts w:ascii="Times New Roman" w:hAnsi="Times New Roman"/>
                <w:b/>
                <w:sz w:val="24"/>
                <w:szCs w:val="24"/>
              </w:rPr>
              <w:t>ș</w:t>
            </w:r>
            <w:r>
              <w:rPr>
                <w:rFonts w:ascii="Times New Roman" w:hAnsi="Times New Roman"/>
                <w:b/>
                <w:sz w:val="24"/>
                <w:szCs w:val="24"/>
                <w:lang w:val="en-GB"/>
              </w:rPr>
              <w:t xml:space="preserve">i </w:t>
            </w:r>
            <w:r>
              <w:rPr>
                <w:rFonts w:ascii="Times New Roman" w:hAnsi="Times New Roman"/>
                <w:b/>
                <w:sz w:val="24"/>
                <w:szCs w:val="24"/>
              </w:rPr>
              <w:t xml:space="preserve">completările ulterioare. </w:t>
            </w:r>
          </w:p>
          <w:p>
            <w:pPr>
              <w:jc w:val="both"/>
              <w:rPr>
                <w:rFonts w:ascii="Times New Roman" w:hAnsi="Times New Roman"/>
                <w:b/>
                <w:sz w:val="24"/>
                <w:szCs w:val="24"/>
              </w:rPr>
            </w:pPr>
            <w:r>
              <w:rPr>
                <w:rFonts w:ascii="Times New Roman" w:hAnsi="Times New Roman"/>
                <w:i/>
                <w:sz w:val="24"/>
                <w:szCs w:val="24"/>
              </w:rPr>
              <w:t>Autori: Comisia mediu și echilibru ecologic, Comisia pentru industrii și servicii</w:t>
            </w:r>
          </w:p>
        </w:tc>
        <w:tc>
          <w:tcPr>
            <w:tcW w:w="2040" w:type="dxa"/>
          </w:tcPr>
          <w:p>
            <w:pPr>
              <w:jc w:val="both"/>
              <w:rPr>
                <w:rFonts w:ascii="Times New Roman" w:hAnsi="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widowControl/>
              <w:shd w:val="clear" w:color="auto" w:fill="FFFFFF"/>
              <w:jc w:val="both"/>
              <w:rPr>
                <w:rFonts w:ascii="Times New Roman" w:hAnsi="Times New Roman"/>
                <w:b/>
                <w:sz w:val="24"/>
                <w:szCs w:val="24"/>
                <w:shd w:val="clear" w:color="auto" w:fill="FFFFFF"/>
              </w:rPr>
            </w:pPr>
            <w:r>
              <w:rPr>
                <w:rFonts w:ascii="Times New Roman" w:hAnsi="Times New Roman"/>
                <w:b/>
                <w:sz w:val="24"/>
                <w:szCs w:val="24"/>
                <w:shd w:val="clear" w:color="auto" w:fill="FFFFFF"/>
              </w:rPr>
              <w:t xml:space="preserve">Art. 68 - </w:t>
            </w:r>
            <w:r>
              <w:rPr>
                <w:rFonts w:ascii="Times New Roman" w:hAnsi="Times New Roman"/>
                <w:bCs/>
                <w:sz w:val="24"/>
                <w:szCs w:val="24"/>
                <w:shd w:val="clear" w:color="auto" w:fill="FFFFFF"/>
              </w:rPr>
              <w:t>Prezenta lege intră în vigoare la data publicării ei în Monitorul Oficial al României, Partea I.</w:t>
            </w:r>
          </w:p>
        </w:tc>
        <w:tc>
          <w:tcPr>
            <w:tcW w:w="3009" w:type="dxa"/>
          </w:tcPr>
          <w:p>
            <w:pPr>
              <w:jc w:val="both"/>
              <w:rPr>
                <w:rFonts w:ascii="Times New Roman" w:hAnsi="Times New Roman"/>
                <w:b/>
                <w:sz w:val="24"/>
                <w:szCs w:val="24"/>
              </w:rPr>
            </w:pPr>
          </w:p>
        </w:tc>
        <w:tc>
          <w:tcPr>
            <w:tcW w:w="4992" w:type="dxa"/>
          </w:tcPr>
          <w:p>
            <w:pPr>
              <w:pStyle w:val="6"/>
              <w:jc w:val="both"/>
              <w:rPr>
                <w:rFonts w:ascii="Times New Roman" w:hAnsi="Times New Roman"/>
                <w:lang w:val="ro-RO"/>
              </w:rPr>
            </w:pPr>
            <w:r>
              <w:rPr>
                <w:rFonts w:ascii="Times New Roman" w:hAnsi="Times New Roman" w:eastAsia="Times New Roman"/>
                <w:b/>
                <w:bCs/>
                <w:sz w:val="24"/>
                <w:szCs w:val="24"/>
                <w:lang w:val="ro-RO"/>
              </w:rPr>
              <w:t xml:space="preserve">Art. III. - </w:t>
            </w:r>
            <w:r>
              <w:rPr>
                <w:rFonts w:ascii="Times New Roman" w:hAnsi="Times New Roman" w:eastAsia="Times New Roman"/>
                <w:bCs/>
                <w:sz w:val="24"/>
                <w:szCs w:val="24"/>
                <w:lang w:val="ro-RO"/>
              </w:rPr>
              <w:t>Prezenta lege intră în vigoare la</w:t>
            </w:r>
            <w:r>
              <w:rPr>
                <w:rFonts w:ascii="Times New Roman" w:hAnsi="Times New Roman" w:eastAsia="Times New Roman"/>
                <w:b/>
                <w:bCs/>
                <w:sz w:val="24"/>
                <w:szCs w:val="24"/>
                <w:lang w:val="ro-RO"/>
              </w:rPr>
              <w:t xml:space="preserve"> 15 zile </w:t>
            </w:r>
            <w:r>
              <w:rPr>
                <w:rFonts w:ascii="Times New Roman" w:hAnsi="Times New Roman" w:eastAsia="Times New Roman"/>
                <w:bCs/>
                <w:sz w:val="24"/>
                <w:szCs w:val="24"/>
                <w:lang w:val="ro-RO"/>
              </w:rPr>
              <w:t>de la data publicării în Monitorul Oficial al României, Partea I</w:t>
            </w:r>
            <w:r>
              <w:rPr>
                <w:rFonts w:ascii="Times New Roman" w:hAnsi="Times New Roman" w:eastAsia="Times New Roman"/>
                <w:b/>
                <w:bCs/>
                <w:sz w:val="24"/>
                <w:szCs w:val="24"/>
                <w:lang w:val="ro-RO"/>
              </w:rPr>
              <w:t>, cu excepția prevederilor art. I pct. 1</w:t>
            </w:r>
            <w:r>
              <w:rPr>
                <w:rFonts w:ascii="Times New Roman" w:hAnsi="Times New Roman" w:eastAsia="Times New Roman"/>
                <w:b/>
                <w:bCs/>
                <w:sz w:val="24"/>
                <w:szCs w:val="24"/>
                <w:lang w:val="en-GB"/>
              </w:rPr>
              <w:t>7</w:t>
            </w:r>
            <w:r>
              <w:rPr>
                <w:rFonts w:ascii="Times New Roman" w:hAnsi="Times New Roman" w:eastAsia="Times New Roman"/>
                <w:b/>
                <w:bCs/>
                <w:sz w:val="24"/>
                <w:szCs w:val="24"/>
                <w:lang w:val="ro-RO"/>
              </w:rPr>
              <w:t xml:space="preserve"> care intră în vigoare la data de 1 ianuarie 2021.</w:t>
            </w:r>
          </w:p>
          <w:p>
            <w:pPr>
              <w:widowControl/>
              <w:snapToGrid w:val="0"/>
              <w:jc w:val="both"/>
              <w:rPr>
                <w:rFonts w:ascii="Times New Roman" w:hAnsi="Times New Roman"/>
                <w:i/>
                <w:sz w:val="24"/>
                <w:szCs w:val="24"/>
              </w:rPr>
            </w:pPr>
            <w:r>
              <w:rPr>
                <w:rFonts w:ascii="Times New Roman" w:hAnsi="Times New Roman"/>
                <w:i/>
                <w:sz w:val="24"/>
                <w:szCs w:val="24"/>
              </w:rPr>
              <w:t>Autor: Comisia pentru industrii și servicii</w:t>
            </w:r>
          </w:p>
          <w:p>
            <w:pPr>
              <w:widowControl/>
              <w:snapToGrid w:val="0"/>
              <w:jc w:val="both"/>
              <w:rPr>
                <w:rFonts w:ascii="Times New Roman" w:hAnsi="Times New Roman"/>
                <w:i/>
                <w:sz w:val="24"/>
                <w:szCs w:val="24"/>
              </w:rPr>
            </w:pPr>
            <w:r>
              <w:rPr>
                <w:rFonts w:ascii="Times New Roman" w:hAnsi="Times New Roman"/>
                <w:i/>
                <w:sz w:val="24"/>
                <w:szCs w:val="24"/>
              </w:rPr>
              <w:t xml:space="preserve">Comisia pentru mediu și echilibru ecologic </w:t>
            </w:r>
          </w:p>
        </w:tc>
        <w:tc>
          <w:tcPr>
            <w:tcW w:w="2040" w:type="dxa"/>
          </w:tcPr>
          <w:p>
            <w:pPr>
              <w:jc w:val="both"/>
              <w:rPr>
                <w:rFonts w:ascii="Times New Roman" w:hAnsi="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pPr>
              <w:pStyle w:val="21"/>
              <w:numPr>
                <w:ilvl w:val="0"/>
                <w:numId w:val="1"/>
              </w:numPr>
              <w:ind w:left="306"/>
              <w:jc w:val="both"/>
              <w:rPr>
                <w:rFonts w:ascii="Times New Roman" w:hAnsi="Times New Roman"/>
                <w:sz w:val="24"/>
                <w:szCs w:val="24"/>
              </w:rPr>
            </w:pPr>
          </w:p>
        </w:tc>
        <w:tc>
          <w:tcPr>
            <w:tcW w:w="4667" w:type="dxa"/>
          </w:tcPr>
          <w:p>
            <w:pPr>
              <w:widowControl/>
              <w:shd w:val="clear" w:color="auto" w:fill="FFFFFF"/>
              <w:jc w:val="both"/>
              <w:rPr>
                <w:rFonts w:ascii="Times New Roman" w:hAnsi="Times New Roman"/>
                <w:b/>
                <w:sz w:val="24"/>
                <w:szCs w:val="24"/>
                <w:shd w:val="clear" w:color="auto" w:fill="FFFFFF"/>
              </w:rPr>
            </w:pPr>
          </w:p>
        </w:tc>
        <w:tc>
          <w:tcPr>
            <w:tcW w:w="3009" w:type="dxa"/>
          </w:tcPr>
          <w:p>
            <w:pPr>
              <w:jc w:val="both"/>
              <w:rPr>
                <w:rFonts w:ascii="Times New Roman" w:hAnsi="Times New Roman"/>
                <w:b/>
                <w:sz w:val="24"/>
                <w:szCs w:val="24"/>
              </w:rPr>
            </w:pPr>
          </w:p>
        </w:tc>
        <w:tc>
          <w:tcPr>
            <w:tcW w:w="4992" w:type="dxa"/>
          </w:tcPr>
          <w:p>
            <w:pPr>
              <w:pStyle w:val="6"/>
              <w:jc w:val="both"/>
              <w:rPr>
                <w:rFonts w:ascii="Times New Roman" w:hAnsi="Times New Roman" w:eastAsia="Times New Roman"/>
                <w:b/>
                <w:bCs/>
                <w:sz w:val="24"/>
                <w:szCs w:val="24"/>
                <w:lang w:val="ro-RO"/>
              </w:rPr>
            </w:pPr>
            <w:r>
              <w:rPr>
                <w:rFonts w:ascii="Times New Roman" w:hAnsi="Times New Roman" w:eastAsia="Times New Roman"/>
                <w:b/>
                <w:bCs/>
                <w:sz w:val="24"/>
                <w:szCs w:val="24"/>
                <w:lang w:val="ro-RO"/>
              </w:rPr>
              <w:t>Art. IV. – Până la data de 1 iulie 2021, Guvernul modifică structura de organizare și funcționare a Agenției Naționale pentru Resurse Minerale în vederea schimbării statutului acesteia din agenție în autoritate națională de reglementare în domeniul resurselor minerale și petrolului.</w:t>
            </w:r>
          </w:p>
          <w:p>
            <w:pPr>
              <w:pStyle w:val="6"/>
              <w:jc w:val="both"/>
              <w:rPr>
                <w:rFonts w:ascii="Times New Roman" w:hAnsi="Times New Roman" w:eastAsia="Times New Roman"/>
                <w:bCs/>
                <w:i/>
                <w:sz w:val="24"/>
                <w:szCs w:val="24"/>
                <w:lang w:val="ro-RO"/>
              </w:rPr>
            </w:pPr>
            <w:r>
              <w:rPr>
                <w:rFonts w:ascii="Times New Roman" w:hAnsi="Times New Roman" w:eastAsia="Times New Roman"/>
                <w:bCs/>
                <w:i/>
                <w:sz w:val="24"/>
                <w:szCs w:val="24"/>
                <w:lang w:val="ro-RO"/>
              </w:rPr>
              <w:t>Autor: Comisia pentru industrii și servicii</w:t>
            </w:r>
          </w:p>
          <w:p>
            <w:pPr>
              <w:pStyle w:val="6"/>
              <w:jc w:val="both"/>
              <w:rPr>
                <w:rFonts w:ascii="Times New Roman" w:hAnsi="Times New Roman" w:eastAsia="Times New Roman"/>
                <w:bCs/>
                <w:i/>
                <w:sz w:val="24"/>
                <w:szCs w:val="24"/>
                <w:lang w:val="ro-RO"/>
              </w:rPr>
            </w:pPr>
            <w:r>
              <w:rPr>
                <w:rFonts w:ascii="Times New Roman" w:hAnsi="Times New Roman"/>
                <w:i/>
                <w:sz w:val="24"/>
                <w:szCs w:val="24"/>
              </w:rPr>
              <w:t xml:space="preserve">Comisia pentru mediu și echilibru ecologic </w:t>
            </w:r>
          </w:p>
        </w:tc>
        <w:tc>
          <w:tcPr>
            <w:tcW w:w="2040" w:type="dxa"/>
          </w:tcPr>
          <w:p>
            <w:pPr>
              <w:jc w:val="both"/>
              <w:rPr>
                <w:rFonts w:ascii="Times New Roman" w:hAnsi="Times New Roman"/>
                <w:b/>
                <w:sz w:val="24"/>
                <w:szCs w:val="24"/>
              </w:rPr>
            </w:pPr>
          </w:p>
        </w:tc>
      </w:tr>
    </w:tbl>
    <w:p>
      <w:pPr>
        <w:spacing w:line="360" w:lineRule="auto"/>
        <w:jc w:val="right"/>
        <w:rPr>
          <w:rFonts w:ascii="Times New Roman" w:hAnsi="Times New Roman"/>
          <w:i/>
          <w:sz w:val="24"/>
          <w:szCs w:val="24"/>
        </w:rPr>
      </w:pPr>
    </w:p>
    <w:p>
      <w:pPr>
        <w:spacing w:line="360" w:lineRule="auto"/>
        <w:jc w:val="right"/>
        <w:rPr>
          <w:rFonts w:ascii="Times New Roman" w:hAnsi="Times New Roman"/>
          <w:i/>
          <w:sz w:val="24"/>
          <w:szCs w:val="24"/>
        </w:rPr>
      </w:pPr>
    </w:p>
    <w:p>
      <w:pPr>
        <w:spacing w:line="360" w:lineRule="auto"/>
        <w:jc w:val="right"/>
        <w:rPr>
          <w:rFonts w:ascii="Times New Roman" w:hAnsi="Times New Roman"/>
          <w:i/>
          <w:sz w:val="24"/>
          <w:szCs w:val="24"/>
        </w:rPr>
      </w:pPr>
    </w:p>
    <w:p>
      <w:pPr>
        <w:spacing w:line="360" w:lineRule="auto"/>
        <w:jc w:val="right"/>
        <w:rPr>
          <w:rFonts w:ascii="Times New Roman" w:hAnsi="Times New Roman"/>
          <w:i/>
          <w:sz w:val="24"/>
          <w:szCs w:val="24"/>
        </w:rPr>
      </w:pPr>
    </w:p>
    <w:p>
      <w:pPr>
        <w:spacing w:line="360" w:lineRule="auto"/>
        <w:jc w:val="right"/>
        <w:rPr>
          <w:rFonts w:ascii="Times New Roman" w:hAnsi="Times New Roman"/>
          <w:i/>
          <w:sz w:val="24"/>
          <w:szCs w:val="24"/>
        </w:rPr>
      </w:pPr>
    </w:p>
    <w:p>
      <w:pPr>
        <w:spacing w:line="360" w:lineRule="auto"/>
        <w:jc w:val="right"/>
        <w:rPr>
          <w:rFonts w:ascii="Times New Roman" w:hAnsi="Times New Roman"/>
          <w:i/>
          <w:sz w:val="24"/>
          <w:szCs w:val="24"/>
        </w:rPr>
      </w:pPr>
    </w:p>
    <w:p>
      <w:pPr>
        <w:spacing w:line="360" w:lineRule="auto"/>
        <w:jc w:val="right"/>
        <w:rPr>
          <w:rFonts w:ascii="Times New Roman" w:hAnsi="Times New Roman"/>
          <w:i/>
          <w:sz w:val="24"/>
          <w:szCs w:val="24"/>
        </w:rPr>
      </w:pPr>
    </w:p>
    <w:p>
      <w:pPr>
        <w:spacing w:line="360" w:lineRule="auto"/>
        <w:jc w:val="right"/>
        <w:rPr>
          <w:rFonts w:ascii="Times New Roman" w:hAnsi="Times New Roman"/>
          <w:i/>
          <w:sz w:val="24"/>
          <w:szCs w:val="24"/>
        </w:rPr>
      </w:pPr>
      <w:r>
        <w:rPr>
          <w:rFonts w:ascii="Times New Roman" w:hAnsi="Times New Roman"/>
          <w:i/>
          <w:sz w:val="24"/>
          <w:szCs w:val="24"/>
        </w:rPr>
        <w:t>Anexa nr. 2</w:t>
      </w:r>
    </w:p>
    <w:p>
      <w:pPr>
        <w:spacing w:line="360" w:lineRule="auto"/>
        <w:jc w:val="center"/>
        <w:rPr>
          <w:rFonts w:ascii="Times New Roman" w:hAnsi="Times New Roman"/>
          <w:b/>
          <w:sz w:val="24"/>
          <w:szCs w:val="24"/>
        </w:rPr>
      </w:pPr>
      <w:r>
        <w:rPr>
          <w:rFonts w:ascii="Times New Roman" w:hAnsi="Times New Roman"/>
          <w:b/>
          <w:sz w:val="24"/>
          <w:szCs w:val="24"/>
        </w:rPr>
        <w:t>AMENDAMENTE RESPINSE</w:t>
      </w:r>
    </w:p>
    <w:p>
      <w:pPr>
        <w:spacing w:line="360" w:lineRule="auto"/>
        <w:jc w:val="center"/>
        <w:rPr>
          <w:rFonts w:ascii="Times New Roman" w:hAnsi="Times New Roman"/>
          <w:b/>
          <w:sz w:val="24"/>
          <w:szCs w:val="24"/>
        </w:rPr>
      </w:pPr>
    </w:p>
    <w:tbl>
      <w:tblPr>
        <w:tblStyle w:val="17"/>
        <w:tblW w:w="15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4242"/>
        <w:gridCol w:w="4252"/>
        <w:gridCol w:w="4536"/>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pPr>
              <w:jc w:val="center"/>
              <w:rPr>
                <w:rFonts w:ascii="Times New Roman" w:hAnsi="Times New Roman"/>
                <w:b/>
                <w:sz w:val="24"/>
                <w:szCs w:val="24"/>
              </w:rPr>
            </w:pPr>
            <w:r>
              <w:rPr>
                <w:rFonts w:ascii="Times New Roman" w:hAnsi="Times New Roman"/>
                <w:b/>
                <w:sz w:val="24"/>
                <w:szCs w:val="24"/>
              </w:rPr>
              <w:t>Nr. Crt.</w:t>
            </w:r>
          </w:p>
        </w:tc>
        <w:tc>
          <w:tcPr>
            <w:tcW w:w="4242" w:type="dxa"/>
            <w:vAlign w:val="center"/>
          </w:tcPr>
          <w:p>
            <w:pPr>
              <w:jc w:val="center"/>
              <w:rPr>
                <w:rFonts w:ascii="Times New Roman" w:hAnsi="Times New Roman"/>
                <w:b/>
                <w:sz w:val="24"/>
                <w:szCs w:val="24"/>
              </w:rPr>
            </w:pPr>
            <w:r>
              <w:rPr>
                <w:rFonts w:ascii="Times New Roman" w:hAnsi="Times New Roman"/>
                <w:b/>
                <w:sz w:val="24"/>
                <w:szCs w:val="24"/>
              </w:rPr>
              <w:t>Text Senat</w:t>
            </w:r>
          </w:p>
        </w:tc>
        <w:tc>
          <w:tcPr>
            <w:tcW w:w="4252" w:type="dxa"/>
            <w:vAlign w:val="center"/>
          </w:tcPr>
          <w:p>
            <w:pPr>
              <w:jc w:val="center"/>
              <w:rPr>
                <w:rFonts w:ascii="Times New Roman" w:hAnsi="Times New Roman"/>
                <w:b/>
                <w:sz w:val="24"/>
                <w:szCs w:val="24"/>
              </w:rPr>
            </w:pPr>
            <w:r>
              <w:rPr>
                <w:rFonts w:ascii="Times New Roman" w:hAnsi="Times New Roman"/>
                <w:b/>
                <w:sz w:val="24"/>
                <w:szCs w:val="24"/>
              </w:rPr>
              <w:t>Amendamente respinse/autor</w:t>
            </w:r>
          </w:p>
        </w:tc>
        <w:tc>
          <w:tcPr>
            <w:tcW w:w="4536" w:type="dxa"/>
            <w:vAlign w:val="center"/>
          </w:tcPr>
          <w:p>
            <w:pPr>
              <w:jc w:val="center"/>
              <w:rPr>
                <w:rFonts w:ascii="Times New Roman" w:hAnsi="Times New Roman"/>
                <w:b/>
                <w:sz w:val="24"/>
                <w:szCs w:val="24"/>
              </w:rPr>
            </w:pPr>
            <w:r>
              <w:rPr>
                <w:rFonts w:ascii="Times New Roman" w:hAnsi="Times New Roman"/>
                <w:b/>
                <w:sz w:val="24"/>
                <w:szCs w:val="24"/>
              </w:rPr>
              <w:t>Motivarea susținerii/motivarea respingerii</w:t>
            </w:r>
          </w:p>
        </w:tc>
        <w:tc>
          <w:tcPr>
            <w:tcW w:w="1701" w:type="dxa"/>
          </w:tcPr>
          <w:p>
            <w:pPr>
              <w:jc w:val="both"/>
              <w:rPr>
                <w:rFonts w:ascii="Times New Roman" w:hAnsi="Times New Roman"/>
                <w:b/>
                <w:sz w:val="24"/>
                <w:szCs w:val="24"/>
              </w:rPr>
            </w:pPr>
            <w:r>
              <w:rPr>
                <w:rFonts w:ascii="Times New Roman" w:hAnsi="Times New Roman"/>
                <w:b/>
                <w:sz w:val="24"/>
                <w:szCs w:val="24"/>
              </w:rPr>
              <w:t>Cameră Decizională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widowControl/>
              <w:numPr>
                <w:ilvl w:val="0"/>
                <w:numId w:val="5"/>
              </w:numPr>
              <w:jc w:val="both"/>
              <w:rPr>
                <w:rFonts w:ascii="Times New Roman" w:hAnsi="Times New Roman"/>
                <w:sz w:val="24"/>
                <w:szCs w:val="24"/>
              </w:rPr>
            </w:pPr>
          </w:p>
        </w:tc>
        <w:tc>
          <w:tcPr>
            <w:tcW w:w="4242" w:type="dxa"/>
          </w:tcPr>
          <w:p>
            <w:pPr>
              <w:rPr>
                <w:rFonts w:ascii="Times New Roman" w:hAnsi="Times New Roman"/>
                <w:b/>
                <w:sz w:val="24"/>
                <w:szCs w:val="24"/>
              </w:rPr>
            </w:pPr>
            <w:r>
              <w:rPr>
                <w:rFonts w:ascii="Times New Roman" w:hAnsi="Times New Roman"/>
                <w:b/>
                <w:sz w:val="24"/>
                <w:szCs w:val="24"/>
              </w:rPr>
              <w:t>Titlul Legii</w:t>
            </w:r>
          </w:p>
          <w:p>
            <w:pPr>
              <w:jc w:val="center"/>
              <w:rPr>
                <w:rFonts w:ascii="Times New Roman" w:hAnsi="Times New Roman"/>
                <w:b/>
                <w:sz w:val="24"/>
                <w:szCs w:val="24"/>
              </w:rPr>
            </w:pPr>
          </w:p>
          <w:p>
            <w:pPr>
              <w:jc w:val="center"/>
              <w:rPr>
                <w:rFonts w:ascii="Times New Roman" w:hAnsi="Times New Roman"/>
                <w:sz w:val="24"/>
                <w:szCs w:val="24"/>
              </w:rPr>
            </w:pPr>
            <w:r>
              <w:rPr>
                <w:rFonts w:ascii="Times New Roman" w:hAnsi="Times New Roman"/>
                <w:sz w:val="24"/>
                <w:szCs w:val="24"/>
              </w:rPr>
              <w:t>LEGE</w:t>
            </w:r>
          </w:p>
          <w:p>
            <w:pPr>
              <w:jc w:val="both"/>
              <w:rPr>
                <w:rFonts w:ascii="Times New Roman" w:hAnsi="Times New Roman"/>
                <w:b/>
                <w:sz w:val="24"/>
                <w:szCs w:val="24"/>
              </w:rPr>
            </w:pPr>
            <w:r>
              <w:rPr>
                <w:rFonts w:ascii="Times New Roman" w:hAnsi="Times New Roman"/>
                <w:sz w:val="24"/>
                <w:szCs w:val="24"/>
              </w:rPr>
              <w:t>pentru completarea art. 45 din Legea minelor nr. 85/2003</w:t>
            </w:r>
          </w:p>
        </w:tc>
        <w:tc>
          <w:tcPr>
            <w:tcW w:w="4252" w:type="dxa"/>
          </w:tcPr>
          <w:p>
            <w:pPr>
              <w:jc w:val="both"/>
              <w:rPr>
                <w:rFonts w:ascii="Times New Roman" w:hAnsi="Times New Roman"/>
                <w:b/>
                <w:sz w:val="24"/>
                <w:szCs w:val="24"/>
              </w:rPr>
            </w:pPr>
            <w:r>
              <w:rPr>
                <w:rFonts w:ascii="Times New Roman" w:hAnsi="Times New Roman"/>
                <w:b/>
                <w:sz w:val="24"/>
                <w:szCs w:val="24"/>
              </w:rPr>
              <w:t>1. Titlul legii se modifică și va avea următorul cuprins:</w:t>
            </w:r>
          </w:p>
          <w:p>
            <w:pPr>
              <w:jc w:val="both"/>
              <w:rPr>
                <w:rFonts w:ascii="Times New Roman" w:hAnsi="Times New Roman"/>
                <w:sz w:val="24"/>
                <w:szCs w:val="24"/>
              </w:rPr>
            </w:pPr>
          </w:p>
          <w:p>
            <w:pPr>
              <w:jc w:val="both"/>
              <w:rPr>
                <w:rFonts w:ascii="Times New Roman" w:hAnsi="Times New Roman"/>
                <w:sz w:val="24"/>
                <w:szCs w:val="24"/>
              </w:rPr>
            </w:pPr>
            <w:r>
              <w:rPr>
                <w:rFonts w:ascii="Times New Roman" w:hAnsi="Times New Roman"/>
                <w:sz w:val="24"/>
                <w:szCs w:val="24"/>
              </w:rPr>
              <w:t xml:space="preserve">Lege </w:t>
            </w:r>
            <w:r>
              <w:rPr>
                <w:rFonts w:ascii="Times New Roman" w:hAnsi="Times New Roman"/>
                <w:b/>
                <w:sz w:val="24"/>
                <w:szCs w:val="24"/>
              </w:rPr>
              <w:t>pentru</w:t>
            </w:r>
            <w:r>
              <w:rPr>
                <w:rFonts w:ascii="Times New Roman" w:hAnsi="Times New Roman"/>
                <w:sz w:val="24"/>
                <w:szCs w:val="24"/>
              </w:rPr>
              <w:t xml:space="preserve"> completarea art. 45 din Legea minelor nr.85/2003</w:t>
            </w:r>
          </w:p>
          <w:p>
            <w:pPr>
              <w:jc w:val="both"/>
              <w:rPr>
                <w:rFonts w:ascii="Times New Roman" w:hAnsi="Times New Roman"/>
                <w:sz w:val="24"/>
                <w:szCs w:val="24"/>
              </w:rPr>
            </w:pPr>
            <w:r>
              <w:rPr>
                <w:rFonts w:ascii="Times New Roman" w:hAnsi="Times New Roman"/>
                <w:sz w:val="24"/>
                <w:szCs w:val="24"/>
              </w:rPr>
              <w:t>Autor:</w:t>
            </w:r>
          </w:p>
          <w:p>
            <w:pPr>
              <w:jc w:val="both"/>
              <w:rPr>
                <w:rFonts w:ascii="Times New Roman" w:hAnsi="Times New Roman"/>
                <w:b/>
                <w:sz w:val="24"/>
                <w:szCs w:val="24"/>
              </w:rPr>
            </w:pPr>
            <w:r>
              <w:rPr>
                <w:rFonts w:ascii="Times New Roman" w:hAnsi="Times New Roman"/>
                <w:b/>
                <w:sz w:val="24"/>
                <w:szCs w:val="24"/>
              </w:rPr>
              <w:t>Alfred - Robert SIMONIS – deputat PSD</w:t>
            </w:r>
          </w:p>
        </w:tc>
        <w:tc>
          <w:tcPr>
            <w:tcW w:w="4536" w:type="dxa"/>
          </w:tcPr>
          <w:p>
            <w:pPr>
              <w:jc w:val="both"/>
              <w:rPr>
                <w:rFonts w:ascii="Times New Roman" w:hAnsi="Times New Roman"/>
                <w:sz w:val="24"/>
                <w:szCs w:val="24"/>
              </w:rPr>
            </w:pPr>
            <w:r>
              <w:rPr>
                <w:rFonts w:ascii="Times New Roman" w:hAnsi="Times New Roman"/>
                <w:sz w:val="24"/>
                <w:szCs w:val="24"/>
              </w:rPr>
              <w:t>Motivarea susținerii</w:t>
            </w:r>
          </w:p>
          <w:p>
            <w:pPr>
              <w:jc w:val="both"/>
              <w:rPr>
                <w:rFonts w:ascii="Times New Roman" w:hAnsi="Times New Roman"/>
                <w:sz w:val="24"/>
                <w:szCs w:val="24"/>
              </w:rPr>
            </w:pPr>
            <w:r>
              <w:rPr>
                <w:rFonts w:ascii="Times New Roman" w:hAnsi="Times New Roman"/>
                <w:sz w:val="24"/>
                <w:szCs w:val="24"/>
              </w:rPr>
              <w:t>În concordanță cu observațiile Consiliului Legislativ.</w:t>
            </w:r>
          </w:p>
          <w:p>
            <w:pPr>
              <w:jc w:val="both"/>
              <w:rPr>
                <w:rFonts w:ascii="Times New Roman" w:hAnsi="Times New Roman"/>
                <w:sz w:val="24"/>
                <w:szCs w:val="24"/>
              </w:rPr>
            </w:pPr>
          </w:p>
          <w:p>
            <w:pPr>
              <w:jc w:val="both"/>
              <w:rPr>
                <w:rFonts w:ascii="Times New Roman" w:hAnsi="Times New Roman"/>
                <w:sz w:val="24"/>
                <w:szCs w:val="24"/>
              </w:rPr>
            </w:pPr>
            <w:r>
              <w:rPr>
                <w:rFonts w:ascii="Times New Roman" w:hAnsi="Times New Roman"/>
                <w:sz w:val="24"/>
                <w:szCs w:val="24"/>
              </w:rPr>
              <w:t>Motivarea respingerii</w:t>
            </w:r>
          </w:p>
          <w:p>
            <w:pPr>
              <w:jc w:val="both"/>
              <w:rPr>
                <w:rFonts w:ascii="Times New Roman" w:hAnsi="Times New Roman"/>
                <w:b/>
                <w:sz w:val="24"/>
                <w:szCs w:val="24"/>
              </w:rPr>
            </w:pPr>
            <w:r>
              <w:rPr>
                <w:rFonts w:ascii="Times New Roman" w:hAnsi="Times New Roman"/>
                <w:sz w:val="24"/>
                <w:szCs w:val="24"/>
              </w:rPr>
              <w:t>În urma introducerii noilor amendamente titlul legii se modifică.</w:t>
            </w:r>
          </w:p>
        </w:tc>
        <w:tc>
          <w:tcPr>
            <w:tcW w:w="1701" w:type="dxa"/>
          </w:tcPr>
          <w:p>
            <w:pPr>
              <w:jc w:val="both"/>
              <w:rPr>
                <w:rFonts w:ascii="Times New Roman" w:hAnsi="Times New Roman"/>
                <w:b/>
                <w:sz w:val="24"/>
                <w:szCs w:val="24"/>
              </w:rPr>
            </w:pPr>
            <w:r>
              <w:rPr>
                <w:rFonts w:ascii="Times New Roman" w:hAnsi="Times New Roman"/>
                <w:b/>
                <w:sz w:val="24"/>
                <w:szCs w:val="24"/>
              </w:rPr>
              <w:t>Camera Deputaților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widowControl/>
              <w:numPr>
                <w:ilvl w:val="0"/>
                <w:numId w:val="5"/>
              </w:numPr>
              <w:jc w:val="both"/>
              <w:rPr>
                <w:rFonts w:ascii="Times New Roman" w:hAnsi="Times New Roman"/>
                <w:sz w:val="24"/>
                <w:szCs w:val="24"/>
              </w:rPr>
            </w:pPr>
          </w:p>
        </w:tc>
        <w:tc>
          <w:tcPr>
            <w:tcW w:w="4242" w:type="dxa"/>
          </w:tcPr>
          <w:p>
            <w:pPr>
              <w:jc w:val="both"/>
              <w:rPr>
                <w:rFonts w:ascii="Times New Roman" w:hAnsi="Times New Roman"/>
                <w:sz w:val="24"/>
                <w:szCs w:val="24"/>
              </w:rPr>
            </w:pPr>
          </w:p>
        </w:tc>
        <w:tc>
          <w:tcPr>
            <w:tcW w:w="4252" w:type="dxa"/>
          </w:tcPr>
          <w:p>
            <w:pPr>
              <w:jc w:val="both"/>
              <w:rPr>
                <w:rFonts w:ascii="Times New Roman" w:hAnsi="Times New Roman"/>
                <w:b/>
                <w:bCs/>
                <w:iCs/>
                <w:sz w:val="24"/>
                <w:szCs w:val="24"/>
              </w:rPr>
            </w:pPr>
            <w:r>
              <w:rPr>
                <w:rFonts w:ascii="Times New Roman" w:hAnsi="Times New Roman"/>
                <w:b/>
                <w:bCs/>
                <w:iCs/>
                <w:sz w:val="24"/>
                <w:szCs w:val="24"/>
              </w:rPr>
              <w:t>2. La articolul 3, după punctul 1, se introduce un nou punct, punctul 1</w:t>
            </w:r>
            <w:r>
              <w:rPr>
                <w:rFonts w:ascii="Times New Roman" w:hAnsi="Times New Roman"/>
                <w:b/>
                <w:bCs/>
                <w:iCs/>
                <w:sz w:val="24"/>
                <w:szCs w:val="24"/>
                <w:vertAlign w:val="superscript"/>
              </w:rPr>
              <w:t>1</w:t>
            </w:r>
            <w:r>
              <w:rPr>
                <w:rFonts w:ascii="Times New Roman" w:hAnsi="Times New Roman"/>
                <w:b/>
                <w:bCs/>
                <w:iCs/>
                <w:sz w:val="24"/>
                <w:szCs w:val="24"/>
              </w:rPr>
              <w:t xml:space="preserve">, cu următorul cuprins: </w:t>
            </w:r>
          </w:p>
          <w:p>
            <w:pPr>
              <w:jc w:val="both"/>
              <w:rPr>
                <w:rFonts w:ascii="Times New Roman" w:hAnsi="Times New Roman"/>
                <w:b/>
                <w:bCs/>
                <w:iCs/>
                <w:sz w:val="24"/>
                <w:szCs w:val="24"/>
              </w:rPr>
            </w:pPr>
            <w:r>
              <w:rPr>
                <w:rFonts w:ascii="Times New Roman" w:hAnsi="Times New Roman"/>
                <w:b/>
                <w:bCs/>
                <w:iCs/>
                <w:sz w:val="24"/>
                <w:szCs w:val="24"/>
              </w:rPr>
              <w:t>1</w:t>
            </w:r>
            <w:r>
              <w:rPr>
                <w:rFonts w:ascii="Times New Roman" w:hAnsi="Times New Roman"/>
                <w:b/>
                <w:bCs/>
                <w:iCs/>
                <w:sz w:val="24"/>
                <w:szCs w:val="24"/>
                <w:vertAlign w:val="superscript"/>
              </w:rPr>
              <w:t>1</w:t>
            </w:r>
            <w:r>
              <w:rPr>
                <w:rFonts w:ascii="Times New Roman" w:hAnsi="Times New Roman"/>
                <w:b/>
                <w:bCs/>
                <w:iCs/>
                <w:sz w:val="24"/>
                <w:szCs w:val="24"/>
              </w:rPr>
              <w:t xml:space="preserve">. </w:t>
            </w:r>
            <w:r>
              <w:rPr>
                <w:rFonts w:ascii="Times New Roman" w:hAnsi="Times New Roman"/>
                <w:b/>
                <w:bCs/>
                <w:i/>
                <w:sz w:val="24"/>
                <w:szCs w:val="24"/>
              </w:rPr>
              <w:t xml:space="preserve">active corespunzătoare activității miniere </w:t>
            </w:r>
            <w:r>
              <w:rPr>
                <w:rFonts w:ascii="Times New Roman" w:hAnsi="Times New Roman"/>
                <w:b/>
                <w:bCs/>
                <w:iCs/>
                <w:sz w:val="24"/>
                <w:szCs w:val="24"/>
              </w:rPr>
              <w:t xml:space="preserve">- bunuri mobile și/sau imobile destinate, prin natura lor sau prin voința proprietarului, desfășurării unei activități miniere;” </w:t>
            </w:r>
          </w:p>
          <w:p>
            <w:pPr>
              <w:jc w:val="both"/>
              <w:rPr>
                <w:rFonts w:ascii="Times New Roman" w:hAnsi="Times New Roman"/>
                <w:i/>
                <w:sz w:val="24"/>
                <w:szCs w:val="24"/>
              </w:rPr>
            </w:pPr>
            <w:r>
              <w:rPr>
                <w:rFonts w:ascii="Times New Roman" w:hAnsi="Times New Roman"/>
                <w:i/>
                <w:sz w:val="24"/>
                <w:szCs w:val="24"/>
              </w:rPr>
              <w:t>Autor: Sorin Bumb, deputat PNL</w:t>
            </w:r>
          </w:p>
        </w:tc>
        <w:tc>
          <w:tcPr>
            <w:tcW w:w="4536" w:type="dxa"/>
          </w:tcPr>
          <w:p>
            <w:pPr>
              <w:jc w:val="both"/>
              <w:rPr>
                <w:rFonts w:ascii="Times New Roman" w:hAnsi="Times New Roman"/>
                <w:sz w:val="20"/>
                <w:szCs w:val="20"/>
              </w:rPr>
            </w:pPr>
          </w:p>
        </w:tc>
        <w:tc>
          <w:tcPr>
            <w:tcW w:w="1701" w:type="dxa"/>
          </w:tcPr>
          <w:p>
            <w:pPr>
              <w:jc w:val="both"/>
              <w:rPr>
                <w:rFonts w:ascii="Times New Roman" w:hAnsi="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widowControl/>
              <w:numPr>
                <w:ilvl w:val="0"/>
                <w:numId w:val="5"/>
              </w:numPr>
              <w:jc w:val="both"/>
              <w:rPr>
                <w:rFonts w:ascii="Times New Roman" w:hAnsi="Times New Roman"/>
                <w:sz w:val="24"/>
                <w:szCs w:val="24"/>
              </w:rPr>
            </w:pPr>
          </w:p>
        </w:tc>
        <w:tc>
          <w:tcPr>
            <w:tcW w:w="4242" w:type="dxa"/>
          </w:tcPr>
          <w:p>
            <w:pPr>
              <w:jc w:val="both"/>
              <w:rPr>
                <w:rFonts w:ascii="Times New Roman" w:hAnsi="Times New Roman"/>
                <w:sz w:val="24"/>
                <w:szCs w:val="24"/>
              </w:rPr>
            </w:pPr>
          </w:p>
        </w:tc>
        <w:tc>
          <w:tcPr>
            <w:tcW w:w="4252" w:type="dxa"/>
          </w:tcPr>
          <w:p>
            <w:pPr>
              <w:widowControl/>
              <w:jc w:val="both"/>
              <w:rPr>
                <w:rFonts w:ascii="Times New Roman" w:hAnsi="Times New Roman" w:eastAsia="Times New Roman"/>
                <w:b/>
                <w:sz w:val="24"/>
                <w:szCs w:val="24"/>
              </w:rPr>
            </w:pPr>
            <w:r>
              <w:rPr>
                <w:rFonts w:ascii="Times New Roman" w:hAnsi="Times New Roman" w:eastAsia="Times New Roman"/>
                <w:b/>
                <w:sz w:val="24"/>
                <w:szCs w:val="24"/>
              </w:rPr>
              <w:t>3. La articolul 3, după punctul 17, se introduce un nou punct,  punctul 17</w:t>
            </w:r>
            <w:r>
              <w:rPr>
                <w:rFonts w:ascii="Times New Roman" w:hAnsi="Times New Roman" w:eastAsia="Times New Roman"/>
                <w:b/>
                <w:sz w:val="24"/>
                <w:szCs w:val="24"/>
                <w:vertAlign w:val="superscript"/>
              </w:rPr>
              <w:t>1</w:t>
            </w:r>
            <w:r>
              <w:rPr>
                <w:rFonts w:ascii="Times New Roman" w:hAnsi="Times New Roman" w:eastAsia="Times New Roman"/>
                <w:b/>
                <w:sz w:val="24"/>
                <w:szCs w:val="24"/>
              </w:rPr>
              <w:t xml:space="preserve">, cu următorulcuprins: </w:t>
            </w:r>
          </w:p>
          <w:p>
            <w:pPr>
              <w:widowControl/>
              <w:jc w:val="both"/>
              <w:rPr>
                <w:rFonts w:ascii="Times New Roman" w:hAnsi="Times New Roman" w:eastAsia="Times New Roman"/>
                <w:b/>
                <w:bCs/>
                <w:sz w:val="24"/>
                <w:szCs w:val="24"/>
              </w:rPr>
            </w:pPr>
            <w:r>
              <w:rPr>
                <w:rFonts w:ascii="Times New Roman" w:hAnsi="Times New Roman" w:eastAsia="Times New Roman"/>
                <w:b/>
                <w:bCs/>
                <w:sz w:val="24"/>
                <w:szCs w:val="24"/>
              </w:rPr>
              <w:t>„17</w:t>
            </w:r>
            <w:r>
              <w:rPr>
                <w:rFonts w:ascii="Times New Roman" w:hAnsi="Times New Roman" w:eastAsia="Times New Roman"/>
                <w:b/>
                <w:bCs/>
                <w:sz w:val="24"/>
                <w:szCs w:val="24"/>
                <w:vertAlign w:val="superscript"/>
              </w:rPr>
              <w:t>1</w:t>
            </w:r>
            <w:r>
              <w:rPr>
                <w:rFonts w:ascii="Times New Roman" w:hAnsi="Times New Roman" w:eastAsia="Times New Roman"/>
                <w:b/>
                <w:bCs/>
                <w:sz w:val="24"/>
                <w:szCs w:val="24"/>
              </w:rPr>
              <w:t xml:space="preserve">. </w:t>
            </w:r>
            <w:r>
              <w:rPr>
                <w:rFonts w:ascii="Times New Roman" w:hAnsi="Times New Roman" w:eastAsia="Times New Roman"/>
                <w:b/>
                <w:bCs/>
                <w:i/>
                <w:iCs/>
                <w:sz w:val="24"/>
                <w:szCs w:val="24"/>
              </w:rPr>
              <w:t>licență în curs de aprobare în vederea intrării în vigoare</w:t>
            </w:r>
            <w:r>
              <w:rPr>
                <w:rFonts w:ascii="Times New Roman" w:hAnsi="Times New Roman" w:eastAsia="Times New Roman"/>
                <w:b/>
                <w:bCs/>
                <w:sz w:val="24"/>
                <w:szCs w:val="24"/>
              </w:rPr>
              <w:t xml:space="preserve"> – licența încheiată conform legii, pentru care autoritatea competentă a inițiat procedurile legale privind aprobarea intrării în vigoare, după cum urmează: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a) </w:t>
            </w:r>
            <w:r>
              <w:rPr>
                <w:rFonts w:ascii="Times New Roman" w:hAnsi="Times New Roman" w:eastAsia="Times New Roman"/>
                <w:b/>
                <w:bCs/>
                <w:sz w:val="24"/>
                <w:szCs w:val="24"/>
                <w:lang w:val="en-GB"/>
              </w:rPr>
              <w:t>prin</w:t>
            </w:r>
            <w:r>
              <w:rPr>
                <w:rFonts w:ascii="Times New Roman" w:hAnsi="Times New Roman" w:eastAsia="Times New Roman"/>
                <w:b/>
                <w:bCs/>
                <w:sz w:val="24"/>
                <w:szCs w:val="24"/>
              </w:rPr>
              <w:t xml:space="preserve"> emiterea ordinului președintelui autorității competente de aprobare a licenței, în cazurile prevăzute de art. 21 alin.(1</w:t>
            </w:r>
            <w:r>
              <w:rPr>
                <w:rFonts w:ascii="Times New Roman" w:hAnsi="Times New Roman" w:eastAsia="Times New Roman"/>
                <w:b/>
                <w:bCs/>
                <w:sz w:val="24"/>
                <w:szCs w:val="24"/>
                <w:vertAlign w:val="superscript"/>
              </w:rPr>
              <w:t>1</w:t>
            </w:r>
            <w:r>
              <w:rPr>
                <w:rFonts w:ascii="Times New Roman" w:hAnsi="Times New Roman" w:eastAsia="Times New Roman"/>
                <w:b/>
                <w:bCs/>
                <w:sz w:val="24"/>
                <w:szCs w:val="24"/>
              </w:rPr>
              <w:t>) și alin.(1</w:t>
            </w:r>
            <w:r>
              <w:rPr>
                <w:rFonts w:ascii="Times New Roman" w:hAnsi="Times New Roman" w:eastAsia="Times New Roman"/>
                <w:b/>
                <w:bCs/>
                <w:sz w:val="24"/>
                <w:szCs w:val="24"/>
                <w:vertAlign w:val="superscript"/>
              </w:rPr>
              <w:t>2</w:t>
            </w:r>
            <w:r>
              <w:rPr>
                <w:rFonts w:ascii="Times New Roman" w:hAnsi="Times New Roman" w:eastAsia="Times New Roman"/>
                <w:b/>
                <w:bCs/>
                <w:sz w:val="24"/>
                <w:szCs w:val="24"/>
              </w:rPr>
              <w:t xml:space="preserve">) lit.a);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b) este inițiată, conform legii,  de către autoritatea competentă  procedura la nivelul Guvernului, pentru elaborarea, avizarea şi prezentarea proiectelor de documente de politici publice, a proiectelor de acte normative, precum şi a altor documente, în vederea adoptării/aprobării, în cazurile prevăzute de art.21 alin.(1</w:t>
            </w:r>
            <w:r>
              <w:rPr>
                <w:rFonts w:ascii="Times New Roman" w:hAnsi="Times New Roman" w:eastAsia="Times New Roman"/>
                <w:b/>
                <w:bCs/>
                <w:sz w:val="24"/>
                <w:szCs w:val="24"/>
                <w:vertAlign w:val="superscript"/>
              </w:rPr>
              <w:t>2</w:t>
            </w:r>
            <w:r>
              <w:rPr>
                <w:rFonts w:ascii="Times New Roman" w:hAnsi="Times New Roman" w:eastAsia="Times New Roman"/>
                <w:b/>
                <w:bCs/>
                <w:sz w:val="24"/>
                <w:szCs w:val="24"/>
              </w:rPr>
              <w:t xml:space="preserve">) lit.b).”  </w:t>
            </w:r>
          </w:p>
          <w:p>
            <w:pPr>
              <w:jc w:val="both"/>
              <w:rPr>
                <w:rFonts w:ascii="Times New Roman" w:hAnsi="Times New Roman"/>
                <w:sz w:val="24"/>
                <w:szCs w:val="24"/>
              </w:rPr>
            </w:pPr>
            <w:r>
              <w:rPr>
                <w:rFonts w:ascii="Times New Roman" w:hAnsi="Times New Roman" w:eastAsia="Times New Roman"/>
                <w:i/>
                <w:sz w:val="24"/>
                <w:szCs w:val="24"/>
              </w:rPr>
              <w:t>Autor: Sorin Bumb, deputat PNL</w:t>
            </w:r>
          </w:p>
        </w:tc>
        <w:tc>
          <w:tcPr>
            <w:tcW w:w="4536" w:type="dxa"/>
          </w:tcPr>
          <w:p>
            <w:pPr>
              <w:jc w:val="both"/>
              <w:rPr>
                <w:rFonts w:ascii="Times New Roman" w:hAnsi="Times New Roman"/>
                <w:sz w:val="24"/>
                <w:szCs w:val="24"/>
              </w:rPr>
            </w:pPr>
            <w:r>
              <w:rPr>
                <w:rFonts w:ascii="Times New Roman" w:hAnsi="Times New Roman"/>
                <w:sz w:val="24"/>
                <w:szCs w:val="24"/>
              </w:rPr>
              <w:t>Motivarea respingerii</w:t>
            </w:r>
          </w:p>
          <w:p>
            <w:pPr>
              <w:jc w:val="both"/>
              <w:rPr>
                <w:rFonts w:ascii="Times New Roman" w:hAnsi="Times New Roman"/>
                <w:sz w:val="20"/>
                <w:szCs w:val="20"/>
              </w:rPr>
            </w:pPr>
            <w:r>
              <w:rPr>
                <w:rFonts w:ascii="Times New Roman" w:hAnsi="Times New Roman"/>
                <w:sz w:val="24"/>
                <w:szCs w:val="24"/>
              </w:rPr>
              <w:t>În urma introducerii noilor amendamente, acesta se modifică.</w:t>
            </w:r>
          </w:p>
        </w:tc>
        <w:tc>
          <w:tcPr>
            <w:tcW w:w="1701" w:type="dxa"/>
          </w:tcPr>
          <w:p>
            <w:pPr>
              <w:jc w:val="both"/>
              <w:rPr>
                <w:rFonts w:ascii="Times New Roman" w:hAnsi="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widowControl/>
              <w:numPr>
                <w:ilvl w:val="0"/>
                <w:numId w:val="5"/>
              </w:numPr>
              <w:jc w:val="both"/>
              <w:rPr>
                <w:rFonts w:ascii="Times New Roman" w:hAnsi="Times New Roman"/>
                <w:sz w:val="24"/>
                <w:szCs w:val="24"/>
              </w:rPr>
            </w:pPr>
          </w:p>
        </w:tc>
        <w:tc>
          <w:tcPr>
            <w:tcW w:w="4242" w:type="dxa"/>
          </w:tcPr>
          <w:p>
            <w:pPr>
              <w:jc w:val="both"/>
              <w:rPr>
                <w:rFonts w:ascii="Times New Roman" w:hAnsi="Times New Roman"/>
                <w:sz w:val="24"/>
                <w:szCs w:val="24"/>
              </w:rPr>
            </w:pPr>
          </w:p>
        </w:tc>
        <w:tc>
          <w:tcPr>
            <w:tcW w:w="4252" w:type="dxa"/>
          </w:tcPr>
          <w:p>
            <w:pPr>
              <w:widowControl/>
              <w:jc w:val="both"/>
              <w:rPr>
                <w:rFonts w:ascii="Times New Roman" w:hAnsi="Times New Roman" w:eastAsia="Times New Roman"/>
                <w:b/>
                <w:sz w:val="24"/>
                <w:szCs w:val="24"/>
              </w:rPr>
            </w:pPr>
            <w:r>
              <w:rPr>
                <w:rFonts w:ascii="Times New Roman" w:hAnsi="Times New Roman" w:eastAsia="Times New Roman"/>
                <w:b/>
                <w:sz w:val="24"/>
                <w:szCs w:val="24"/>
              </w:rPr>
              <w:t>4. La articolul 21, după alineatul (1) se introduc trei noi alineate, alineatele (1</w:t>
            </w:r>
            <w:r>
              <w:rPr>
                <w:rFonts w:ascii="Times New Roman" w:hAnsi="Times New Roman" w:eastAsia="Times New Roman"/>
                <w:b/>
                <w:sz w:val="24"/>
                <w:szCs w:val="24"/>
                <w:vertAlign w:val="superscript"/>
              </w:rPr>
              <w:t>1</w:t>
            </w:r>
            <w:r>
              <w:rPr>
                <w:rFonts w:ascii="Times New Roman" w:hAnsi="Times New Roman" w:eastAsia="Times New Roman"/>
                <w:b/>
                <w:sz w:val="24"/>
                <w:szCs w:val="24"/>
              </w:rPr>
              <w:t>) -alin.(1</w:t>
            </w:r>
            <w:r>
              <w:rPr>
                <w:rFonts w:ascii="Times New Roman" w:hAnsi="Times New Roman" w:eastAsia="Times New Roman"/>
                <w:b/>
                <w:sz w:val="24"/>
                <w:szCs w:val="24"/>
                <w:vertAlign w:val="superscript"/>
              </w:rPr>
              <w:t>3</w:t>
            </w:r>
            <w:r>
              <w:rPr>
                <w:rFonts w:ascii="Times New Roman" w:hAnsi="Times New Roman" w:eastAsia="Times New Roman"/>
                <w:b/>
                <w:sz w:val="24"/>
                <w:szCs w:val="24"/>
              </w:rPr>
              <w:t xml:space="preserve">), cu următorul cuprins: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„(1</w:t>
            </w:r>
            <w:r>
              <w:rPr>
                <w:rFonts w:ascii="Times New Roman" w:hAnsi="Times New Roman" w:eastAsia="Times New Roman"/>
                <w:b/>
                <w:bCs/>
                <w:sz w:val="24"/>
                <w:szCs w:val="24"/>
                <w:vertAlign w:val="superscript"/>
              </w:rPr>
              <w:t>1</w:t>
            </w:r>
            <w:r>
              <w:rPr>
                <w:rFonts w:ascii="Times New Roman" w:hAnsi="Times New Roman" w:eastAsia="Times New Roman"/>
                <w:b/>
                <w:bCs/>
                <w:sz w:val="24"/>
                <w:szCs w:val="24"/>
              </w:rPr>
              <w:t xml:space="preserve">) Pentru explorare licență intră în vigoare la data intrării în vigoare a ordinului președintelui autorității competente de aprobare a acesteia .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(1</w:t>
            </w:r>
            <w:r>
              <w:rPr>
                <w:rFonts w:ascii="Times New Roman" w:hAnsi="Times New Roman" w:eastAsia="Times New Roman"/>
                <w:b/>
                <w:bCs/>
                <w:sz w:val="24"/>
                <w:szCs w:val="24"/>
                <w:vertAlign w:val="superscript"/>
              </w:rPr>
              <w:t>2</w:t>
            </w:r>
            <w:r>
              <w:rPr>
                <w:rFonts w:ascii="Times New Roman" w:hAnsi="Times New Roman" w:eastAsia="Times New Roman"/>
                <w:b/>
                <w:bCs/>
                <w:sz w:val="24"/>
                <w:szCs w:val="24"/>
              </w:rPr>
              <w:t xml:space="preserve">) Pentru exploatare licența intră în vigoare după cum urmează: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a) la data intrării în vigoare a ordinului președintelui autorității competente de aprobare a acesteia, cu excepția  licențelor  de concesiune/dare în administrare pentru exploatare prevăzute la lit. b);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 xml:space="preserve">b) la data intrării în vigoare  a hotărârii Guvernului privind aprobarea licenței de concesiune/dare în administrare pentru exploatare a  minereurilor de aluminiu şi rocilor aluminifere, minereurilor feroase, minereurilor neferoase, metalelor nobile,  minereurilor radioactive, pământurilor rare şi disperse, precum și a cărbunilor. </w:t>
            </w:r>
          </w:p>
          <w:p>
            <w:pPr>
              <w:widowControl/>
              <w:snapToGrid w:val="0"/>
              <w:jc w:val="both"/>
              <w:rPr>
                <w:rFonts w:ascii="Times New Roman" w:hAnsi="Times New Roman" w:eastAsia="Times New Roman"/>
                <w:b/>
                <w:bCs/>
                <w:sz w:val="24"/>
                <w:szCs w:val="24"/>
              </w:rPr>
            </w:pPr>
            <w:r>
              <w:rPr>
                <w:rFonts w:ascii="Times New Roman" w:hAnsi="Times New Roman" w:eastAsia="Times New Roman"/>
                <w:b/>
                <w:bCs/>
                <w:sz w:val="24"/>
                <w:szCs w:val="24"/>
              </w:rPr>
              <w:t>(1</w:t>
            </w:r>
            <w:r>
              <w:rPr>
                <w:rFonts w:ascii="Times New Roman" w:hAnsi="Times New Roman" w:eastAsia="Times New Roman"/>
                <w:b/>
                <w:bCs/>
                <w:sz w:val="24"/>
                <w:szCs w:val="24"/>
                <w:vertAlign w:val="superscript"/>
              </w:rPr>
              <w:t>3</w:t>
            </w:r>
            <w:r>
              <w:rPr>
                <w:rFonts w:ascii="Times New Roman" w:hAnsi="Times New Roman" w:eastAsia="Times New Roman"/>
                <w:b/>
                <w:bCs/>
                <w:sz w:val="24"/>
                <w:szCs w:val="24"/>
              </w:rPr>
              <w:t xml:space="preserve">) Ordinul președintelui autorității competente privind aprobarea licențelor intră în vigoare la data  publicării în Monitorul Oficial al României, Partea I-a.” </w:t>
            </w:r>
          </w:p>
          <w:p>
            <w:pPr>
              <w:jc w:val="both"/>
              <w:rPr>
                <w:rFonts w:ascii="Times New Roman" w:hAnsi="Times New Roman"/>
                <w:sz w:val="24"/>
                <w:szCs w:val="24"/>
              </w:rPr>
            </w:pPr>
            <w:r>
              <w:rPr>
                <w:rFonts w:ascii="Times New Roman" w:hAnsi="Times New Roman" w:eastAsia="Times New Roman"/>
                <w:i/>
                <w:sz w:val="24"/>
                <w:szCs w:val="24"/>
              </w:rPr>
              <w:t>Autor: Sorin Bumb, deputat PNL</w:t>
            </w:r>
          </w:p>
        </w:tc>
        <w:tc>
          <w:tcPr>
            <w:tcW w:w="4536" w:type="dxa"/>
          </w:tcPr>
          <w:p>
            <w:pPr>
              <w:jc w:val="both"/>
              <w:rPr>
                <w:rFonts w:ascii="Times New Roman" w:hAnsi="Times New Roman"/>
                <w:sz w:val="24"/>
                <w:szCs w:val="24"/>
              </w:rPr>
            </w:pPr>
            <w:r>
              <w:rPr>
                <w:rFonts w:ascii="Times New Roman" w:hAnsi="Times New Roman"/>
                <w:sz w:val="24"/>
                <w:szCs w:val="24"/>
              </w:rPr>
              <w:t>Motivarea respingerii</w:t>
            </w:r>
          </w:p>
          <w:p>
            <w:pPr>
              <w:jc w:val="both"/>
              <w:rPr>
                <w:rFonts w:ascii="Times New Roman" w:hAnsi="Times New Roman"/>
                <w:sz w:val="20"/>
                <w:szCs w:val="20"/>
              </w:rPr>
            </w:pPr>
            <w:r>
              <w:rPr>
                <w:rFonts w:ascii="Times New Roman" w:hAnsi="Times New Roman"/>
                <w:sz w:val="24"/>
                <w:szCs w:val="24"/>
              </w:rPr>
              <w:t>În urma introducerii noilor amendamente, acesta se modifică.</w:t>
            </w:r>
          </w:p>
        </w:tc>
        <w:tc>
          <w:tcPr>
            <w:tcW w:w="1701" w:type="dxa"/>
          </w:tcPr>
          <w:p>
            <w:pPr>
              <w:jc w:val="both"/>
              <w:rPr>
                <w:rFonts w:ascii="Times New Roman" w:hAnsi="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widowControl/>
              <w:numPr>
                <w:ilvl w:val="0"/>
                <w:numId w:val="5"/>
              </w:numPr>
              <w:jc w:val="both"/>
              <w:rPr>
                <w:rFonts w:ascii="Times New Roman" w:hAnsi="Times New Roman"/>
                <w:sz w:val="24"/>
                <w:szCs w:val="24"/>
              </w:rPr>
            </w:pPr>
          </w:p>
        </w:tc>
        <w:tc>
          <w:tcPr>
            <w:tcW w:w="4242" w:type="dxa"/>
          </w:tcPr>
          <w:p>
            <w:pPr>
              <w:jc w:val="both"/>
              <w:rPr>
                <w:rFonts w:ascii="Times New Roman" w:hAnsi="Times New Roman"/>
                <w:sz w:val="24"/>
                <w:szCs w:val="24"/>
              </w:rPr>
            </w:pPr>
            <w:r>
              <w:rPr>
                <w:rFonts w:ascii="Times New Roman" w:hAnsi="Times New Roman"/>
                <w:sz w:val="24"/>
                <w:szCs w:val="24"/>
              </w:rPr>
              <w:t xml:space="preserve">”(5) În termen de 30 de zile de la fiecare încasare la bugetul de stat cu titlul redevențe miniere, un procent de </w:t>
            </w:r>
            <w:r>
              <w:rPr>
                <w:rFonts w:ascii="Times New Roman" w:hAnsi="Times New Roman"/>
                <w:b/>
                <w:sz w:val="24"/>
                <w:szCs w:val="24"/>
              </w:rPr>
              <w:t xml:space="preserve">80% </w:t>
            </w:r>
            <w:r>
              <w:rPr>
                <w:rFonts w:ascii="Times New Roman" w:hAnsi="Times New Roman"/>
                <w:sz w:val="24"/>
                <w:szCs w:val="24"/>
              </w:rPr>
              <w:t xml:space="preserve">din aceste sume se transferă autorității locale pe al cărei teritoriu administrativ se desfășoară exploatarea pentru care s-a încasat redevența, distribuită după cum urmează: </w:t>
            </w:r>
            <w:r>
              <w:rPr>
                <w:rFonts w:ascii="Times New Roman" w:hAnsi="Times New Roman"/>
                <w:b/>
                <w:sz w:val="24"/>
                <w:szCs w:val="24"/>
              </w:rPr>
              <w:t>55%</w:t>
            </w:r>
            <w:r>
              <w:rPr>
                <w:rFonts w:ascii="Times New Roman" w:hAnsi="Times New Roman"/>
                <w:sz w:val="24"/>
                <w:szCs w:val="24"/>
              </w:rPr>
              <w:t xml:space="preserve"> la bugetul local al județului și 25% la bugetele locale ale unităților </w:t>
            </w:r>
            <w:r>
              <w:rPr>
                <w:rFonts w:ascii="Times New Roman" w:hAnsi="Times New Roman"/>
                <w:b/>
                <w:sz w:val="24"/>
                <w:szCs w:val="24"/>
              </w:rPr>
              <w:t>administrativ teritoriale</w:t>
            </w:r>
            <w:r>
              <w:rPr>
                <w:rFonts w:ascii="Times New Roman" w:hAnsi="Times New Roman"/>
                <w:sz w:val="24"/>
                <w:szCs w:val="24"/>
              </w:rPr>
              <w:t>.”</w:t>
            </w:r>
          </w:p>
        </w:tc>
        <w:tc>
          <w:tcPr>
            <w:tcW w:w="4252" w:type="dxa"/>
          </w:tcPr>
          <w:p>
            <w:pPr>
              <w:jc w:val="both"/>
              <w:rPr>
                <w:rFonts w:ascii="Times New Roman" w:hAnsi="Times New Roman"/>
                <w:sz w:val="24"/>
                <w:szCs w:val="24"/>
              </w:rPr>
            </w:pPr>
            <w:r>
              <w:rPr>
                <w:rFonts w:ascii="Times New Roman" w:hAnsi="Times New Roman"/>
                <w:sz w:val="24"/>
                <w:szCs w:val="24"/>
              </w:rPr>
              <w:t xml:space="preserve">(5) În termen de 30 de zile de la fiecare încasare la bugetul de stat cu titlul redevențe miniere, un procent de </w:t>
            </w:r>
            <w:r>
              <w:rPr>
                <w:rFonts w:ascii="Times New Roman" w:hAnsi="Times New Roman"/>
                <w:b/>
                <w:sz w:val="24"/>
                <w:szCs w:val="24"/>
              </w:rPr>
              <w:t>50%</w:t>
            </w:r>
            <w:r>
              <w:rPr>
                <w:rFonts w:ascii="Times New Roman" w:hAnsi="Times New Roman"/>
                <w:sz w:val="24"/>
                <w:szCs w:val="24"/>
              </w:rPr>
              <w:t xml:space="preserve"> din aceste sume se transferă autorității locale pe al cărei teritoriu administrativ se desfășoară exploatarea pentru care s-a încasat redevența, distribuită după cum urmează: </w:t>
            </w:r>
            <w:r>
              <w:rPr>
                <w:rFonts w:ascii="Times New Roman" w:hAnsi="Times New Roman"/>
                <w:b/>
                <w:sz w:val="24"/>
                <w:szCs w:val="24"/>
              </w:rPr>
              <w:t>25%</w:t>
            </w:r>
            <w:r>
              <w:rPr>
                <w:rFonts w:ascii="Times New Roman" w:hAnsi="Times New Roman"/>
                <w:sz w:val="24"/>
                <w:szCs w:val="24"/>
              </w:rPr>
              <w:t xml:space="preserve"> la bugetul local al județului și 25% la </w:t>
            </w:r>
            <w:r>
              <w:rPr>
                <w:rFonts w:ascii="Times New Roman" w:hAnsi="Times New Roman"/>
                <w:b/>
                <w:sz w:val="24"/>
                <w:szCs w:val="24"/>
              </w:rPr>
              <w:t xml:space="preserve">bugetul local al unității </w:t>
            </w:r>
            <w:r>
              <w:rPr>
                <w:rFonts w:ascii="Times New Roman" w:hAnsi="Times New Roman"/>
                <w:sz w:val="24"/>
                <w:szCs w:val="24"/>
              </w:rPr>
              <w:t>administrativ-teritoriale.</w:t>
            </w:r>
          </w:p>
          <w:p>
            <w:pPr>
              <w:jc w:val="both"/>
              <w:rPr>
                <w:rFonts w:ascii="Times New Roman" w:hAnsi="Times New Roman"/>
                <w:sz w:val="24"/>
                <w:szCs w:val="24"/>
              </w:rPr>
            </w:pPr>
            <w:r>
              <w:rPr>
                <w:rFonts w:ascii="Times New Roman" w:hAnsi="Times New Roman"/>
                <w:sz w:val="24"/>
                <w:szCs w:val="24"/>
              </w:rPr>
              <w:t>Autor:</w:t>
            </w:r>
          </w:p>
          <w:p>
            <w:pPr>
              <w:jc w:val="both"/>
              <w:rPr>
                <w:rFonts w:ascii="Times New Roman" w:hAnsi="Times New Roman"/>
                <w:b/>
                <w:sz w:val="24"/>
                <w:szCs w:val="24"/>
              </w:rPr>
            </w:pPr>
            <w:r>
              <w:rPr>
                <w:rFonts w:ascii="Times New Roman" w:hAnsi="Times New Roman"/>
                <w:b/>
                <w:sz w:val="24"/>
                <w:szCs w:val="24"/>
              </w:rPr>
              <w:t>Alfred - Robert SIMONIS – deputat PSD</w:t>
            </w:r>
          </w:p>
        </w:tc>
        <w:tc>
          <w:tcPr>
            <w:tcW w:w="4536" w:type="dxa"/>
          </w:tcPr>
          <w:p>
            <w:pPr>
              <w:jc w:val="both"/>
              <w:rPr>
                <w:rFonts w:ascii="Times New Roman" w:hAnsi="Times New Roman"/>
                <w:sz w:val="20"/>
                <w:szCs w:val="20"/>
              </w:rPr>
            </w:pPr>
            <w:r>
              <w:rPr>
                <w:rFonts w:ascii="Times New Roman" w:hAnsi="Times New Roman"/>
                <w:sz w:val="20"/>
                <w:szCs w:val="20"/>
              </w:rPr>
              <w:t>Motivarea susținerii</w:t>
            </w:r>
          </w:p>
          <w:p>
            <w:pPr>
              <w:jc w:val="both"/>
              <w:rPr>
                <w:rFonts w:ascii="Times New Roman" w:hAnsi="Times New Roman"/>
                <w:sz w:val="20"/>
                <w:szCs w:val="20"/>
              </w:rPr>
            </w:pPr>
            <w:r>
              <w:rPr>
                <w:rFonts w:ascii="Times New Roman" w:hAnsi="Times New Roman"/>
                <w:sz w:val="20"/>
                <w:szCs w:val="20"/>
              </w:rPr>
              <w:t>Se impune reajustarea sumelor încasate cu titlul de redevențe miniere și transferate autorităților locale, pentru a nu genera dezechilibre majore la nivelul bugetului general consolidat.</w:t>
            </w:r>
          </w:p>
          <w:p>
            <w:pPr>
              <w:jc w:val="both"/>
              <w:rPr>
                <w:rFonts w:ascii="Times New Roman" w:hAnsi="Times New Roman"/>
                <w:sz w:val="20"/>
                <w:szCs w:val="20"/>
              </w:rPr>
            </w:pPr>
            <w:r>
              <w:rPr>
                <w:rFonts w:ascii="Times New Roman" w:hAnsi="Times New Roman"/>
                <w:sz w:val="20"/>
                <w:szCs w:val="20"/>
              </w:rPr>
              <w:t>Asumarea observațiilor Consiliului Legislativ.</w:t>
            </w:r>
          </w:p>
          <w:p>
            <w:pPr>
              <w:jc w:val="both"/>
              <w:rPr>
                <w:rFonts w:ascii="Times New Roman" w:hAnsi="Times New Roman"/>
                <w:sz w:val="20"/>
                <w:szCs w:val="20"/>
              </w:rPr>
            </w:pPr>
          </w:p>
          <w:p>
            <w:pPr>
              <w:jc w:val="both"/>
              <w:rPr>
                <w:rFonts w:ascii="Times New Roman" w:hAnsi="Times New Roman"/>
                <w:sz w:val="20"/>
                <w:szCs w:val="20"/>
              </w:rPr>
            </w:pPr>
            <w:r>
              <w:rPr>
                <w:rFonts w:ascii="Times New Roman" w:hAnsi="Times New Roman"/>
                <w:sz w:val="20"/>
                <w:szCs w:val="20"/>
              </w:rPr>
              <w:t>Motivarea respingerii</w:t>
            </w:r>
          </w:p>
          <w:p>
            <w:pPr>
              <w:jc w:val="both"/>
              <w:rPr>
                <w:rFonts w:ascii="Times New Roman" w:hAnsi="Times New Roman"/>
                <w:sz w:val="20"/>
                <w:szCs w:val="20"/>
              </w:rPr>
            </w:pPr>
            <w:r>
              <w:rPr>
                <w:rFonts w:ascii="Times New Roman" w:hAnsi="Times New Roman"/>
                <w:sz w:val="20"/>
                <w:szCs w:val="20"/>
              </w:rPr>
              <w:t>Procentul este reglementat în Ordonanța de urgență a Guvernului nr. 57/2019 la art. 307, iar bogăţiile de interes public ale subsolului sunt prevăzute art. 136 alin. (3) din Constituția României, republicată:</w:t>
            </w:r>
          </w:p>
          <w:p>
            <w:pPr>
              <w:jc w:val="both"/>
              <w:rPr>
                <w:rFonts w:ascii="Times New Roman" w:hAnsi="Times New Roman"/>
                <w:sz w:val="20"/>
                <w:szCs w:val="20"/>
              </w:rPr>
            </w:pPr>
            <w:r>
              <w:rPr>
                <w:rFonts w:ascii="Times New Roman" w:hAnsi="Times New Roman"/>
                <w:sz w:val="20"/>
                <w:szCs w:val="20"/>
              </w:rPr>
              <w:t>„(3) Bogăţiile de interes public ale subsolului, spaţiul aerian, apele cu potenţial energetic valorificabil, de interes naţional, plajele, marea teritorială, resursele naturale ale zonei economice şi ale platoului continental, precum şi alte bunuri stabilite de legea organică, fac obiectul exclusiv al proprietăţii publice.”</w:t>
            </w:r>
          </w:p>
        </w:tc>
        <w:tc>
          <w:tcPr>
            <w:tcW w:w="1701" w:type="dxa"/>
          </w:tcPr>
          <w:p>
            <w:pPr>
              <w:jc w:val="both"/>
              <w:rPr>
                <w:rFonts w:ascii="Times New Roman" w:hAnsi="Times New Roman"/>
                <w:sz w:val="24"/>
                <w:szCs w:val="24"/>
              </w:rPr>
            </w:pPr>
            <w:r>
              <w:rPr>
                <w:rFonts w:ascii="Times New Roman" w:hAnsi="Times New Roman"/>
                <w:b/>
                <w:sz w:val="24"/>
                <w:szCs w:val="24"/>
              </w:rPr>
              <w:t>Camera Deputaților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widowControl/>
              <w:numPr>
                <w:ilvl w:val="0"/>
                <w:numId w:val="5"/>
              </w:numPr>
              <w:jc w:val="both"/>
              <w:rPr>
                <w:rFonts w:ascii="Times New Roman" w:hAnsi="Times New Roman"/>
                <w:sz w:val="24"/>
                <w:szCs w:val="24"/>
              </w:rPr>
            </w:pPr>
          </w:p>
        </w:tc>
        <w:tc>
          <w:tcPr>
            <w:tcW w:w="4242" w:type="dxa"/>
          </w:tcPr>
          <w:p>
            <w:pPr>
              <w:jc w:val="both"/>
              <w:rPr>
                <w:rFonts w:ascii="Times New Roman" w:hAnsi="Times New Roman"/>
                <w:sz w:val="24"/>
                <w:szCs w:val="24"/>
              </w:rPr>
            </w:pPr>
          </w:p>
        </w:tc>
        <w:tc>
          <w:tcPr>
            <w:tcW w:w="4252" w:type="dxa"/>
          </w:tcPr>
          <w:p>
            <w:pPr>
              <w:jc w:val="both"/>
              <w:rPr>
                <w:rFonts w:ascii="Times New Roman" w:hAnsi="Times New Roman"/>
                <w:b/>
                <w:sz w:val="24"/>
                <w:szCs w:val="24"/>
              </w:rPr>
            </w:pPr>
            <w:r>
              <w:rPr>
                <w:rFonts w:ascii="Times New Roman" w:hAnsi="Times New Roman"/>
                <w:b/>
                <w:sz w:val="24"/>
                <w:szCs w:val="24"/>
              </w:rPr>
              <w:t>5. La articolul 53, alineatul (3) se modifică și va avea următorul cuprins:</w:t>
            </w:r>
          </w:p>
          <w:p>
            <w:pPr>
              <w:jc w:val="both"/>
              <w:rPr>
                <w:rStyle w:val="35"/>
                <w:rFonts w:ascii="Times New Roman" w:hAnsi="Times New Roman"/>
                <w:sz w:val="24"/>
                <w:szCs w:val="24"/>
              </w:rPr>
            </w:pPr>
            <w:r>
              <w:rPr>
                <w:rFonts w:ascii="Times New Roman" w:hAnsi="Times New Roman"/>
                <w:sz w:val="24"/>
                <w:szCs w:val="24"/>
              </w:rPr>
              <w:t>„(3)</w:t>
            </w:r>
            <w:r>
              <w:rPr>
                <w:rStyle w:val="35"/>
                <w:rFonts w:ascii="Times New Roman" w:hAnsi="Times New Roman"/>
                <w:sz w:val="24"/>
                <w:szCs w:val="24"/>
              </w:rPr>
              <w:t xml:space="preserve">Punerea în aplicare a programului de monitorizare a factorilor de mediu post închidere se va face de către titular, cu fonduri proprii. Pentru companiile şi societățile naționale miniere monitorizarea factorilor de mediu post închidere, inclusiv epurarea apelor de zăcământ, se va face de către ministerul de resort, prin direcțiile de specialitate, cu fonduri bugetare.” </w:t>
            </w:r>
          </w:p>
          <w:p>
            <w:pPr>
              <w:jc w:val="both"/>
              <w:rPr>
                <w:rFonts w:ascii="Times New Roman" w:hAnsi="Times New Roman"/>
                <w:i/>
                <w:sz w:val="24"/>
                <w:szCs w:val="24"/>
              </w:rPr>
            </w:pPr>
            <w:r>
              <w:rPr>
                <w:rFonts w:ascii="Times New Roman" w:hAnsi="Times New Roman"/>
                <w:i/>
                <w:sz w:val="24"/>
                <w:szCs w:val="24"/>
              </w:rPr>
              <w:t xml:space="preserve">Autor: Comisia pentru mediu și echilibru ecologic </w:t>
            </w:r>
          </w:p>
        </w:tc>
        <w:tc>
          <w:tcPr>
            <w:tcW w:w="4536" w:type="dxa"/>
          </w:tcPr>
          <w:p>
            <w:pPr>
              <w:jc w:val="both"/>
              <w:rPr>
                <w:rFonts w:ascii="Times New Roman" w:hAnsi="Times New Roman"/>
                <w:sz w:val="24"/>
                <w:szCs w:val="24"/>
              </w:rPr>
            </w:pPr>
            <w:r>
              <w:rPr>
                <w:rFonts w:ascii="Times New Roman" w:hAnsi="Times New Roman"/>
                <w:sz w:val="24"/>
                <w:szCs w:val="24"/>
              </w:rPr>
              <w:t>Motivarea respingerii</w:t>
            </w:r>
          </w:p>
          <w:p>
            <w:pPr>
              <w:jc w:val="both"/>
              <w:rPr>
                <w:rFonts w:ascii="Times New Roman" w:hAnsi="Times New Roman"/>
                <w:sz w:val="20"/>
                <w:szCs w:val="20"/>
              </w:rPr>
            </w:pPr>
            <w:r>
              <w:rPr>
                <w:rFonts w:ascii="Times New Roman" w:hAnsi="Times New Roman"/>
                <w:sz w:val="24"/>
                <w:szCs w:val="24"/>
              </w:rPr>
              <w:t>În urma introducerii noilor amendamente, acesta se modifică.</w:t>
            </w:r>
          </w:p>
        </w:tc>
        <w:tc>
          <w:tcPr>
            <w:tcW w:w="1701" w:type="dxa"/>
          </w:tcPr>
          <w:p>
            <w:pPr>
              <w:jc w:val="both"/>
              <w:rPr>
                <w:rFonts w:ascii="Times New Roman" w:hAnsi="Times New Roman"/>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widowControl/>
              <w:numPr>
                <w:ilvl w:val="0"/>
                <w:numId w:val="5"/>
              </w:numPr>
              <w:jc w:val="both"/>
              <w:rPr>
                <w:rFonts w:ascii="Times New Roman" w:hAnsi="Times New Roman"/>
                <w:sz w:val="24"/>
                <w:szCs w:val="24"/>
              </w:rPr>
            </w:pPr>
          </w:p>
        </w:tc>
        <w:tc>
          <w:tcPr>
            <w:tcW w:w="4242" w:type="dxa"/>
          </w:tcPr>
          <w:p>
            <w:pPr>
              <w:jc w:val="both"/>
              <w:rPr>
                <w:rFonts w:ascii="Times New Roman" w:hAnsi="Times New Roman"/>
                <w:sz w:val="24"/>
                <w:szCs w:val="24"/>
              </w:rPr>
            </w:pPr>
          </w:p>
        </w:tc>
        <w:tc>
          <w:tcPr>
            <w:tcW w:w="4252" w:type="dxa"/>
          </w:tcPr>
          <w:p>
            <w:pPr>
              <w:pStyle w:val="6"/>
              <w:jc w:val="both"/>
            </w:pPr>
            <w:r>
              <w:rPr>
                <w:rFonts w:eastAsia="Times New Roman"/>
                <w:b/>
                <w:bCs/>
                <w:sz w:val="24"/>
                <w:szCs w:val="24"/>
              </w:rPr>
              <w:t xml:space="preserve">Art. III. - </w:t>
            </w:r>
            <w:r>
              <w:rPr>
                <w:rFonts w:eastAsia="Times New Roman"/>
                <w:bCs/>
                <w:sz w:val="24"/>
                <w:szCs w:val="24"/>
              </w:rPr>
              <w:t>Prezenta lege intră în vigoare</w:t>
            </w:r>
            <w:r>
              <w:rPr>
                <w:rFonts w:eastAsia="Times New Roman"/>
                <w:b/>
                <w:bCs/>
                <w:sz w:val="24"/>
                <w:szCs w:val="24"/>
              </w:rPr>
              <w:t xml:space="preserve"> la 15 zile de </w:t>
            </w:r>
            <w:r>
              <w:rPr>
                <w:rFonts w:eastAsia="Times New Roman"/>
                <w:bCs/>
                <w:sz w:val="24"/>
                <w:szCs w:val="24"/>
              </w:rPr>
              <w:t xml:space="preserve">la data publicării în Monitorul Oficial al României, Partea </w:t>
            </w:r>
            <w:r>
              <w:rPr>
                <w:rFonts w:eastAsia="Times New Roman"/>
                <w:b/>
                <w:bCs/>
                <w:sz w:val="24"/>
                <w:szCs w:val="24"/>
              </w:rPr>
              <w:t>I-a, cu excepția prevederilor art. I pct.1</w:t>
            </w:r>
            <w:r>
              <w:rPr>
                <w:rFonts w:eastAsia="Times New Roman"/>
                <w:b/>
                <w:bCs/>
                <w:sz w:val="24"/>
                <w:szCs w:val="24"/>
                <w:lang w:val="en-GB"/>
              </w:rPr>
              <w:t>6</w:t>
            </w:r>
            <w:r>
              <w:rPr>
                <w:rFonts w:eastAsia="Times New Roman"/>
                <w:b/>
                <w:bCs/>
                <w:sz w:val="24"/>
                <w:szCs w:val="24"/>
              </w:rPr>
              <w:t xml:space="preserve"> care intră în vigoare la data de 1 ianuarie 2021.</w:t>
            </w:r>
          </w:p>
          <w:p>
            <w:pPr>
              <w:pStyle w:val="6"/>
              <w:jc w:val="both"/>
              <w:rPr>
                <w:rFonts w:eastAsia="Times New Roman"/>
                <w:i/>
                <w:sz w:val="24"/>
                <w:szCs w:val="24"/>
              </w:rPr>
            </w:pPr>
            <w:r>
              <w:rPr>
                <w:rFonts w:eastAsia="Times New Roman"/>
                <w:i/>
                <w:sz w:val="24"/>
                <w:szCs w:val="24"/>
              </w:rPr>
              <w:t>Autor: Sorin Bumb, deputat PNL</w:t>
            </w:r>
          </w:p>
        </w:tc>
        <w:tc>
          <w:tcPr>
            <w:tcW w:w="4536" w:type="dxa"/>
          </w:tcPr>
          <w:p>
            <w:pPr>
              <w:jc w:val="both"/>
              <w:rPr>
                <w:rFonts w:ascii="Times New Roman" w:hAnsi="Times New Roman"/>
                <w:sz w:val="24"/>
                <w:szCs w:val="24"/>
              </w:rPr>
            </w:pPr>
            <w:r>
              <w:rPr>
                <w:rFonts w:ascii="Times New Roman" w:hAnsi="Times New Roman"/>
                <w:sz w:val="24"/>
                <w:szCs w:val="24"/>
              </w:rPr>
              <w:t>Motivarea respingerii</w:t>
            </w:r>
          </w:p>
          <w:p>
            <w:pPr>
              <w:jc w:val="both"/>
              <w:rPr>
                <w:rFonts w:ascii="Times New Roman" w:hAnsi="Times New Roman"/>
                <w:sz w:val="20"/>
                <w:szCs w:val="20"/>
              </w:rPr>
            </w:pPr>
            <w:r>
              <w:rPr>
                <w:rFonts w:ascii="Times New Roman" w:hAnsi="Times New Roman"/>
                <w:sz w:val="24"/>
                <w:szCs w:val="24"/>
              </w:rPr>
              <w:t>În urma introducerii noilor amendamente, acesta se modifică.</w:t>
            </w:r>
          </w:p>
        </w:tc>
        <w:tc>
          <w:tcPr>
            <w:tcW w:w="1701" w:type="dxa"/>
          </w:tcPr>
          <w:p>
            <w:pPr>
              <w:jc w:val="both"/>
              <w:rPr>
                <w:rFonts w:ascii="Times New Roman" w:hAnsi="Times New Roman"/>
                <w:b/>
                <w:sz w:val="24"/>
                <w:szCs w:val="24"/>
              </w:rPr>
            </w:pPr>
          </w:p>
        </w:tc>
      </w:tr>
    </w:tbl>
    <w:p>
      <w:pPr>
        <w:spacing w:line="360" w:lineRule="auto"/>
        <w:rPr>
          <w:rFonts w:ascii="Times New Roman" w:hAnsi="Times New Roman"/>
          <w:b/>
          <w:sz w:val="24"/>
          <w:szCs w:val="24"/>
        </w:rPr>
      </w:pPr>
    </w:p>
    <w:p>
      <w:pPr>
        <w:tabs>
          <w:tab w:val="left" w:pos="0"/>
        </w:tabs>
        <w:rPr>
          <w:rFonts w:ascii="Times New Roman" w:hAnsi="Times New Roman"/>
          <w:sz w:val="24"/>
          <w:szCs w:val="24"/>
        </w:rPr>
      </w:pPr>
    </w:p>
    <w:p>
      <w:pPr>
        <w:jc w:val="right"/>
        <w:rPr>
          <w:rFonts w:ascii="Times New Roman" w:hAnsi="Times New Roman"/>
          <w:sz w:val="24"/>
          <w:szCs w:val="24"/>
        </w:rPr>
      </w:pPr>
    </w:p>
    <w:sectPr>
      <w:footerReference r:id="rId5" w:type="default"/>
      <w:footerReference r:id="rId6" w:type="even"/>
      <w:pgSz w:w="16840" w:h="11907" w:orient="landscape"/>
      <w:pgMar w:top="851" w:right="851" w:bottom="851" w:left="851" w:header="0" w:footer="299"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Century Gothic">
    <w:panose1 w:val="020B0502020202020204"/>
    <w:charset w:val="00"/>
    <w:family w:val="swiss"/>
    <w:pitch w:val="default"/>
    <w:sig w:usb0="00000287" w:usb1="00000000" w:usb2="00000000" w:usb3="00000000" w:csb0="2000009F" w:csb1="DFD7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320"/>
        <w:tab w:val="right" w:pos="8640"/>
      </w:tabs>
      <w:jc w:val="center"/>
      <w:rPr>
        <w:rFonts w:ascii="Times New Roman" w:hAnsi="Times New Roman" w:eastAsia="Times New Roman"/>
        <w:color w:val="000000"/>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tabs>
                              <w:tab w:val="center" w:pos="4320"/>
                              <w:tab w:val="right" w:pos="8640"/>
                            </w:tabs>
                            <w:jc w:val="center"/>
                          </w:pPr>
                          <w:r>
                            <w:rPr>
                              <w:rFonts w:ascii="Times New Roman" w:hAnsi="Times New Roman" w:eastAsia="Times New Roman"/>
                              <w:color w:val="000000"/>
                              <w:sz w:val="24"/>
                              <w:szCs w:val="24"/>
                            </w:rPr>
                            <w:fldChar w:fldCharType="begin"/>
                          </w:r>
                          <w:r>
                            <w:rPr>
                              <w:rFonts w:ascii="Times New Roman" w:hAnsi="Times New Roman" w:eastAsia="Times New Roman"/>
                              <w:color w:val="000000"/>
                              <w:sz w:val="24"/>
                              <w:szCs w:val="24"/>
                            </w:rPr>
                            <w:instrText xml:space="preserve">PAGE</w:instrText>
                          </w:r>
                          <w:r>
                            <w:rPr>
                              <w:rFonts w:ascii="Times New Roman" w:hAnsi="Times New Roman" w:eastAsia="Times New Roman"/>
                              <w:color w:val="000000"/>
                              <w:sz w:val="24"/>
                              <w:szCs w:val="24"/>
                            </w:rPr>
                            <w:fldChar w:fldCharType="separate"/>
                          </w:r>
                          <w:r>
                            <w:rPr>
                              <w:rFonts w:ascii="Times New Roman" w:hAnsi="Times New Roman" w:eastAsia="Times New Roman"/>
                              <w:color w:val="000000"/>
                              <w:sz w:val="24"/>
                              <w:szCs w:val="24"/>
                            </w:rPr>
                            <w:t>1</w:t>
                          </w:r>
                          <w:r>
                            <w:rPr>
                              <w:rFonts w:ascii="Times New Roman" w:hAnsi="Times New Roman" w:eastAsia="Times New Roman"/>
                              <w:color w:val="000000"/>
                              <w:sz w:val="24"/>
                              <w:szCs w:val="24"/>
                            </w:rPr>
                            <w:fldChar w:fldCharType="end"/>
                          </w:r>
                        </w:p>
                      </w:txbxContent>
                    </wps:txbx>
                    <wps:bodyPr wrap="none" lIns="0" tIns="0" rIns="0" bIns="0" upright="1">
                      <a:spAutoFit/>
                    </wps:bodyPr>
                  </wps:wsp>
                </a:graphicData>
              </a:graphic>
            </wp:anchor>
          </w:drawing>
        </mc:Choice>
        <mc:Fallback>
          <w:pict>
            <v:shape id="Text Box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zql5uc8AAAAFAQAADwAAAAAAAAABACAAAAAiAAAA&#10;ZHJzL2Rvd25yZXYueG1sUEsBAhQAFAAAAAgAh07iQMME2bieAQAASgMAAA4AAAAAAAAAAQAgAAAA&#10;HgEAAGRycy9lMm9Eb2MueG1sUEsFBgAAAAAGAAYAWQEAAC4FAAAAAA==&#10;">
              <v:fill on="f" focussize="0,0"/>
              <v:stroke on="f"/>
              <v:imagedata o:title=""/>
              <o:lock v:ext="edit" aspectratio="f"/>
              <v:textbox inset="0mm,0mm,0mm,0mm" style="mso-fit-shape-to-text:t;">
                <w:txbxContent>
                  <w:p>
                    <w:pPr>
                      <w:widowControl/>
                      <w:tabs>
                        <w:tab w:val="center" w:pos="4320"/>
                        <w:tab w:val="right" w:pos="8640"/>
                      </w:tabs>
                      <w:jc w:val="center"/>
                    </w:pPr>
                    <w:r>
                      <w:rPr>
                        <w:rFonts w:ascii="Times New Roman" w:hAnsi="Times New Roman" w:eastAsia="Times New Roman"/>
                        <w:color w:val="000000"/>
                        <w:sz w:val="24"/>
                        <w:szCs w:val="24"/>
                      </w:rPr>
                      <w:fldChar w:fldCharType="begin"/>
                    </w:r>
                    <w:r>
                      <w:rPr>
                        <w:rFonts w:ascii="Times New Roman" w:hAnsi="Times New Roman" w:eastAsia="Times New Roman"/>
                        <w:color w:val="000000"/>
                        <w:sz w:val="24"/>
                        <w:szCs w:val="24"/>
                      </w:rPr>
                      <w:instrText xml:space="preserve">PAGE</w:instrText>
                    </w:r>
                    <w:r>
                      <w:rPr>
                        <w:rFonts w:ascii="Times New Roman" w:hAnsi="Times New Roman" w:eastAsia="Times New Roman"/>
                        <w:color w:val="000000"/>
                        <w:sz w:val="24"/>
                        <w:szCs w:val="24"/>
                      </w:rPr>
                      <w:fldChar w:fldCharType="separate"/>
                    </w:r>
                    <w:r>
                      <w:rPr>
                        <w:rFonts w:ascii="Times New Roman" w:hAnsi="Times New Roman" w:eastAsia="Times New Roman"/>
                        <w:color w:val="000000"/>
                        <w:sz w:val="24"/>
                        <w:szCs w:val="24"/>
                      </w:rPr>
                      <w:t>1</w:t>
                    </w:r>
                    <w:r>
                      <w:rPr>
                        <w:rFonts w:ascii="Times New Roman" w:hAnsi="Times New Roman" w:eastAsia="Times New Roman"/>
                        <w:color w:val="000000"/>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320"/>
        <w:tab w:val="right" w:pos="8640"/>
      </w:tabs>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fldChar w:fldCharType="begin"/>
    </w:r>
    <w:r>
      <w:rPr>
        <w:rFonts w:ascii="Times New Roman" w:hAnsi="Times New Roman" w:eastAsia="Times New Roman"/>
        <w:color w:val="000000"/>
        <w:sz w:val="24"/>
        <w:szCs w:val="24"/>
      </w:rPr>
      <w:instrText xml:space="preserve">PAGE</w:instrText>
    </w:r>
    <w:r>
      <w:rPr>
        <w:rFonts w:ascii="Times New Roman" w:hAnsi="Times New Roman" w:eastAsia="Times New Roman"/>
        <w:color w:val="000000"/>
        <w:sz w:val="24"/>
        <w:szCs w:val="24"/>
      </w:rPr>
      <w:fldChar w:fldCharType="end"/>
    </w:r>
  </w:p>
  <w:p>
    <w:pPr>
      <w:widowControl/>
      <w:tabs>
        <w:tab w:val="center" w:pos="4320"/>
        <w:tab w:val="right" w:pos="8640"/>
      </w:tabs>
      <w:rPr>
        <w:rFonts w:ascii="Times New Roman" w:hAnsi="Times New Roman" w:eastAsia="Times New Roman"/>
        <w:color w:val="000000"/>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pPr>
    <w:r>
      <w:rPr>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1120" cy="170815"/>
              <wp:effectExtent l="0" t="0" r="0" b="0"/>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71120" cy="170815"/>
                      </a:xfrm>
                      <a:prstGeom prst="rect">
                        <a:avLst/>
                      </a:prstGeom>
                      <a:noFill/>
                      <a:ln>
                        <a:noFill/>
                      </a:ln>
                      <a:effectLst/>
                    </wps:spPr>
                    <wps:txbx>
                      <w:txbxContent>
                        <w:p>
                          <w:pPr>
                            <w:pStyle w:val="8"/>
                            <w:rPr>
                              <w:rStyle w:val="15"/>
                            </w:rPr>
                          </w:pPr>
                          <w:r>
                            <w:fldChar w:fldCharType="begin"/>
                          </w:r>
                          <w:r>
                            <w:rPr>
                              <w:rStyle w:val="15"/>
                            </w:rPr>
                            <w:instrText xml:space="preserve">PAGE  </w:instrText>
                          </w:r>
                          <w:r>
                            <w:fldChar w:fldCharType="separate"/>
                          </w:r>
                          <w:r>
                            <w:rPr>
                              <w:rStyle w:val="15"/>
                            </w:rPr>
                            <w:t>20</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3.45pt;width:5.6pt;mso-position-horizontal:center;mso-position-horizontal-relative:margin;mso-wrap-style:none;z-index:251659264;mso-width-relative:page;mso-height-relative:page;" filled="f" stroked="f" coordsize="21600,21600" o:gfxdata="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lau5tAAAAADAQAADwAAAAAA&#10;AAABACAAAAAiAAAAZHJzL2Rvd25yZXYueG1sUEsBAhQAFAAAAAgAh07iQAaibdXiAQAAwAMAAA4A&#10;AAAAAAAAAQAgAAAAHwEAAGRycy9lMm9Eb2MueG1sUEsFBgAAAAAGAAYAWQEAAHMFAAAAAA==&#10;">
              <v:fill on="f" focussize="0,0"/>
              <v:stroke on="f"/>
              <v:imagedata o:title=""/>
              <o:lock v:ext="edit" aspectratio="f"/>
              <v:textbox inset="0mm,0mm,0mm,0mm" style="mso-fit-shape-to-text:t;">
                <w:txbxContent>
                  <w:p>
                    <w:pPr>
                      <w:pStyle w:val="8"/>
                      <w:rPr>
                        <w:rStyle w:val="15"/>
                      </w:rPr>
                    </w:pPr>
                    <w:r>
                      <w:fldChar w:fldCharType="begin"/>
                    </w:r>
                    <w:r>
                      <w:rPr>
                        <w:rStyle w:val="15"/>
                      </w:rPr>
                      <w:instrText xml:space="preserve">PAGE  </w:instrText>
                    </w:r>
                    <w:r>
                      <w:fldChar w:fldCharType="separate"/>
                    </w:r>
                    <w:r>
                      <w:rPr>
                        <w:rStyle w:val="15"/>
                      </w:rPr>
                      <w:t>20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margin" w:hAnchor="text" w:xAlign="right" w:y="1"/>
      <w:rPr>
        <w:rStyle w:val="15"/>
      </w:rPr>
    </w:pPr>
    <w:r>
      <w:fldChar w:fldCharType="begin"/>
    </w:r>
    <w:r>
      <w:rPr>
        <w:rStyle w:val="15"/>
      </w:rPr>
      <w:instrText xml:space="preserve">PAGE  </w:instrText>
    </w:r>
    <w:r>
      <w:fldChar w:fldCharType="end"/>
    </w:r>
  </w:p>
  <w:p>
    <w:pPr>
      <w:pStyle w:val="8"/>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80CEB3"/>
    <w:multiLevelType w:val="singleLevel"/>
    <w:tmpl w:val="8A80CEB3"/>
    <w:lvl w:ilvl="0" w:tentative="0">
      <w:start w:val="1"/>
      <w:numFmt w:val="decimal"/>
      <w:suff w:val="space"/>
      <w:lvlText w:val="(%1)"/>
      <w:lvlJc w:val="left"/>
    </w:lvl>
  </w:abstractNum>
  <w:abstractNum w:abstractNumId="1">
    <w:nsid w:val="10DE32CB"/>
    <w:multiLevelType w:val="singleLevel"/>
    <w:tmpl w:val="10DE32CB"/>
    <w:lvl w:ilvl="0" w:tentative="0">
      <w:start w:val="31"/>
      <w:numFmt w:val="decimal"/>
      <w:suff w:val="space"/>
      <w:lvlText w:val="%1."/>
      <w:lvlJc w:val="left"/>
    </w:lvl>
  </w:abstractNum>
  <w:abstractNum w:abstractNumId="2">
    <w:nsid w:val="521A012F"/>
    <w:multiLevelType w:val="multilevel"/>
    <w:tmpl w:val="521A012F"/>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
    <w:nsid w:val="523207F9"/>
    <w:multiLevelType w:val="multilevel"/>
    <w:tmpl w:val="523207F9"/>
    <w:lvl w:ilvl="0" w:tentative="0">
      <w:start w:val="1"/>
      <w:numFmt w:val="lowerLetter"/>
      <w:lvlText w:val="%1)"/>
      <w:lvlJc w:val="left"/>
      <w:pPr>
        <w:ind w:left="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19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91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63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35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07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79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51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23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4">
    <w:nsid w:val="7EA95E23"/>
    <w:multiLevelType w:val="multilevel"/>
    <w:tmpl w:val="7EA95E23"/>
    <w:lvl w:ilvl="0" w:tentative="0">
      <w:start w:val="1"/>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hyphenationZone w:val="425"/>
  <w:characterSpacingControl w:val="doNotCompress"/>
  <w:hdrShapeDefaults>
    <o:shapelayout v:ext="edit">
      <o:idmap v:ext="edit" data="4"/>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765"/>
    <w:rsid w:val="00002784"/>
    <w:rsid w:val="00003A08"/>
    <w:rsid w:val="000074DF"/>
    <w:rsid w:val="00010E9F"/>
    <w:rsid w:val="00013A8D"/>
    <w:rsid w:val="00017972"/>
    <w:rsid w:val="0003485D"/>
    <w:rsid w:val="000663F4"/>
    <w:rsid w:val="00072276"/>
    <w:rsid w:val="000768C5"/>
    <w:rsid w:val="000968E7"/>
    <w:rsid w:val="000A130E"/>
    <w:rsid w:val="000A5350"/>
    <w:rsid w:val="000A700F"/>
    <w:rsid w:val="000B0223"/>
    <w:rsid w:val="000B0684"/>
    <w:rsid w:val="000B5CFA"/>
    <w:rsid w:val="000C30D7"/>
    <w:rsid w:val="000C7472"/>
    <w:rsid w:val="000D5B5F"/>
    <w:rsid w:val="000D70A4"/>
    <w:rsid w:val="00100983"/>
    <w:rsid w:val="0010629D"/>
    <w:rsid w:val="00107EFC"/>
    <w:rsid w:val="0011242F"/>
    <w:rsid w:val="00116AA6"/>
    <w:rsid w:val="001308A5"/>
    <w:rsid w:val="001337DF"/>
    <w:rsid w:val="00140DE9"/>
    <w:rsid w:val="00142CFC"/>
    <w:rsid w:val="00164E37"/>
    <w:rsid w:val="00174399"/>
    <w:rsid w:val="00186955"/>
    <w:rsid w:val="001940B2"/>
    <w:rsid w:val="001A2A47"/>
    <w:rsid w:val="001C4A0D"/>
    <w:rsid w:val="001D3BDC"/>
    <w:rsid w:val="001D59D2"/>
    <w:rsid w:val="001D5F98"/>
    <w:rsid w:val="001E2D3D"/>
    <w:rsid w:val="001E3CAD"/>
    <w:rsid w:val="001E762A"/>
    <w:rsid w:val="001F6330"/>
    <w:rsid w:val="001F7A31"/>
    <w:rsid w:val="002000A8"/>
    <w:rsid w:val="0021181A"/>
    <w:rsid w:val="0022183A"/>
    <w:rsid w:val="002274AE"/>
    <w:rsid w:val="00235F12"/>
    <w:rsid w:val="00250430"/>
    <w:rsid w:val="002511BE"/>
    <w:rsid w:val="00260421"/>
    <w:rsid w:val="0026683B"/>
    <w:rsid w:val="00270FB8"/>
    <w:rsid w:val="00272AF4"/>
    <w:rsid w:val="002809D4"/>
    <w:rsid w:val="00282559"/>
    <w:rsid w:val="00287B44"/>
    <w:rsid w:val="00293ABC"/>
    <w:rsid w:val="002A0E09"/>
    <w:rsid w:val="002A283D"/>
    <w:rsid w:val="002A393C"/>
    <w:rsid w:val="002B398B"/>
    <w:rsid w:val="002B4F0E"/>
    <w:rsid w:val="002B6937"/>
    <w:rsid w:val="002C157B"/>
    <w:rsid w:val="002D297C"/>
    <w:rsid w:val="002E5FE8"/>
    <w:rsid w:val="002F1FB7"/>
    <w:rsid w:val="002F7990"/>
    <w:rsid w:val="00303088"/>
    <w:rsid w:val="0031677B"/>
    <w:rsid w:val="00332958"/>
    <w:rsid w:val="003342BB"/>
    <w:rsid w:val="00335551"/>
    <w:rsid w:val="003406B9"/>
    <w:rsid w:val="00341FC9"/>
    <w:rsid w:val="00351439"/>
    <w:rsid w:val="00353017"/>
    <w:rsid w:val="00354293"/>
    <w:rsid w:val="00365924"/>
    <w:rsid w:val="00374B19"/>
    <w:rsid w:val="003751BF"/>
    <w:rsid w:val="0037769D"/>
    <w:rsid w:val="00381487"/>
    <w:rsid w:val="00384B66"/>
    <w:rsid w:val="0039776E"/>
    <w:rsid w:val="003A21DD"/>
    <w:rsid w:val="003A398B"/>
    <w:rsid w:val="003A3C47"/>
    <w:rsid w:val="003A5174"/>
    <w:rsid w:val="003B7D88"/>
    <w:rsid w:val="003C0E79"/>
    <w:rsid w:val="003D135F"/>
    <w:rsid w:val="003F5EDB"/>
    <w:rsid w:val="00404EA6"/>
    <w:rsid w:val="00413F5A"/>
    <w:rsid w:val="004205B4"/>
    <w:rsid w:val="004213C6"/>
    <w:rsid w:val="004527E6"/>
    <w:rsid w:val="00455741"/>
    <w:rsid w:val="00456B63"/>
    <w:rsid w:val="00470BC4"/>
    <w:rsid w:val="004713E0"/>
    <w:rsid w:val="00472A53"/>
    <w:rsid w:val="00472B82"/>
    <w:rsid w:val="00475157"/>
    <w:rsid w:val="00491E0C"/>
    <w:rsid w:val="004A22A4"/>
    <w:rsid w:val="004A2A64"/>
    <w:rsid w:val="004A7D29"/>
    <w:rsid w:val="004B2D3A"/>
    <w:rsid w:val="004C670E"/>
    <w:rsid w:val="004C7A0E"/>
    <w:rsid w:val="004D6138"/>
    <w:rsid w:val="004E527C"/>
    <w:rsid w:val="004E5849"/>
    <w:rsid w:val="004E79F8"/>
    <w:rsid w:val="004F358F"/>
    <w:rsid w:val="004F3991"/>
    <w:rsid w:val="00503CD2"/>
    <w:rsid w:val="00513513"/>
    <w:rsid w:val="005145C0"/>
    <w:rsid w:val="0052279D"/>
    <w:rsid w:val="005307E6"/>
    <w:rsid w:val="00531BFC"/>
    <w:rsid w:val="00537DFB"/>
    <w:rsid w:val="005469A4"/>
    <w:rsid w:val="00554878"/>
    <w:rsid w:val="00575445"/>
    <w:rsid w:val="00584A7D"/>
    <w:rsid w:val="0059202F"/>
    <w:rsid w:val="00596308"/>
    <w:rsid w:val="005A3331"/>
    <w:rsid w:val="005A5042"/>
    <w:rsid w:val="005A7C79"/>
    <w:rsid w:val="005B447F"/>
    <w:rsid w:val="005B5A26"/>
    <w:rsid w:val="005B5D80"/>
    <w:rsid w:val="005C4014"/>
    <w:rsid w:val="005C4C68"/>
    <w:rsid w:val="00606C3E"/>
    <w:rsid w:val="00617248"/>
    <w:rsid w:val="00617CAD"/>
    <w:rsid w:val="006303A5"/>
    <w:rsid w:val="00631FD2"/>
    <w:rsid w:val="00633C90"/>
    <w:rsid w:val="006407ED"/>
    <w:rsid w:val="0064794B"/>
    <w:rsid w:val="0065313D"/>
    <w:rsid w:val="00657E1B"/>
    <w:rsid w:val="006620BF"/>
    <w:rsid w:val="00666667"/>
    <w:rsid w:val="0067392E"/>
    <w:rsid w:val="00680920"/>
    <w:rsid w:val="006C4120"/>
    <w:rsid w:val="006C5F40"/>
    <w:rsid w:val="006E71CA"/>
    <w:rsid w:val="006F2071"/>
    <w:rsid w:val="006F275E"/>
    <w:rsid w:val="006F60D2"/>
    <w:rsid w:val="00704E0F"/>
    <w:rsid w:val="0071201A"/>
    <w:rsid w:val="007176C9"/>
    <w:rsid w:val="007215A3"/>
    <w:rsid w:val="00727A22"/>
    <w:rsid w:val="00734AE8"/>
    <w:rsid w:val="00736772"/>
    <w:rsid w:val="007437CB"/>
    <w:rsid w:val="0075374A"/>
    <w:rsid w:val="0075377F"/>
    <w:rsid w:val="007570DF"/>
    <w:rsid w:val="00771881"/>
    <w:rsid w:val="00785E57"/>
    <w:rsid w:val="00786932"/>
    <w:rsid w:val="007A0A62"/>
    <w:rsid w:val="007A2926"/>
    <w:rsid w:val="007B37AC"/>
    <w:rsid w:val="007C7D13"/>
    <w:rsid w:val="007F04FE"/>
    <w:rsid w:val="007F2692"/>
    <w:rsid w:val="007F4BF4"/>
    <w:rsid w:val="007F6E2F"/>
    <w:rsid w:val="0080239F"/>
    <w:rsid w:val="0080518B"/>
    <w:rsid w:val="0082445F"/>
    <w:rsid w:val="00867756"/>
    <w:rsid w:val="00870BD6"/>
    <w:rsid w:val="00881C1A"/>
    <w:rsid w:val="00890F48"/>
    <w:rsid w:val="00893B08"/>
    <w:rsid w:val="00893F41"/>
    <w:rsid w:val="008A39BA"/>
    <w:rsid w:val="008A52BC"/>
    <w:rsid w:val="008D3D3A"/>
    <w:rsid w:val="008D412E"/>
    <w:rsid w:val="008D5EC6"/>
    <w:rsid w:val="008D7805"/>
    <w:rsid w:val="008E302E"/>
    <w:rsid w:val="008E6B67"/>
    <w:rsid w:val="008E6F65"/>
    <w:rsid w:val="00911683"/>
    <w:rsid w:val="009154A5"/>
    <w:rsid w:val="00916673"/>
    <w:rsid w:val="009301AD"/>
    <w:rsid w:val="0093485A"/>
    <w:rsid w:val="00935B0B"/>
    <w:rsid w:val="0094044A"/>
    <w:rsid w:val="00940ECF"/>
    <w:rsid w:val="009468E6"/>
    <w:rsid w:val="00957BD6"/>
    <w:rsid w:val="009605BC"/>
    <w:rsid w:val="00961C1C"/>
    <w:rsid w:val="0096563E"/>
    <w:rsid w:val="00967ADD"/>
    <w:rsid w:val="009727BD"/>
    <w:rsid w:val="00972BAC"/>
    <w:rsid w:val="00977E57"/>
    <w:rsid w:val="0098622C"/>
    <w:rsid w:val="00993991"/>
    <w:rsid w:val="00994677"/>
    <w:rsid w:val="00995D35"/>
    <w:rsid w:val="009A0271"/>
    <w:rsid w:val="009A1F27"/>
    <w:rsid w:val="009A2456"/>
    <w:rsid w:val="009A7EA5"/>
    <w:rsid w:val="009B0561"/>
    <w:rsid w:val="009B1C77"/>
    <w:rsid w:val="009B5E3D"/>
    <w:rsid w:val="009D445F"/>
    <w:rsid w:val="009D61AF"/>
    <w:rsid w:val="009F4460"/>
    <w:rsid w:val="009F6301"/>
    <w:rsid w:val="00A001A1"/>
    <w:rsid w:val="00A0325D"/>
    <w:rsid w:val="00A162FE"/>
    <w:rsid w:val="00A361CB"/>
    <w:rsid w:val="00A55192"/>
    <w:rsid w:val="00A6323A"/>
    <w:rsid w:val="00A65231"/>
    <w:rsid w:val="00A660A0"/>
    <w:rsid w:val="00A663F6"/>
    <w:rsid w:val="00A67964"/>
    <w:rsid w:val="00A82711"/>
    <w:rsid w:val="00A83589"/>
    <w:rsid w:val="00A85D2B"/>
    <w:rsid w:val="00A9090C"/>
    <w:rsid w:val="00A924BF"/>
    <w:rsid w:val="00A95290"/>
    <w:rsid w:val="00A97689"/>
    <w:rsid w:val="00AB22D3"/>
    <w:rsid w:val="00AC4BCB"/>
    <w:rsid w:val="00AD2E55"/>
    <w:rsid w:val="00AE0C12"/>
    <w:rsid w:val="00AE525E"/>
    <w:rsid w:val="00AE6238"/>
    <w:rsid w:val="00AF6959"/>
    <w:rsid w:val="00B03E38"/>
    <w:rsid w:val="00B04F50"/>
    <w:rsid w:val="00B1183A"/>
    <w:rsid w:val="00B13F72"/>
    <w:rsid w:val="00B14401"/>
    <w:rsid w:val="00B21E7E"/>
    <w:rsid w:val="00B23D6C"/>
    <w:rsid w:val="00B376DD"/>
    <w:rsid w:val="00B40501"/>
    <w:rsid w:val="00B418C0"/>
    <w:rsid w:val="00B419B2"/>
    <w:rsid w:val="00B45B72"/>
    <w:rsid w:val="00B46E3C"/>
    <w:rsid w:val="00B477B6"/>
    <w:rsid w:val="00B52894"/>
    <w:rsid w:val="00B6372A"/>
    <w:rsid w:val="00B71A4B"/>
    <w:rsid w:val="00B737EB"/>
    <w:rsid w:val="00B73917"/>
    <w:rsid w:val="00B82D75"/>
    <w:rsid w:val="00B92783"/>
    <w:rsid w:val="00B92F7D"/>
    <w:rsid w:val="00B96A98"/>
    <w:rsid w:val="00B9729D"/>
    <w:rsid w:val="00BA4C0E"/>
    <w:rsid w:val="00BA601B"/>
    <w:rsid w:val="00BA7E89"/>
    <w:rsid w:val="00BB635F"/>
    <w:rsid w:val="00BC7805"/>
    <w:rsid w:val="00BD538E"/>
    <w:rsid w:val="00BE0128"/>
    <w:rsid w:val="00BE7CF0"/>
    <w:rsid w:val="00BE7F44"/>
    <w:rsid w:val="00BF7655"/>
    <w:rsid w:val="00C014CD"/>
    <w:rsid w:val="00C07127"/>
    <w:rsid w:val="00C12E3B"/>
    <w:rsid w:val="00C131E9"/>
    <w:rsid w:val="00C16EC2"/>
    <w:rsid w:val="00C3638C"/>
    <w:rsid w:val="00C521A4"/>
    <w:rsid w:val="00C72392"/>
    <w:rsid w:val="00C749CD"/>
    <w:rsid w:val="00C8088B"/>
    <w:rsid w:val="00C96095"/>
    <w:rsid w:val="00C9764D"/>
    <w:rsid w:val="00CB1CD9"/>
    <w:rsid w:val="00CB353B"/>
    <w:rsid w:val="00CB597B"/>
    <w:rsid w:val="00CD773B"/>
    <w:rsid w:val="00CE396A"/>
    <w:rsid w:val="00CE403B"/>
    <w:rsid w:val="00CF47B0"/>
    <w:rsid w:val="00CF6A3B"/>
    <w:rsid w:val="00D03A7A"/>
    <w:rsid w:val="00D065BC"/>
    <w:rsid w:val="00D1248D"/>
    <w:rsid w:val="00D14428"/>
    <w:rsid w:val="00D17777"/>
    <w:rsid w:val="00D5677A"/>
    <w:rsid w:val="00D57276"/>
    <w:rsid w:val="00D57C88"/>
    <w:rsid w:val="00D60B54"/>
    <w:rsid w:val="00D65388"/>
    <w:rsid w:val="00D802DB"/>
    <w:rsid w:val="00D91B30"/>
    <w:rsid w:val="00DA4A05"/>
    <w:rsid w:val="00DB0519"/>
    <w:rsid w:val="00DB0752"/>
    <w:rsid w:val="00DB2D78"/>
    <w:rsid w:val="00DB7A2D"/>
    <w:rsid w:val="00DC0FF2"/>
    <w:rsid w:val="00DD65F2"/>
    <w:rsid w:val="00DE045F"/>
    <w:rsid w:val="00DE11BF"/>
    <w:rsid w:val="00DE1ECC"/>
    <w:rsid w:val="00DF03DC"/>
    <w:rsid w:val="00E03609"/>
    <w:rsid w:val="00E06528"/>
    <w:rsid w:val="00E06E38"/>
    <w:rsid w:val="00E12451"/>
    <w:rsid w:val="00E15DA1"/>
    <w:rsid w:val="00E238CB"/>
    <w:rsid w:val="00E248B5"/>
    <w:rsid w:val="00E277DA"/>
    <w:rsid w:val="00E418B3"/>
    <w:rsid w:val="00E41E00"/>
    <w:rsid w:val="00E42851"/>
    <w:rsid w:val="00E5029E"/>
    <w:rsid w:val="00E65BE3"/>
    <w:rsid w:val="00E71BF5"/>
    <w:rsid w:val="00E72905"/>
    <w:rsid w:val="00E81C21"/>
    <w:rsid w:val="00E90C4A"/>
    <w:rsid w:val="00EA0E9A"/>
    <w:rsid w:val="00EC47FD"/>
    <w:rsid w:val="00EC7680"/>
    <w:rsid w:val="00ED2AA9"/>
    <w:rsid w:val="00ED767C"/>
    <w:rsid w:val="00EE3F9E"/>
    <w:rsid w:val="00EE4039"/>
    <w:rsid w:val="00EE4D06"/>
    <w:rsid w:val="00EF14D5"/>
    <w:rsid w:val="00EF168C"/>
    <w:rsid w:val="00EF2C38"/>
    <w:rsid w:val="00EF59A9"/>
    <w:rsid w:val="00EF6761"/>
    <w:rsid w:val="00F022A7"/>
    <w:rsid w:val="00F1231E"/>
    <w:rsid w:val="00F1326B"/>
    <w:rsid w:val="00F16F00"/>
    <w:rsid w:val="00F22D3D"/>
    <w:rsid w:val="00F3082A"/>
    <w:rsid w:val="00F31DF6"/>
    <w:rsid w:val="00F33DFA"/>
    <w:rsid w:val="00F371CD"/>
    <w:rsid w:val="00F4197E"/>
    <w:rsid w:val="00F451E3"/>
    <w:rsid w:val="00F52A6C"/>
    <w:rsid w:val="00F57867"/>
    <w:rsid w:val="00F620E1"/>
    <w:rsid w:val="00F633D5"/>
    <w:rsid w:val="00F65C61"/>
    <w:rsid w:val="00F733F6"/>
    <w:rsid w:val="00F80FDB"/>
    <w:rsid w:val="00FB242D"/>
    <w:rsid w:val="00FB3C56"/>
    <w:rsid w:val="00FC0AE8"/>
    <w:rsid w:val="00FC64E4"/>
    <w:rsid w:val="00FC7A92"/>
    <w:rsid w:val="00FD3E09"/>
    <w:rsid w:val="00FD7793"/>
    <w:rsid w:val="00FF26FD"/>
    <w:rsid w:val="00FF6765"/>
    <w:rsid w:val="2E930043"/>
    <w:rsid w:val="50651336"/>
    <w:rsid w:val="51773DBF"/>
    <w:rsid w:val="6DCC7E7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99"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Calibri" w:hAnsi="Calibri" w:eastAsia="Calibri" w:cs="Times New Roman"/>
      <w:sz w:val="22"/>
      <w:szCs w:val="22"/>
      <w:lang w:val="quz-PE" w:eastAsia="en-US" w:bidi="ar-SA"/>
    </w:rPr>
  </w:style>
  <w:style w:type="paragraph" w:styleId="2">
    <w:name w:val="heading 1"/>
    <w:basedOn w:val="1"/>
    <w:next w:val="1"/>
    <w:link w:val="31"/>
    <w:qFormat/>
    <w:uiPriority w:val="9"/>
    <w:pPr>
      <w:widowControl/>
      <w:spacing w:before="100" w:beforeAutospacing="1" w:after="100" w:afterAutospacing="1"/>
      <w:outlineLvl w:val="0"/>
    </w:pPr>
    <w:rPr>
      <w:rFonts w:ascii="Times New Roman" w:hAnsi="Times New Roman" w:eastAsia="Times New Roman"/>
      <w:b/>
      <w:bCs/>
      <w:kern w:val="36"/>
      <w:sz w:val="48"/>
      <w:szCs w:val="48"/>
      <w:lang w:val="ro-RO" w:eastAsia="ro-RO"/>
    </w:rPr>
  </w:style>
  <w:style w:type="paragraph" w:styleId="3">
    <w:name w:val="heading 4"/>
    <w:basedOn w:val="1"/>
    <w:next w:val="1"/>
    <w:link w:val="32"/>
    <w:qFormat/>
    <w:uiPriority w:val="99"/>
    <w:pPr>
      <w:keepNext/>
      <w:widowControl/>
      <w:spacing w:before="240" w:after="60"/>
      <w:outlineLvl w:val="3"/>
    </w:pPr>
    <w:rPr>
      <w:rFonts w:ascii="Times New Roman" w:hAnsi="Times New Roman" w:eastAsia="Times New Roman"/>
      <w:b/>
      <w:bCs/>
      <w:sz w:val="28"/>
      <w:szCs w:val="28"/>
      <w:lang w:val="ro-RO"/>
    </w:rPr>
  </w:style>
  <w:style w:type="character" w:default="1" w:styleId="11">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9"/>
    <w:semiHidden/>
    <w:unhideWhenUsed/>
    <w:uiPriority w:val="99"/>
    <w:rPr>
      <w:rFonts w:ascii="Segoe UI" w:hAnsi="Segoe UI"/>
      <w:sz w:val="18"/>
      <w:szCs w:val="18"/>
    </w:rPr>
  </w:style>
  <w:style w:type="paragraph" w:styleId="5">
    <w:name w:val="Body Text"/>
    <w:basedOn w:val="1"/>
    <w:link w:val="19"/>
    <w:qFormat/>
    <w:uiPriority w:val="1"/>
    <w:pPr>
      <w:ind w:left="3284"/>
    </w:pPr>
    <w:rPr>
      <w:rFonts w:ascii="Century Gothic" w:hAnsi="Century Gothic" w:eastAsia="Century Gothic"/>
      <w:sz w:val="21"/>
      <w:szCs w:val="21"/>
    </w:rPr>
  </w:style>
  <w:style w:type="paragraph" w:styleId="6">
    <w:name w:val="annotation text"/>
    <w:basedOn w:val="1"/>
    <w:link w:val="36"/>
    <w:unhideWhenUsed/>
    <w:qFormat/>
    <w:uiPriority w:val="99"/>
    <w:rPr>
      <w:sz w:val="20"/>
      <w:szCs w:val="20"/>
    </w:rPr>
  </w:style>
  <w:style w:type="paragraph" w:styleId="7">
    <w:name w:val="annotation subject"/>
    <w:basedOn w:val="6"/>
    <w:next w:val="6"/>
    <w:link w:val="37"/>
    <w:semiHidden/>
    <w:unhideWhenUsed/>
    <w:uiPriority w:val="99"/>
    <w:rPr>
      <w:b/>
      <w:bCs/>
    </w:rPr>
  </w:style>
  <w:style w:type="paragraph" w:styleId="8">
    <w:name w:val="footer"/>
    <w:basedOn w:val="1"/>
    <w:link w:val="22"/>
    <w:unhideWhenUsed/>
    <w:qFormat/>
    <w:uiPriority w:val="0"/>
    <w:pPr>
      <w:tabs>
        <w:tab w:val="center" w:pos="4536"/>
        <w:tab w:val="right" w:pos="9072"/>
      </w:tabs>
    </w:pPr>
  </w:style>
  <w:style w:type="paragraph" w:styleId="9">
    <w:name w:val="header"/>
    <w:basedOn w:val="1"/>
    <w:link w:val="20"/>
    <w:unhideWhenUsed/>
    <w:qFormat/>
    <w:uiPriority w:val="99"/>
    <w:pPr>
      <w:tabs>
        <w:tab w:val="center" w:pos="4536"/>
        <w:tab w:val="right" w:pos="9072"/>
      </w:tabs>
    </w:pPr>
  </w:style>
  <w:style w:type="paragraph" w:styleId="10">
    <w:name w:val="Normal (Web)"/>
    <w:basedOn w:val="1"/>
    <w:semiHidden/>
    <w:unhideWhenUsed/>
    <w:uiPriority w:val="99"/>
    <w:pPr>
      <w:widowControl/>
      <w:spacing w:before="100" w:beforeAutospacing="1" w:after="100" w:afterAutospacing="1"/>
    </w:pPr>
    <w:rPr>
      <w:rFonts w:ascii="Times New Roman" w:hAnsi="Times New Roman" w:eastAsia="Times New Roman"/>
      <w:sz w:val="24"/>
      <w:szCs w:val="24"/>
      <w:lang w:val="ro-RO" w:eastAsia="ro-RO"/>
    </w:rPr>
  </w:style>
  <w:style w:type="character" w:styleId="12">
    <w:name w:val="annotation reference"/>
    <w:basedOn w:val="11"/>
    <w:semiHidden/>
    <w:unhideWhenUsed/>
    <w:uiPriority w:val="99"/>
    <w:rPr>
      <w:sz w:val="16"/>
      <w:szCs w:val="16"/>
    </w:rPr>
  </w:style>
  <w:style w:type="character" w:styleId="13">
    <w:name w:val="Emphasis"/>
    <w:qFormat/>
    <w:uiPriority w:val="99"/>
    <w:rPr>
      <w:i/>
      <w:iCs/>
    </w:rPr>
  </w:style>
  <w:style w:type="character" w:styleId="14">
    <w:name w:val="Hyperlink"/>
    <w:unhideWhenUsed/>
    <w:qFormat/>
    <w:uiPriority w:val="99"/>
    <w:rPr>
      <w:color w:val="0563C1"/>
      <w:u w:val="single"/>
    </w:rPr>
  </w:style>
  <w:style w:type="character" w:styleId="15">
    <w:name w:val="page number"/>
    <w:qFormat/>
    <w:uiPriority w:val="0"/>
    <w:rPr>
      <w:rFonts w:cs="Times New Roman"/>
    </w:rPr>
  </w:style>
  <w:style w:type="character" w:styleId="16">
    <w:name w:val="Strong"/>
    <w:qFormat/>
    <w:uiPriority w:val="22"/>
    <w:rPr>
      <w:b/>
      <w:bCs/>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9">
    <w:name w:val="Body Text Char"/>
    <w:link w:val="5"/>
    <w:qFormat/>
    <w:uiPriority w:val="1"/>
    <w:rPr>
      <w:rFonts w:ascii="Century Gothic" w:hAnsi="Century Gothic" w:eastAsia="Century Gothic"/>
      <w:sz w:val="21"/>
      <w:szCs w:val="21"/>
    </w:rPr>
  </w:style>
  <w:style w:type="character" w:customStyle="1" w:styleId="20">
    <w:name w:val="Header Char"/>
    <w:basedOn w:val="11"/>
    <w:link w:val="9"/>
    <w:qFormat/>
    <w:uiPriority w:val="99"/>
  </w:style>
  <w:style w:type="paragraph" w:styleId="21">
    <w:name w:val="List Paragraph"/>
    <w:basedOn w:val="1"/>
    <w:qFormat/>
    <w:uiPriority w:val="34"/>
    <w:pPr>
      <w:widowControl/>
      <w:spacing w:after="160" w:line="259" w:lineRule="auto"/>
      <w:ind w:left="720"/>
      <w:contextualSpacing/>
    </w:pPr>
  </w:style>
  <w:style w:type="character" w:customStyle="1" w:styleId="22">
    <w:name w:val="Footer Char"/>
    <w:basedOn w:val="11"/>
    <w:link w:val="8"/>
    <w:qFormat/>
    <w:uiPriority w:val="99"/>
  </w:style>
  <w:style w:type="character" w:customStyle="1" w:styleId="23">
    <w:name w:val="Mention"/>
    <w:semiHidden/>
    <w:unhideWhenUsed/>
    <w:qFormat/>
    <w:uiPriority w:val="99"/>
    <w:rPr>
      <w:color w:val="2B579A"/>
      <w:shd w:val="clear" w:color="auto" w:fill="E6E6E6"/>
    </w:rPr>
  </w:style>
  <w:style w:type="character" w:customStyle="1" w:styleId="24">
    <w:name w:val="sp"/>
    <w:basedOn w:val="11"/>
    <w:uiPriority w:val="0"/>
  </w:style>
  <w:style w:type="character" w:customStyle="1" w:styleId="25">
    <w:name w:val="tsp"/>
    <w:basedOn w:val="11"/>
    <w:qFormat/>
    <w:uiPriority w:val="0"/>
  </w:style>
  <w:style w:type="character" w:customStyle="1" w:styleId="26">
    <w:name w:val="tpa"/>
    <w:basedOn w:val="11"/>
    <w:qFormat/>
    <w:uiPriority w:val="0"/>
  </w:style>
  <w:style w:type="character" w:customStyle="1" w:styleId="27">
    <w:name w:val="li"/>
    <w:basedOn w:val="11"/>
    <w:qFormat/>
    <w:uiPriority w:val="0"/>
  </w:style>
  <w:style w:type="character" w:customStyle="1" w:styleId="28">
    <w:name w:val="tli"/>
    <w:basedOn w:val="11"/>
    <w:qFormat/>
    <w:uiPriority w:val="0"/>
  </w:style>
  <w:style w:type="character" w:customStyle="1" w:styleId="29">
    <w:name w:val="Balloon Text Char"/>
    <w:link w:val="4"/>
    <w:semiHidden/>
    <w:qFormat/>
    <w:uiPriority w:val="99"/>
    <w:rPr>
      <w:rFonts w:ascii="Segoe UI" w:hAnsi="Segoe UI" w:cs="Segoe UI"/>
      <w:sz w:val="18"/>
      <w:szCs w:val="18"/>
    </w:rPr>
  </w:style>
  <w:style w:type="character" w:customStyle="1" w:styleId="30">
    <w:name w:val="Unresolved Mention"/>
    <w:semiHidden/>
    <w:unhideWhenUsed/>
    <w:qFormat/>
    <w:uiPriority w:val="99"/>
    <w:rPr>
      <w:color w:val="808080"/>
      <w:shd w:val="clear" w:color="auto" w:fill="E6E6E6"/>
    </w:rPr>
  </w:style>
  <w:style w:type="character" w:customStyle="1" w:styleId="31">
    <w:name w:val="Heading 1 Char"/>
    <w:link w:val="2"/>
    <w:qFormat/>
    <w:uiPriority w:val="9"/>
    <w:rPr>
      <w:rFonts w:ascii="Times New Roman" w:hAnsi="Times New Roman" w:eastAsia="Times New Roman" w:cs="Times New Roman"/>
      <w:b/>
      <w:bCs/>
      <w:kern w:val="36"/>
      <w:sz w:val="48"/>
      <w:szCs w:val="48"/>
      <w:lang w:val="ro-RO" w:eastAsia="ro-RO"/>
    </w:rPr>
  </w:style>
  <w:style w:type="character" w:customStyle="1" w:styleId="32">
    <w:name w:val="Heading 4 Char"/>
    <w:link w:val="3"/>
    <w:qFormat/>
    <w:uiPriority w:val="99"/>
    <w:rPr>
      <w:rFonts w:ascii="Times New Roman" w:hAnsi="Times New Roman" w:eastAsia="Times New Roman"/>
      <w:b/>
      <w:bCs/>
      <w:sz w:val="28"/>
      <w:szCs w:val="28"/>
      <w:lang w:val="ro-RO"/>
    </w:rPr>
  </w:style>
  <w:style w:type="character" w:customStyle="1" w:styleId="33">
    <w:name w:val="Subtle Reference"/>
    <w:qFormat/>
    <w:uiPriority w:val="99"/>
    <w:rPr>
      <w:rFonts w:cs="Times New Roman"/>
      <w:smallCaps/>
      <w:color w:val="C0504D"/>
      <w:u w:val="single"/>
    </w:rPr>
  </w:style>
  <w:style w:type="character" w:customStyle="1" w:styleId="34">
    <w:name w:val="al"/>
    <w:qFormat/>
    <w:uiPriority w:val="0"/>
  </w:style>
  <w:style w:type="character" w:customStyle="1" w:styleId="35">
    <w:name w:val="tal"/>
    <w:qFormat/>
    <w:uiPriority w:val="0"/>
  </w:style>
  <w:style w:type="character" w:customStyle="1" w:styleId="36">
    <w:name w:val="Comment Text Char"/>
    <w:basedOn w:val="11"/>
    <w:link w:val="6"/>
    <w:semiHidden/>
    <w:qFormat/>
    <w:uiPriority w:val="99"/>
    <w:rPr>
      <w:lang w:val="en-US" w:eastAsia="en-US"/>
    </w:rPr>
  </w:style>
  <w:style w:type="character" w:customStyle="1" w:styleId="37">
    <w:name w:val="Comment Subject Char"/>
    <w:basedOn w:val="36"/>
    <w:link w:val="7"/>
    <w:semiHidden/>
    <w:qFormat/>
    <w:uiPriority w:val="99"/>
    <w:rPr>
      <w:b/>
      <w:bCs/>
      <w:lang w:val="en-US" w:eastAsia="en-US"/>
    </w:rPr>
  </w:style>
  <w:style w:type="table" w:customStyle="1" w:styleId="38">
    <w:name w:val="_Style 10"/>
    <w:basedOn w:val="17"/>
    <w:qFormat/>
    <w:uiPriority w:val="0"/>
    <w:rPr>
      <w:rFonts w:ascii="Times New Roman" w:hAnsi="Times New Roman" w:eastAsia="SimSun"/>
      <w:lang w:val="en-US" w:eastAsia="en-US"/>
    </w:rPr>
    <w:tblPr>
      <w:tblCellMar>
        <w:top w:w="0" w:type="dxa"/>
        <w:left w:w="108" w:type="dxa"/>
        <w:bottom w:w="0" w:type="dxa"/>
        <w:right w:w="108" w:type="dxa"/>
      </w:tblCellMar>
    </w:tblPr>
  </w:style>
  <w:style w:type="table" w:customStyle="1" w:styleId="39">
    <w:name w:val="_Style 11"/>
    <w:basedOn w:val="17"/>
    <w:qFormat/>
    <w:uiPriority w:val="0"/>
    <w:rPr>
      <w:rFonts w:ascii="Times New Roman" w:hAnsi="Times New Roman" w:eastAsia="SimSun"/>
      <w:lang w:val="en-US" w:eastAsia="en-US"/>
    </w:rPr>
    <w:tblPr>
      <w:tblCellMar>
        <w:top w:w="0" w:type="dxa"/>
        <w:left w:w="107" w:type="dxa"/>
        <w:bottom w:w="0" w:type="dxa"/>
        <w:right w:w="107" w:type="dxa"/>
      </w:tblCellMar>
    </w:tblPr>
  </w:style>
  <w:style w:type="paragraph" w:styleId="40">
    <w:name w:val="No Spacing"/>
    <w:qFormat/>
    <w:uiPriority w:val="1"/>
    <w:pPr>
      <w:widowControl w:val="0"/>
    </w:pPr>
    <w:rPr>
      <w:rFonts w:ascii="Calibri" w:hAnsi="Calibri" w:eastAsia="Calibri" w:cs="Times New Roman"/>
      <w:sz w:val="22"/>
      <w:szCs w:val="22"/>
      <w:lang w:val="quz-PE"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FE807A-B99B-4D1C-8F86-7618E5FD2380}">
  <ds:schemaRefs/>
</ds:datastoreItem>
</file>

<file path=docProps/app.xml><?xml version="1.0" encoding="utf-8"?>
<Properties xmlns="http://schemas.openxmlformats.org/officeDocument/2006/extended-properties" xmlns:vt="http://schemas.openxmlformats.org/officeDocument/2006/docPropsVTypes">
  <Template>Normal</Template>
  <Pages>20</Pages>
  <Words>5104</Words>
  <Characters>29792</Characters>
  <Lines>1337</Lines>
  <Paragraphs>378</Paragraphs>
  <TotalTime>0</TotalTime>
  <ScaleCrop>false</ScaleCrop>
  <LinksUpToDate>false</LinksUpToDate>
  <CharactersWithSpaces>35278</CharactersWithSpaces>
  <Application>WPS Office_11.2.0.9718_F1E327BC-269C-435d-A152-05C5408002CA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2020-11-02T14:23:00Z</dcterms:created>
  <dc:creator>FPS</dc:creator>
  <cp:lastModifiedBy>google1579024903</cp:lastModifiedBy>
  <cp:lastPrinted>2020-09-02T06:57:00Z</cp:lastPrinted>
  <dcterms:modified xsi:type="dcterms:W3CDTF">2020-11-02T14:27:20Z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2057-11.2.0.9718</vt:lpwstr>
  </property>
</Properties>
</file>