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0950"/>
      </w:tblGrid>
      <w:tr w:rsidR="00AE42AC" w:rsidTr="00AE42AC">
        <w:tc>
          <w:tcPr>
            <w:tcW w:w="10950" w:type="dxa"/>
            <w:vAlign w:val="bottom"/>
            <w:hideMark/>
          </w:tcPr>
          <w:tbl>
            <w:tblPr>
              <w:tblW w:w="9216" w:type="dxa"/>
              <w:tblLook w:val="04A0"/>
            </w:tblPr>
            <w:tblGrid>
              <w:gridCol w:w="1683"/>
              <w:gridCol w:w="5787"/>
              <w:gridCol w:w="1746"/>
            </w:tblGrid>
            <w:tr w:rsidR="00AE42AC">
              <w:trPr>
                <w:trHeight w:val="1845"/>
              </w:trPr>
              <w:tc>
                <w:tcPr>
                  <w:tcW w:w="1685" w:type="dxa"/>
                  <w:vAlign w:val="center"/>
                  <w:hideMark/>
                </w:tcPr>
                <w:p w:rsidR="00AE42AC" w:rsidRDefault="00046838">
                  <w:pPr>
                    <w:jc w:val="cente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5828" w:type="dxa"/>
                  <w:vAlign w:val="center"/>
                </w:tcPr>
                <w:p w:rsidR="00AE42AC" w:rsidRDefault="00AE42AC">
                  <w:pPr>
                    <w:ind w:left="177" w:right="-114"/>
                    <w:jc w:val="center"/>
                    <w:rPr>
                      <w:rFonts w:ascii="Verdana" w:hAnsi="Verdana"/>
                      <w:b/>
                      <w:sz w:val="38"/>
                      <w:szCs w:val="40"/>
                      <w:lang w:val="ro-RO"/>
                    </w:rPr>
                  </w:pPr>
                  <w:r>
                    <w:rPr>
                      <w:rFonts w:ascii="Verdana" w:hAnsi="Verdana"/>
                      <w:b/>
                      <w:sz w:val="38"/>
                      <w:szCs w:val="40"/>
                      <w:lang w:val="ro-RO"/>
                    </w:rPr>
                    <w:t>Parlamentul României</w:t>
                  </w:r>
                </w:p>
                <w:p w:rsidR="00AE42AC" w:rsidRDefault="00AE42AC">
                  <w:pPr>
                    <w:ind w:left="177" w:right="-114"/>
                    <w:jc w:val="center"/>
                    <w:rPr>
                      <w:rFonts w:ascii="Verdana" w:hAnsi="Verdana"/>
                      <w:b/>
                      <w:sz w:val="38"/>
                      <w:szCs w:val="40"/>
                      <w:lang w:val="ro-RO"/>
                    </w:rPr>
                  </w:pPr>
                  <w:r>
                    <w:rPr>
                      <w:rFonts w:ascii="Verdana" w:hAnsi="Verdana"/>
                      <w:b/>
                      <w:sz w:val="38"/>
                      <w:szCs w:val="40"/>
                      <w:lang w:val="ro-RO"/>
                    </w:rPr>
                    <w:t>Camera Deputaţilor</w:t>
                  </w:r>
                </w:p>
                <w:p w:rsidR="00AE42AC" w:rsidRDefault="00AE42AC">
                  <w:pPr>
                    <w:ind w:left="177" w:right="-114"/>
                    <w:jc w:val="center"/>
                    <w:rPr>
                      <w:rFonts w:ascii="Verdana" w:hAnsi="Verdana"/>
                      <w:b/>
                      <w:sz w:val="18"/>
                      <w:lang w:val="ro-RO"/>
                    </w:rPr>
                  </w:pPr>
                </w:p>
                <w:p w:rsidR="00AE42AC" w:rsidRPr="003B7E77" w:rsidRDefault="00AE42AC">
                  <w:pPr>
                    <w:ind w:left="177" w:right="-114"/>
                    <w:jc w:val="center"/>
                    <w:rPr>
                      <w:sz w:val="22"/>
                      <w:szCs w:val="22"/>
                      <w:lang w:val="it-IT"/>
                    </w:rPr>
                  </w:pPr>
                  <w:r>
                    <w:rPr>
                      <w:rFonts w:ascii="Verdana" w:hAnsi="Verdana"/>
                      <w:b/>
                      <w:sz w:val="22"/>
                      <w:szCs w:val="22"/>
                      <w:lang w:val="ro-RO"/>
                    </w:rPr>
                    <w:t>Comisia pentru muncă şi protecţie socială</w:t>
                  </w:r>
                </w:p>
              </w:tc>
              <w:tc>
                <w:tcPr>
                  <w:tcW w:w="1703" w:type="dxa"/>
                  <w:vAlign w:val="center"/>
                  <w:hideMark/>
                </w:tcPr>
                <w:p w:rsidR="00AE42AC" w:rsidRDefault="00046838">
                  <w:pPr>
                    <w:jc w:val="center"/>
                  </w:pPr>
                  <w:r>
                    <w:rPr>
                      <w:noProof/>
                    </w:rPr>
                    <w:drawing>
                      <wp:inline distT="0" distB="0" distL="0" distR="0">
                        <wp:extent cx="946785" cy="760095"/>
                        <wp:effectExtent l="19050" t="0" r="5715"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946785" cy="760095"/>
                                </a:xfrm>
                                <a:prstGeom prst="rect">
                                  <a:avLst/>
                                </a:prstGeom>
                                <a:noFill/>
                                <a:ln w="9525">
                                  <a:noFill/>
                                  <a:miter lim="800000"/>
                                  <a:headEnd/>
                                  <a:tailEnd/>
                                </a:ln>
                              </pic:spPr>
                            </pic:pic>
                          </a:graphicData>
                        </a:graphic>
                      </wp:inline>
                    </w:drawing>
                  </w:r>
                </w:p>
              </w:tc>
            </w:tr>
          </w:tbl>
          <w:p w:rsidR="00AE42AC" w:rsidRDefault="00AE42AC">
            <w:pPr>
              <w:rPr>
                <w:rFonts w:ascii="Calibri" w:hAnsi="Calibri"/>
                <w:sz w:val="22"/>
                <w:szCs w:val="22"/>
              </w:rPr>
            </w:pPr>
          </w:p>
        </w:tc>
      </w:tr>
    </w:tbl>
    <w:p w:rsidR="00AE42AC" w:rsidRDefault="00AE42AC"/>
    <w:tbl>
      <w:tblPr>
        <w:tblpPr w:leftFromText="180" w:rightFromText="180" w:vertAnchor="text" w:horzAnchor="margin" w:tblpY="217"/>
        <w:tblW w:w="4063" w:type="dxa"/>
        <w:tblLayout w:type="fixed"/>
        <w:tblLook w:val="0000"/>
      </w:tblPr>
      <w:tblGrid>
        <w:gridCol w:w="850"/>
        <w:gridCol w:w="818"/>
        <w:gridCol w:w="2395"/>
      </w:tblGrid>
      <w:tr w:rsidR="008633B2" w:rsidRPr="00661174">
        <w:trPr>
          <w:trHeight w:val="259"/>
        </w:trPr>
        <w:tc>
          <w:tcPr>
            <w:tcW w:w="1668" w:type="dxa"/>
            <w:gridSpan w:val="2"/>
          </w:tcPr>
          <w:p w:rsidR="008633B2" w:rsidRPr="00661174" w:rsidRDefault="008633B2" w:rsidP="000D1741">
            <w:pPr>
              <w:jc w:val="right"/>
              <w:rPr>
                <w:rFonts w:ascii="Verdana" w:hAnsi="Verdana"/>
                <w:b/>
                <w:sz w:val="20"/>
                <w:lang w:val="ro-RO"/>
              </w:rPr>
            </w:pPr>
            <w:r w:rsidRPr="00661174">
              <w:rPr>
                <w:rFonts w:ascii="Verdana" w:hAnsi="Verdana"/>
                <w:b/>
                <w:sz w:val="20"/>
                <w:lang w:val="ro-RO"/>
              </w:rPr>
              <w:t>Bucureşti,</w:t>
            </w:r>
          </w:p>
        </w:tc>
        <w:tc>
          <w:tcPr>
            <w:tcW w:w="2395" w:type="dxa"/>
          </w:tcPr>
          <w:p w:rsidR="008633B2" w:rsidRPr="00661174" w:rsidRDefault="00F93D9A" w:rsidP="000D1741">
            <w:pPr>
              <w:rPr>
                <w:rFonts w:ascii="Verdana" w:hAnsi="Verdana"/>
                <w:sz w:val="20"/>
                <w:lang w:val="ro-RO"/>
              </w:rPr>
            </w:pPr>
            <w:r>
              <w:rPr>
                <w:rFonts w:ascii="Verdana" w:hAnsi="Verdana"/>
                <w:sz w:val="20"/>
                <w:lang w:val="ro-RO"/>
              </w:rPr>
              <w:t>3 decembrie 2018</w:t>
            </w:r>
          </w:p>
        </w:tc>
      </w:tr>
      <w:tr w:rsidR="008633B2" w:rsidRPr="00661174">
        <w:trPr>
          <w:gridBefore w:val="1"/>
          <w:wBefore w:w="850" w:type="dxa"/>
          <w:trHeight w:val="259"/>
        </w:trPr>
        <w:tc>
          <w:tcPr>
            <w:tcW w:w="818" w:type="dxa"/>
          </w:tcPr>
          <w:p w:rsidR="008633B2" w:rsidRPr="00661174" w:rsidRDefault="008633B2" w:rsidP="00FD1F22">
            <w:pPr>
              <w:jc w:val="right"/>
              <w:rPr>
                <w:rFonts w:ascii="Verdana" w:hAnsi="Verdana"/>
                <w:b/>
                <w:sz w:val="20"/>
                <w:lang w:val="ro-RO"/>
              </w:rPr>
            </w:pPr>
            <w:r w:rsidRPr="00661174">
              <w:rPr>
                <w:rFonts w:ascii="Verdana" w:hAnsi="Verdana"/>
                <w:b/>
                <w:sz w:val="20"/>
                <w:lang w:val="ro-RO"/>
              </w:rPr>
              <w:t>Nr.</w:t>
            </w:r>
          </w:p>
        </w:tc>
        <w:tc>
          <w:tcPr>
            <w:tcW w:w="2395" w:type="dxa"/>
          </w:tcPr>
          <w:p w:rsidR="008633B2" w:rsidRPr="00661174" w:rsidRDefault="000F16C2" w:rsidP="003B7E77">
            <w:pPr>
              <w:rPr>
                <w:rFonts w:ascii="Verdana" w:hAnsi="Verdana"/>
                <w:sz w:val="20"/>
                <w:lang w:val="ro-RO"/>
              </w:rPr>
            </w:pPr>
            <w:r w:rsidRPr="00661174">
              <w:rPr>
                <w:rFonts w:ascii="Verdana" w:hAnsi="Verdana"/>
                <w:sz w:val="20"/>
                <w:lang w:val="ro-RO"/>
              </w:rPr>
              <w:t>4c-</w:t>
            </w:r>
            <w:r w:rsidR="003B7E77">
              <w:rPr>
                <w:rFonts w:ascii="Verdana" w:hAnsi="Verdana"/>
                <w:sz w:val="20"/>
                <w:lang w:val="ro-RO"/>
              </w:rPr>
              <w:t>9</w:t>
            </w:r>
            <w:r w:rsidR="00072D2C" w:rsidRPr="00661174">
              <w:rPr>
                <w:rFonts w:ascii="Verdana" w:hAnsi="Verdana"/>
                <w:sz w:val="20"/>
                <w:lang w:val="ro-RO"/>
              </w:rPr>
              <w:t>/</w:t>
            </w:r>
            <w:r w:rsidR="00F93D9A">
              <w:rPr>
                <w:rFonts w:ascii="Verdana" w:hAnsi="Verdana"/>
                <w:sz w:val="20"/>
                <w:lang w:val="ro-RO"/>
              </w:rPr>
              <w:t>961</w:t>
            </w:r>
          </w:p>
        </w:tc>
      </w:tr>
    </w:tbl>
    <w:p w:rsidR="00672003" w:rsidRPr="00661174" w:rsidRDefault="00672003">
      <w:pPr>
        <w:rPr>
          <w:rFonts w:ascii="Verdana" w:hAnsi="Verdana"/>
          <w:sz w:val="24"/>
          <w:szCs w:val="24"/>
          <w:lang w:val="ro-RO"/>
        </w:rPr>
      </w:pPr>
    </w:p>
    <w:p w:rsidR="00CE1729" w:rsidRPr="00661174" w:rsidRDefault="00CE1729">
      <w:pPr>
        <w:rPr>
          <w:rFonts w:ascii="Verdana" w:hAnsi="Verdana"/>
          <w:sz w:val="24"/>
          <w:szCs w:val="24"/>
          <w:lang w:val="ro-RO"/>
        </w:rPr>
      </w:pPr>
    </w:p>
    <w:p w:rsidR="007B728F" w:rsidRPr="00661174" w:rsidRDefault="007B728F">
      <w:pPr>
        <w:rPr>
          <w:rFonts w:ascii="Verdana" w:hAnsi="Verdana"/>
          <w:sz w:val="24"/>
          <w:szCs w:val="24"/>
          <w:lang w:val="ro-RO"/>
        </w:rPr>
      </w:pPr>
    </w:p>
    <w:p w:rsidR="007B728F" w:rsidRPr="00661174" w:rsidRDefault="007B728F">
      <w:pPr>
        <w:rPr>
          <w:rFonts w:ascii="Verdana" w:hAnsi="Verdana"/>
          <w:sz w:val="24"/>
          <w:szCs w:val="24"/>
          <w:lang w:val="ro-RO"/>
        </w:rPr>
      </w:pPr>
    </w:p>
    <w:p w:rsidR="008F1EE6" w:rsidRPr="00661174" w:rsidRDefault="008F1EE6" w:rsidP="00C26946">
      <w:pPr>
        <w:pStyle w:val="Heading1"/>
        <w:spacing w:line="312" w:lineRule="auto"/>
        <w:jc w:val="center"/>
        <w:rPr>
          <w:rFonts w:ascii="Verdana" w:hAnsi="Verdana"/>
          <w:sz w:val="22"/>
          <w:szCs w:val="22"/>
          <w:lang w:val="ro-RO"/>
        </w:rPr>
      </w:pPr>
      <w:r w:rsidRPr="00661174">
        <w:rPr>
          <w:rFonts w:ascii="Verdana" w:hAnsi="Verdana"/>
          <w:sz w:val="22"/>
          <w:szCs w:val="22"/>
          <w:lang w:val="ro-RO"/>
        </w:rPr>
        <w:t>AVIZ</w:t>
      </w:r>
    </w:p>
    <w:p w:rsidR="008F1EE6" w:rsidRPr="00F93D9A" w:rsidRDefault="008F1EE6" w:rsidP="00C26946">
      <w:pPr>
        <w:spacing w:line="312" w:lineRule="auto"/>
        <w:jc w:val="center"/>
        <w:rPr>
          <w:rFonts w:ascii="Verdana" w:hAnsi="Verdana"/>
          <w:b/>
          <w:sz w:val="22"/>
          <w:szCs w:val="22"/>
          <w:lang w:val="ro-RO"/>
        </w:rPr>
      </w:pPr>
      <w:r w:rsidRPr="00F93D9A">
        <w:rPr>
          <w:rFonts w:ascii="Verdana" w:hAnsi="Verdana"/>
          <w:b/>
          <w:sz w:val="22"/>
          <w:szCs w:val="22"/>
          <w:lang w:val="ro-RO"/>
        </w:rPr>
        <w:t>asupra proiectului de Lege</w:t>
      </w:r>
      <w:r w:rsidR="00F93D9A" w:rsidRPr="00F93D9A">
        <w:rPr>
          <w:rFonts w:ascii="Verdana" w:hAnsi="Verdana"/>
          <w:b/>
          <w:sz w:val="22"/>
          <w:szCs w:val="22"/>
          <w:lang w:val="ro-RO"/>
        </w:rPr>
        <w:t xml:space="preserve"> </w:t>
      </w:r>
      <w:r w:rsidR="00F93D9A" w:rsidRPr="0017118F">
        <w:rPr>
          <w:rFonts w:ascii="Verdana" w:hAnsi="Verdana"/>
          <w:b/>
          <w:sz w:val="22"/>
          <w:szCs w:val="22"/>
          <w:lang w:val="it-IT"/>
        </w:rPr>
        <w:t>pentru modificarea Ordonanţei de urgenţă a Guvernului nr.74/2013 privind unele măsuri pentru îmbunătăţirea şi reorganizarea activităţii Agenţiei Naţionale de Administrare Fiscală, precum şi pentru modificarea şi completarea unor acte normative</w:t>
      </w:r>
    </w:p>
    <w:p w:rsidR="008F1EE6" w:rsidRPr="00F93D9A" w:rsidRDefault="008F1EE6" w:rsidP="00C26946">
      <w:pPr>
        <w:spacing w:line="312" w:lineRule="auto"/>
        <w:jc w:val="center"/>
        <w:rPr>
          <w:rFonts w:ascii="Verdana" w:hAnsi="Verdana"/>
          <w:b/>
          <w:sz w:val="22"/>
          <w:szCs w:val="22"/>
          <w:lang w:val="ro-RO"/>
        </w:rPr>
      </w:pPr>
    </w:p>
    <w:p w:rsidR="008F1EE6" w:rsidRPr="00661174" w:rsidRDefault="008F1EE6" w:rsidP="00C26946">
      <w:pPr>
        <w:spacing w:line="312" w:lineRule="auto"/>
        <w:jc w:val="center"/>
        <w:rPr>
          <w:rFonts w:ascii="Verdana" w:hAnsi="Verdana"/>
          <w:sz w:val="22"/>
          <w:szCs w:val="22"/>
          <w:lang w:val="ro-RO"/>
        </w:rPr>
      </w:pPr>
    </w:p>
    <w:p w:rsidR="008F1EE6" w:rsidRPr="00661174" w:rsidRDefault="008F1EE6" w:rsidP="00C26946">
      <w:pPr>
        <w:pStyle w:val="BodyTextIndent"/>
        <w:spacing w:line="312" w:lineRule="auto"/>
        <w:rPr>
          <w:rFonts w:ascii="Verdana" w:hAnsi="Verdana"/>
          <w:sz w:val="22"/>
          <w:szCs w:val="22"/>
        </w:rPr>
      </w:pPr>
      <w:r w:rsidRPr="00F93D9A">
        <w:rPr>
          <w:rFonts w:ascii="Verdana" w:hAnsi="Verdana"/>
          <w:sz w:val="22"/>
          <w:szCs w:val="22"/>
        </w:rPr>
        <w:t>În conformitate cu prevederile art.95 şi 115 din Regulamentul Camerei</w:t>
      </w:r>
      <w:r w:rsidRPr="00661174">
        <w:rPr>
          <w:rFonts w:ascii="Verdana" w:hAnsi="Verdana"/>
          <w:sz w:val="22"/>
          <w:szCs w:val="22"/>
        </w:rPr>
        <w:t xml:space="preserve"> Deputaţilor, </w:t>
      </w:r>
      <w:r w:rsidR="00580C4B">
        <w:rPr>
          <w:rFonts w:ascii="Verdana" w:hAnsi="Verdana"/>
          <w:sz w:val="22"/>
          <w:szCs w:val="22"/>
        </w:rPr>
        <w:t xml:space="preserve">republicat, cu modificările şi completările ulterioare, </w:t>
      </w:r>
      <w:r w:rsidRPr="00661174">
        <w:rPr>
          <w:rFonts w:ascii="Verdana" w:hAnsi="Verdana"/>
          <w:sz w:val="22"/>
          <w:szCs w:val="22"/>
        </w:rPr>
        <w:t>Comisia pentru muncă şi protecţie socială a fost sesizată</w:t>
      </w:r>
      <w:r w:rsidR="00AE2FD8" w:rsidRPr="00661174">
        <w:rPr>
          <w:rFonts w:ascii="Verdana" w:hAnsi="Verdana"/>
          <w:sz w:val="22"/>
          <w:szCs w:val="22"/>
        </w:rPr>
        <w:t xml:space="preserve"> cu </w:t>
      </w:r>
      <w:r w:rsidRPr="00661174">
        <w:rPr>
          <w:rFonts w:ascii="Verdana" w:hAnsi="Verdana"/>
          <w:sz w:val="22"/>
          <w:szCs w:val="22"/>
        </w:rPr>
        <w:t>dezbatere</w:t>
      </w:r>
      <w:r w:rsidR="00AE2FD8" w:rsidRPr="00661174">
        <w:rPr>
          <w:rFonts w:ascii="Verdana" w:hAnsi="Verdana"/>
          <w:sz w:val="22"/>
          <w:szCs w:val="22"/>
        </w:rPr>
        <w:t>a</w:t>
      </w:r>
      <w:r w:rsidRPr="00661174">
        <w:rPr>
          <w:rFonts w:ascii="Verdana" w:hAnsi="Verdana"/>
          <w:sz w:val="22"/>
          <w:szCs w:val="22"/>
        </w:rPr>
        <w:t xml:space="preserve"> şi avizare</w:t>
      </w:r>
      <w:r w:rsidR="00AE2FD8" w:rsidRPr="00661174">
        <w:rPr>
          <w:rFonts w:ascii="Verdana" w:hAnsi="Verdana"/>
          <w:sz w:val="22"/>
          <w:szCs w:val="22"/>
        </w:rPr>
        <w:t>a</w:t>
      </w:r>
      <w:r w:rsidRPr="00661174">
        <w:rPr>
          <w:rFonts w:ascii="Verdana" w:hAnsi="Verdana"/>
          <w:sz w:val="22"/>
          <w:szCs w:val="22"/>
        </w:rPr>
        <w:t xml:space="preserve"> </w:t>
      </w:r>
      <w:r w:rsidRPr="00F93D9A">
        <w:rPr>
          <w:rFonts w:ascii="Verdana" w:hAnsi="Verdana"/>
          <w:i/>
          <w:sz w:val="22"/>
          <w:szCs w:val="22"/>
        </w:rPr>
        <w:t>proiectul</w:t>
      </w:r>
      <w:r w:rsidR="00AE2FD8" w:rsidRPr="00F93D9A">
        <w:rPr>
          <w:rFonts w:ascii="Verdana" w:hAnsi="Verdana"/>
          <w:i/>
          <w:sz w:val="22"/>
          <w:szCs w:val="22"/>
        </w:rPr>
        <w:t>ui</w:t>
      </w:r>
      <w:r w:rsidRPr="00F93D9A">
        <w:rPr>
          <w:rFonts w:ascii="Verdana" w:hAnsi="Verdana"/>
          <w:i/>
          <w:sz w:val="22"/>
          <w:szCs w:val="22"/>
        </w:rPr>
        <w:t xml:space="preserve"> de Lege</w:t>
      </w:r>
      <w:r w:rsidR="00F93D9A" w:rsidRPr="00F93D9A">
        <w:rPr>
          <w:rFonts w:ascii="Verdana" w:hAnsi="Verdana"/>
          <w:i/>
          <w:sz w:val="22"/>
          <w:szCs w:val="22"/>
        </w:rPr>
        <w:t xml:space="preserve"> pentru modificarea Ordonanţei de urgenţă a Guvernului nr.74/2013 privind unele măsuri pentru îmbunătăţirea şi reorganizarea activităţii Agenţiei Naţionale de Administrare Fiscală, precum şi pentru modificarea şi completarea unor acte normative</w:t>
      </w:r>
      <w:r w:rsidR="0036652D" w:rsidRPr="00661174">
        <w:rPr>
          <w:rFonts w:ascii="Verdana" w:hAnsi="Verdana"/>
          <w:sz w:val="22"/>
          <w:szCs w:val="22"/>
        </w:rPr>
        <w:t>, trimis</w:t>
      </w:r>
      <w:r w:rsidR="00F93D9A">
        <w:rPr>
          <w:rFonts w:ascii="Verdana" w:hAnsi="Verdana"/>
          <w:sz w:val="22"/>
          <w:szCs w:val="22"/>
        </w:rPr>
        <w:t xml:space="preserve"> </w:t>
      </w:r>
      <w:r w:rsidR="00A42732" w:rsidRPr="00661174">
        <w:rPr>
          <w:rFonts w:ascii="Verdana" w:hAnsi="Verdana"/>
          <w:sz w:val="22"/>
          <w:szCs w:val="22"/>
        </w:rPr>
        <w:t>cu</w:t>
      </w:r>
      <w:r w:rsidR="00AE2FD8" w:rsidRPr="00661174">
        <w:rPr>
          <w:rFonts w:ascii="Verdana" w:hAnsi="Verdana"/>
          <w:sz w:val="22"/>
          <w:szCs w:val="22"/>
        </w:rPr>
        <w:t xml:space="preserve"> adresa nr. </w:t>
      </w:r>
      <w:r w:rsidR="00F93D9A" w:rsidRPr="00F93D9A">
        <w:rPr>
          <w:rFonts w:ascii="Verdana" w:hAnsi="Verdana"/>
          <w:b/>
          <w:sz w:val="22"/>
          <w:szCs w:val="22"/>
        </w:rPr>
        <w:t>PLx 710/2018</w:t>
      </w:r>
      <w:r w:rsidR="00AE2FD8" w:rsidRPr="00661174">
        <w:rPr>
          <w:rFonts w:ascii="Verdana" w:hAnsi="Verdana"/>
          <w:sz w:val="22"/>
          <w:szCs w:val="22"/>
        </w:rPr>
        <w:t xml:space="preserve"> din </w:t>
      </w:r>
      <w:r w:rsidR="00F93D9A">
        <w:rPr>
          <w:rFonts w:ascii="Verdana" w:hAnsi="Verdana"/>
          <w:sz w:val="22"/>
          <w:szCs w:val="22"/>
        </w:rPr>
        <w:t>19 noiembrie 2018.</w:t>
      </w:r>
    </w:p>
    <w:p w:rsidR="008F1EE6" w:rsidRPr="00661174" w:rsidRDefault="008F1EE6" w:rsidP="00C26946">
      <w:pPr>
        <w:spacing w:line="312" w:lineRule="auto"/>
        <w:ind w:firstLine="720"/>
        <w:jc w:val="both"/>
        <w:rPr>
          <w:rFonts w:ascii="Verdana" w:hAnsi="Verdana"/>
          <w:sz w:val="22"/>
          <w:szCs w:val="22"/>
          <w:lang w:val="ro-RO"/>
        </w:rPr>
      </w:pPr>
      <w:r w:rsidRPr="00661174">
        <w:rPr>
          <w:rFonts w:ascii="Verdana" w:hAnsi="Verdana"/>
          <w:sz w:val="22"/>
          <w:szCs w:val="22"/>
          <w:lang w:val="ro-RO"/>
        </w:rPr>
        <w:t xml:space="preserve">Potrivit prevederilor art.61 din Regulamentul Camerei Deputaţilor, republicat, membrii Comisiei pentru muncă şi protecţie socială au examinat proiectul de lege mai sus menţionat în şedinţa din </w:t>
      </w:r>
      <w:r w:rsidR="00F93D9A">
        <w:rPr>
          <w:rFonts w:ascii="Verdana" w:hAnsi="Verdana"/>
          <w:sz w:val="22"/>
          <w:szCs w:val="22"/>
          <w:lang w:val="ro-RO"/>
        </w:rPr>
        <w:t>27 noiembrie 2018.</w:t>
      </w:r>
    </w:p>
    <w:p w:rsidR="008F1EE6" w:rsidRPr="00661174" w:rsidRDefault="008F1EE6" w:rsidP="00F93D9A">
      <w:pPr>
        <w:spacing w:line="312" w:lineRule="auto"/>
        <w:ind w:firstLine="720"/>
        <w:jc w:val="both"/>
        <w:rPr>
          <w:rFonts w:ascii="Verdana" w:hAnsi="Verdana"/>
          <w:sz w:val="22"/>
          <w:szCs w:val="22"/>
          <w:lang w:val="ro-RO"/>
        </w:rPr>
      </w:pPr>
      <w:r w:rsidRPr="00661174">
        <w:rPr>
          <w:rFonts w:ascii="Verdana" w:hAnsi="Verdana"/>
          <w:sz w:val="22"/>
          <w:szCs w:val="22"/>
          <w:lang w:val="ro-RO"/>
        </w:rPr>
        <w:t xml:space="preserve">În urma finalizării dezbaterilor, membrii comisiei au hotărât, cu </w:t>
      </w:r>
      <w:r w:rsidR="00F93D9A">
        <w:rPr>
          <w:rFonts w:ascii="Verdana" w:hAnsi="Verdana"/>
          <w:sz w:val="22"/>
          <w:szCs w:val="22"/>
          <w:lang w:val="ro-RO"/>
        </w:rPr>
        <w:t>unanimitate de</w:t>
      </w:r>
      <w:r w:rsidRPr="00661174">
        <w:rPr>
          <w:rFonts w:ascii="Verdana" w:hAnsi="Verdana"/>
          <w:sz w:val="22"/>
          <w:szCs w:val="22"/>
          <w:lang w:val="ro-RO"/>
        </w:rPr>
        <w:t xml:space="preserve"> voturi</w:t>
      </w:r>
      <w:r w:rsidR="0017118F">
        <w:rPr>
          <w:rFonts w:ascii="Verdana" w:hAnsi="Verdana"/>
          <w:sz w:val="22"/>
          <w:szCs w:val="22"/>
          <w:lang w:val="ro-RO"/>
        </w:rPr>
        <w:t>,</w:t>
      </w:r>
      <w:r w:rsidR="00F93D9A">
        <w:rPr>
          <w:rFonts w:ascii="Verdana" w:hAnsi="Verdana"/>
          <w:sz w:val="22"/>
          <w:szCs w:val="22"/>
          <w:lang w:val="ro-RO"/>
        </w:rPr>
        <w:t xml:space="preserve"> </w:t>
      </w:r>
      <w:r w:rsidR="001E3E2F" w:rsidRPr="00661174">
        <w:rPr>
          <w:rFonts w:ascii="Verdana" w:hAnsi="Verdana"/>
          <w:i/>
          <w:sz w:val="22"/>
          <w:szCs w:val="22"/>
          <w:lang w:val="ro-RO"/>
        </w:rPr>
        <w:t xml:space="preserve">avizarea favorabilă </w:t>
      </w:r>
      <w:r w:rsidR="001E3E2F" w:rsidRPr="00661174">
        <w:rPr>
          <w:rFonts w:ascii="Verdana" w:hAnsi="Verdana"/>
          <w:sz w:val="22"/>
          <w:szCs w:val="22"/>
          <w:lang w:val="ro-RO"/>
        </w:rPr>
        <w:t xml:space="preserve">a proiectului de lege </w:t>
      </w:r>
      <w:r w:rsidR="00F93D9A">
        <w:rPr>
          <w:rFonts w:ascii="Verdana" w:hAnsi="Verdana"/>
          <w:sz w:val="22"/>
          <w:szCs w:val="22"/>
          <w:lang w:val="ro-RO"/>
        </w:rPr>
        <w:t>cu amendamente</w:t>
      </w:r>
      <w:r w:rsidR="0017118F">
        <w:rPr>
          <w:rFonts w:ascii="Verdana" w:hAnsi="Verdana"/>
          <w:sz w:val="22"/>
          <w:szCs w:val="22"/>
          <w:lang w:val="ro-RO"/>
        </w:rPr>
        <w:t>,</w:t>
      </w:r>
      <w:r w:rsidR="00F93D9A">
        <w:rPr>
          <w:rFonts w:ascii="Verdana" w:hAnsi="Verdana"/>
          <w:sz w:val="22"/>
          <w:szCs w:val="22"/>
          <w:lang w:val="ro-RO"/>
        </w:rPr>
        <w:t xml:space="preserve"> redate în anexa care face parte integrantă din prezentul aviz.</w:t>
      </w:r>
    </w:p>
    <w:p w:rsidR="00F3374A" w:rsidRPr="00661174" w:rsidRDefault="00F3374A" w:rsidP="00F3374A">
      <w:pPr>
        <w:ind w:firstLine="720"/>
        <w:jc w:val="both"/>
        <w:rPr>
          <w:rFonts w:ascii="Verdana" w:hAnsi="Verdana"/>
          <w:sz w:val="22"/>
          <w:szCs w:val="22"/>
          <w:lang w:val="ro-RO"/>
        </w:rPr>
      </w:pPr>
    </w:p>
    <w:p w:rsidR="00F3374A" w:rsidRPr="00661174" w:rsidRDefault="00F3374A" w:rsidP="00F3374A">
      <w:pPr>
        <w:ind w:firstLine="720"/>
        <w:jc w:val="both"/>
        <w:rPr>
          <w:rFonts w:ascii="Verdana" w:hAnsi="Verdana"/>
          <w:sz w:val="22"/>
          <w:szCs w:val="22"/>
          <w:lang w:val="ro-RO"/>
        </w:rPr>
      </w:pPr>
    </w:p>
    <w:p w:rsidR="00F3374A" w:rsidRPr="00661174" w:rsidRDefault="0001134B" w:rsidP="00F3374A">
      <w:pPr>
        <w:ind w:firstLine="720"/>
        <w:jc w:val="both"/>
        <w:rPr>
          <w:rFonts w:ascii="Verdana" w:hAnsi="Verdana"/>
          <w:sz w:val="22"/>
          <w:szCs w:val="22"/>
          <w:lang w:val="ro-RO"/>
        </w:rPr>
      </w:pPr>
      <w:r w:rsidRPr="00661174">
        <w:rPr>
          <w:rFonts w:ascii="Verdana" w:hAnsi="Verdana"/>
          <w:sz w:val="22"/>
          <w:szCs w:val="22"/>
          <w:lang w:val="ro-RO"/>
        </w:rPr>
        <w:tab/>
      </w:r>
      <w:r w:rsidR="00F3374A" w:rsidRPr="00661174">
        <w:rPr>
          <w:rFonts w:ascii="Verdana" w:hAnsi="Verdana"/>
          <w:sz w:val="22"/>
          <w:szCs w:val="22"/>
          <w:lang w:val="ro-RO"/>
        </w:rPr>
        <w:t>PREŞEDINTE,</w:t>
      </w:r>
      <w:r w:rsidR="00F3374A" w:rsidRPr="00661174">
        <w:rPr>
          <w:rFonts w:ascii="Verdana" w:hAnsi="Verdana"/>
          <w:sz w:val="22"/>
          <w:szCs w:val="22"/>
          <w:lang w:val="ro-RO"/>
        </w:rPr>
        <w:tab/>
      </w:r>
      <w:r w:rsidR="001E3E2F" w:rsidRPr="00661174">
        <w:rPr>
          <w:rFonts w:ascii="Verdana" w:hAnsi="Verdana"/>
          <w:sz w:val="22"/>
          <w:szCs w:val="22"/>
          <w:lang w:val="ro-RO"/>
        </w:rPr>
        <w:tab/>
      </w:r>
      <w:r w:rsidR="00F3374A" w:rsidRPr="00661174">
        <w:rPr>
          <w:rFonts w:ascii="Verdana" w:hAnsi="Verdana"/>
          <w:sz w:val="22"/>
          <w:szCs w:val="22"/>
          <w:lang w:val="ro-RO"/>
        </w:rPr>
        <w:tab/>
      </w:r>
      <w:r w:rsidR="00F3374A" w:rsidRPr="00661174">
        <w:rPr>
          <w:rFonts w:ascii="Verdana" w:hAnsi="Verdana"/>
          <w:sz w:val="22"/>
          <w:szCs w:val="22"/>
          <w:lang w:val="ro-RO"/>
        </w:rPr>
        <w:tab/>
        <w:t>SECRETAR,</w:t>
      </w:r>
    </w:p>
    <w:p w:rsidR="00074F7C" w:rsidRDefault="0001134B" w:rsidP="00661174">
      <w:pPr>
        <w:ind w:firstLine="720"/>
        <w:jc w:val="both"/>
        <w:rPr>
          <w:rFonts w:ascii="Verdana" w:hAnsi="Verdana"/>
          <w:b/>
          <w:sz w:val="22"/>
          <w:szCs w:val="22"/>
          <w:lang w:val="ro-RO"/>
        </w:rPr>
      </w:pPr>
      <w:r w:rsidRPr="00661174">
        <w:rPr>
          <w:rFonts w:ascii="Verdana" w:hAnsi="Verdana"/>
          <w:b/>
          <w:sz w:val="22"/>
          <w:szCs w:val="22"/>
          <w:lang w:val="ro-RO"/>
        </w:rPr>
        <w:tab/>
      </w:r>
      <w:r w:rsidR="001E3E2F" w:rsidRPr="00661174">
        <w:rPr>
          <w:rFonts w:ascii="Verdana" w:hAnsi="Verdana"/>
          <w:b/>
          <w:sz w:val="22"/>
          <w:szCs w:val="22"/>
          <w:lang w:val="ro-RO"/>
        </w:rPr>
        <w:t>Adrian Solomon</w:t>
      </w:r>
      <w:r w:rsidR="00F3374A" w:rsidRPr="00661174">
        <w:rPr>
          <w:rFonts w:ascii="Verdana" w:hAnsi="Verdana"/>
          <w:b/>
          <w:sz w:val="22"/>
          <w:szCs w:val="22"/>
          <w:lang w:val="ro-RO"/>
        </w:rPr>
        <w:tab/>
      </w:r>
      <w:r w:rsidR="00F3374A" w:rsidRPr="00661174">
        <w:rPr>
          <w:rFonts w:ascii="Verdana" w:hAnsi="Verdana"/>
          <w:b/>
          <w:sz w:val="22"/>
          <w:szCs w:val="22"/>
          <w:lang w:val="ro-RO"/>
        </w:rPr>
        <w:tab/>
      </w:r>
      <w:r w:rsidR="00F3374A" w:rsidRPr="00661174">
        <w:rPr>
          <w:rFonts w:ascii="Verdana" w:hAnsi="Verdana"/>
          <w:b/>
          <w:sz w:val="22"/>
          <w:szCs w:val="22"/>
          <w:lang w:val="ro-RO"/>
        </w:rPr>
        <w:tab/>
      </w:r>
      <w:r w:rsidR="00F3374A" w:rsidRPr="00661174">
        <w:rPr>
          <w:rFonts w:ascii="Verdana" w:hAnsi="Verdana"/>
          <w:b/>
          <w:sz w:val="22"/>
          <w:szCs w:val="22"/>
          <w:lang w:val="ro-RO"/>
        </w:rPr>
        <w:tab/>
      </w:r>
      <w:r w:rsidR="00074F7C">
        <w:rPr>
          <w:rFonts w:ascii="Verdana" w:hAnsi="Verdana"/>
          <w:b/>
          <w:sz w:val="22"/>
          <w:szCs w:val="22"/>
          <w:lang w:val="ro-RO"/>
        </w:rPr>
        <w:t>Violeta Răduţ</w:t>
      </w:r>
    </w:p>
    <w:p w:rsidR="00F3374A" w:rsidRPr="00661174" w:rsidRDefault="00F3374A" w:rsidP="00F3374A">
      <w:pPr>
        <w:jc w:val="both"/>
        <w:rPr>
          <w:rFonts w:ascii="Verdana" w:hAnsi="Verdana"/>
          <w:b/>
          <w:sz w:val="24"/>
          <w:szCs w:val="24"/>
          <w:lang w:val="ro-RO"/>
        </w:rPr>
      </w:pPr>
    </w:p>
    <w:p w:rsidR="00F3374A" w:rsidRPr="00661174" w:rsidRDefault="00F3374A" w:rsidP="00F3374A">
      <w:pPr>
        <w:jc w:val="both"/>
        <w:rPr>
          <w:rFonts w:ascii="Verdana" w:hAnsi="Verdana"/>
          <w:b/>
          <w:sz w:val="24"/>
          <w:szCs w:val="24"/>
          <w:lang w:val="ro-RO"/>
        </w:rPr>
      </w:pPr>
    </w:p>
    <w:p w:rsidR="00F3374A" w:rsidRPr="00661174" w:rsidRDefault="00F3374A" w:rsidP="00F3374A">
      <w:pPr>
        <w:jc w:val="both"/>
        <w:rPr>
          <w:rFonts w:ascii="Verdana" w:hAnsi="Verdana"/>
          <w:szCs w:val="28"/>
          <w:lang w:val="ro-RO"/>
        </w:rPr>
      </w:pPr>
    </w:p>
    <w:p w:rsidR="00F3374A" w:rsidRPr="00661174" w:rsidRDefault="00F3374A" w:rsidP="00F3374A">
      <w:pPr>
        <w:jc w:val="both"/>
        <w:rPr>
          <w:rFonts w:ascii="Verdana" w:hAnsi="Verdana"/>
          <w:szCs w:val="28"/>
          <w:lang w:val="ro-RO"/>
        </w:rPr>
      </w:pPr>
    </w:p>
    <w:p w:rsidR="000F16C2" w:rsidRDefault="000F16C2" w:rsidP="00F3374A">
      <w:pPr>
        <w:jc w:val="both"/>
        <w:rPr>
          <w:rFonts w:ascii="Verdana" w:hAnsi="Verdana"/>
          <w:szCs w:val="28"/>
          <w:lang w:val="ro-RO"/>
        </w:rPr>
      </w:pPr>
    </w:p>
    <w:p w:rsidR="00FD6FAB" w:rsidRPr="00661174" w:rsidRDefault="00FD6FAB" w:rsidP="00F3374A">
      <w:pPr>
        <w:jc w:val="both"/>
        <w:rPr>
          <w:rFonts w:ascii="Verdana" w:hAnsi="Verdana"/>
          <w:szCs w:val="28"/>
          <w:lang w:val="ro-RO"/>
        </w:rPr>
      </w:pPr>
    </w:p>
    <w:p w:rsidR="00F3374A" w:rsidRPr="00661174" w:rsidRDefault="00F3374A" w:rsidP="00F3374A">
      <w:pPr>
        <w:jc w:val="both"/>
        <w:rPr>
          <w:rFonts w:ascii="Verdana" w:hAnsi="Verdana"/>
          <w:sz w:val="16"/>
          <w:szCs w:val="16"/>
          <w:lang w:val="ro-RO"/>
        </w:rPr>
      </w:pPr>
      <w:r w:rsidRPr="00661174">
        <w:rPr>
          <w:rFonts w:ascii="Verdana" w:hAnsi="Verdana"/>
          <w:sz w:val="16"/>
          <w:szCs w:val="16"/>
          <w:lang w:val="ro-RO"/>
        </w:rPr>
        <w:t>Întocmit,</w:t>
      </w:r>
    </w:p>
    <w:p w:rsidR="00F3374A" w:rsidRDefault="00F3374A" w:rsidP="00F3374A">
      <w:pPr>
        <w:jc w:val="both"/>
        <w:rPr>
          <w:rFonts w:ascii="Verdana" w:hAnsi="Verdana"/>
          <w:sz w:val="16"/>
          <w:szCs w:val="16"/>
          <w:lang w:val="ro-RO"/>
        </w:rPr>
      </w:pPr>
      <w:r w:rsidRPr="00661174">
        <w:rPr>
          <w:rFonts w:ascii="Verdana" w:hAnsi="Verdana"/>
          <w:sz w:val="16"/>
          <w:szCs w:val="16"/>
          <w:lang w:val="ro-RO"/>
        </w:rPr>
        <w:t>Consilier parlamentar Sorina Szabo</w:t>
      </w:r>
    </w:p>
    <w:p w:rsidR="00F93D9A" w:rsidRDefault="00F93D9A" w:rsidP="00F3374A">
      <w:pPr>
        <w:jc w:val="both"/>
        <w:rPr>
          <w:rFonts w:ascii="Verdana" w:hAnsi="Verdana"/>
          <w:sz w:val="16"/>
          <w:szCs w:val="16"/>
          <w:lang w:val="ro-RO"/>
        </w:rPr>
      </w:pPr>
    </w:p>
    <w:p w:rsidR="00F93D9A" w:rsidRDefault="00F93D9A" w:rsidP="00F3374A">
      <w:pPr>
        <w:jc w:val="both"/>
        <w:rPr>
          <w:rFonts w:ascii="Verdana" w:hAnsi="Verdana"/>
          <w:sz w:val="16"/>
          <w:szCs w:val="16"/>
          <w:lang w:val="ro-RO"/>
        </w:rPr>
      </w:pPr>
    </w:p>
    <w:p w:rsidR="00F93D9A" w:rsidRDefault="00F93D9A" w:rsidP="00F3374A">
      <w:pPr>
        <w:jc w:val="both"/>
        <w:rPr>
          <w:rFonts w:ascii="Verdana" w:hAnsi="Verdana"/>
          <w:sz w:val="16"/>
          <w:szCs w:val="16"/>
          <w:lang w:val="ro-RO"/>
        </w:rPr>
      </w:pPr>
    </w:p>
    <w:p w:rsidR="00723AF0" w:rsidRPr="00723AF0" w:rsidRDefault="00723AF0" w:rsidP="00723AF0">
      <w:pPr>
        <w:jc w:val="center"/>
        <w:rPr>
          <w:rFonts w:ascii="Verdana" w:hAnsi="Verdana"/>
          <w:b/>
          <w:sz w:val="22"/>
          <w:szCs w:val="22"/>
          <w:lang w:val="ro-RO"/>
        </w:rPr>
      </w:pPr>
      <w:r w:rsidRPr="00723AF0">
        <w:rPr>
          <w:rFonts w:ascii="Verdana" w:hAnsi="Verdana"/>
          <w:b/>
          <w:sz w:val="22"/>
          <w:szCs w:val="22"/>
          <w:lang w:val="ro-RO"/>
        </w:rPr>
        <w:t>Anexă</w:t>
      </w:r>
    </w:p>
    <w:p w:rsidR="00723AF0" w:rsidRPr="00723AF0" w:rsidRDefault="00723AF0" w:rsidP="00723AF0">
      <w:pPr>
        <w:jc w:val="center"/>
        <w:rPr>
          <w:rFonts w:ascii="Verdana" w:hAnsi="Verdana"/>
          <w:b/>
          <w:sz w:val="22"/>
          <w:szCs w:val="22"/>
          <w:lang w:val="ro-RO"/>
        </w:rPr>
      </w:pPr>
    </w:p>
    <w:p w:rsidR="00723AF0" w:rsidRPr="00723AF0" w:rsidRDefault="00723AF0" w:rsidP="00723AF0">
      <w:pPr>
        <w:jc w:val="center"/>
        <w:rPr>
          <w:rFonts w:ascii="Verdana" w:hAnsi="Verdana"/>
          <w:b/>
          <w:sz w:val="22"/>
          <w:szCs w:val="22"/>
          <w:lang w:val="ro-RO"/>
        </w:rPr>
      </w:pPr>
      <w:r w:rsidRPr="00723AF0">
        <w:rPr>
          <w:rFonts w:ascii="Verdana" w:hAnsi="Verdana"/>
          <w:b/>
          <w:sz w:val="22"/>
          <w:szCs w:val="22"/>
          <w:lang w:val="ro-RO"/>
        </w:rPr>
        <w:t>Amendamente admise</w:t>
      </w:r>
    </w:p>
    <w:p w:rsidR="00723AF0" w:rsidRPr="00723AF0" w:rsidRDefault="00723AF0" w:rsidP="00723AF0">
      <w:pPr>
        <w:jc w:val="center"/>
        <w:rPr>
          <w:rFonts w:ascii="Verdana" w:hAnsi="Verdana"/>
          <w:sz w:val="22"/>
          <w:szCs w:val="22"/>
          <w:lang w:val="ro-RO"/>
        </w:rPr>
      </w:pPr>
    </w:p>
    <w:p w:rsidR="00723AF0" w:rsidRPr="00723AF0" w:rsidRDefault="00723AF0" w:rsidP="00723AF0">
      <w:pPr>
        <w:jc w:val="center"/>
        <w:rPr>
          <w:rFonts w:ascii="Verdana" w:hAnsi="Verdana"/>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5"/>
        <w:gridCol w:w="3142"/>
        <w:gridCol w:w="3187"/>
        <w:gridCol w:w="2324"/>
      </w:tblGrid>
      <w:tr w:rsidR="00723AF0" w:rsidRPr="0017118F" w:rsidTr="00224B19">
        <w:trPr>
          <w:tblHeader/>
        </w:trPr>
        <w:tc>
          <w:tcPr>
            <w:tcW w:w="630" w:type="dxa"/>
            <w:shd w:val="clear" w:color="auto" w:fill="auto"/>
            <w:vAlign w:val="center"/>
          </w:tcPr>
          <w:p w:rsidR="00723AF0" w:rsidRPr="0017118F" w:rsidRDefault="00723AF0" w:rsidP="00224B19">
            <w:pPr>
              <w:jc w:val="center"/>
              <w:rPr>
                <w:rFonts w:ascii="Verdana" w:hAnsi="Verdana"/>
                <w:b/>
                <w:sz w:val="22"/>
                <w:szCs w:val="22"/>
                <w:lang w:val="ro-RO"/>
              </w:rPr>
            </w:pPr>
            <w:r w:rsidRPr="0017118F">
              <w:rPr>
                <w:rFonts w:ascii="Verdana" w:hAnsi="Verdana"/>
                <w:b/>
                <w:sz w:val="22"/>
                <w:szCs w:val="22"/>
                <w:lang w:val="ro-RO"/>
              </w:rPr>
              <w:t>Nr. crt.</w:t>
            </w:r>
          </w:p>
        </w:tc>
        <w:tc>
          <w:tcPr>
            <w:tcW w:w="5047" w:type="dxa"/>
            <w:shd w:val="clear" w:color="auto" w:fill="auto"/>
            <w:vAlign w:val="center"/>
          </w:tcPr>
          <w:p w:rsidR="00723AF0" w:rsidRPr="0017118F" w:rsidRDefault="00723AF0" w:rsidP="00224B19">
            <w:pPr>
              <w:jc w:val="center"/>
              <w:rPr>
                <w:rFonts w:ascii="Verdana" w:hAnsi="Verdana"/>
                <w:b/>
                <w:sz w:val="22"/>
                <w:szCs w:val="22"/>
                <w:lang w:val="ro-RO"/>
              </w:rPr>
            </w:pPr>
            <w:r w:rsidRPr="0017118F">
              <w:rPr>
                <w:rFonts w:ascii="Verdana" w:hAnsi="Verdana"/>
                <w:b/>
                <w:sz w:val="22"/>
                <w:szCs w:val="22"/>
                <w:lang w:val="ro-RO"/>
              </w:rPr>
              <w:t>Text propunere legislativă</w:t>
            </w:r>
          </w:p>
        </w:tc>
        <w:tc>
          <w:tcPr>
            <w:tcW w:w="5048" w:type="dxa"/>
            <w:shd w:val="clear" w:color="auto" w:fill="auto"/>
            <w:vAlign w:val="center"/>
          </w:tcPr>
          <w:p w:rsidR="00723AF0" w:rsidRPr="0017118F" w:rsidRDefault="00723AF0" w:rsidP="00224B19">
            <w:pPr>
              <w:jc w:val="center"/>
              <w:rPr>
                <w:rFonts w:ascii="Verdana" w:hAnsi="Verdana"/>
                <w:b/>
                <w:sz w:val="22"/>
                <w:szCs w:val="22"/>
                <w:lang w:val="ro-RO"/>
              </w:rPr>
            </w:pPr>
            <w:r w:rsidRPr="0017118F">
              <w:rPr>
                <w:rFonts w:ascii="Verdana" w:hAnsi="Verdana"/>
                <w:b/>
                <w:sz w:val="22"/>
                <w:szCs w:val="22"/>
                <w:lang w:val="ro-RO"/>
              </w:rPr>
              <w:t>Text adoptat de comisie</w:t>
            </w:r>
          </w:p>
          <w:p w:rsidR="00723AF0" w:rsidRPr="0017118F" w:rsidRDefault="00723AF0" w:rsidP="00224B19">
            <w:pPr>
              <w:jc w:val="center"/>
              <w:rPr>
                <w:rFonts w:ascii="Verdana" w:hAnsi="Verdana"/>
                <w:b/>
                <w:sz w:val="22"/>
                <w:szCs w:val="22"/>
                <w:lang w:val="ro-RO"/>
              </w:rPr>
            </w:pPr>
            <w:r w:rsidRPr="0017118F">
              <w:rPr>
                <w:rFonts w:ascii="Verdana" w:hAnsi="Verdana"/>
                <w:b/>
                <w:sz w:val="22"/>
                <w:szCs w:val="22"/>
                <w:lang w:val="ro-RO"/>
              </w:rPr>
              <w:t>(autor amendament)</w:t>
            </w:r>
          </w:p>
        </w:tc>
        <w:tc>
          <w:tcPr>
            <w:tcW w:w="2996" w:type="dxa"/>
            <w:shd w:val="clear" w:color="auto" w:fill="auto"/>
            <w:vAlign w:val="center"/>
          </w:tcPr>
          <w:p w:rsidR="00723AF0" w:rsidRPr="0017118F" w:rsidRDefault="00723AF0" w:rsidP="00224B19">
            <w:pPr>
              <w:jc w:val="center"/>
              <w:rPr>
                <w:rFonts w:ascii="Verdana" w:hAnsi="Verdana"/>
                <w:b/>
                <w:sz w:val="22"/>
                <w:szCs w:val="22"/>
                <w:lang w:val="ro-RO"/>
              </w:rPr>
            </w:pPr>
            <w:r w:rsidRPr="0017118F">
              <w:rPr>
                <w:rFonts w:ascii="Verdana" w:hAnsi="Verdana"/>
                <w:b/>
                <w:sz w:val="22"/>
                <w:szCs w:val="22"/>
                <w:lang w:val="ro-RO"/>
              </w:rPr>
              <w:t>Motivare</w:t>
            </w:r>
          </w:p>
        </w:tc>
      </w:tr>
      <w:tr w:rsidR="00723AF0" w:rsidRPr="0017118F" w:rsidTr="00224B19">
        <w:tc>
          <w:tcPr>
            <w:tcW w:w="630" w:type="dxa"/>
            <w:shd w:val="clear" w:color="auto" w:fill="auto"/>
          </w:tcPr>
          <w:p w:rsidR="00723AF0" w:rsidRPr="0017118F" w:rsidRDefault="00723AF0" w:rsidP="00723AF0">
            <w:pPr>
              <w:numPr>
                <w:ilvl w:val="0"/>
                <w:numId w:val="12"/>
              </w:numPr>
              <w:ind w:left="0" w:firstLine="0"/>
              <w:jc w:val="both"/>
              <w:rPr>
                <w:rFonts w:ascii="Verdana" w:hAnsi="Verdana"/>
                <w:b/>
                <w:sz w:val="22"/>
                <w:szCs w:val="22"/>
                <w:lang w:val="ro-RO"/>
              </w:rPr>
            </w:pPr>
          </w:p>
        </w:tc>
        <w:tc>
          <w:tcPr>
            <w:tcW w:w="5047"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Art.I, pct.1</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Art.10 alin.(3) – (5)</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(3) Atribuțiile direcțiilor generale regionale ale finanțelor publice se preiau de către direcțiile finanțelor publice județene, respectiv a municipiului București, potrivit ariei teritoriale de competență.</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(4) Direcțiile finanțelor publice județene, respectiv a municipiului București preiau ca structuri fără personalitate juridică administrațiile pentru contribuabilii mijlocii, </w:t>
            </w:r>
            <w:r w:rsidRPr="0017118F">
              <w:rPr>
                <w:rFonts w:ascii="Verdana" w:hAnsi="Verdana"/>
                <w:b/>
                <w:sz w:val="22"/>
                <w:szCs w:val="22"/>
                <w:lang w:val="ro-RO"/>
              </w:rPr>
              <w:t>precum și birourile vamale de interior și de frontieră</w:t>
            </w:r>
            <w:r w:rsidRPr="0017118F">
              <w:rPr>
                <w:rFonts w:ascii="Verdana" w:hAnsi="Verdana"/>
                <w:sz w:val="22"/>
                <w:szCs w:val="22"/>
                <w:lang w:val="ro-RO"/>
              </w:rPr>
              <w:t xml:space="preserve">, potrivit ariei teritoriale de competență. </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(5) Personalul direcțiilor generale regionale ale finanțelor publice se preia și se reîncadrează la direcțiile finanțelor publice județene, respectiv a municipiului București, în limita numărului de posturi aprobat, în condițiile legii.</w:t>
            </w:r>
          </w:p>
          <w:p w:rsidR="00723AF0" w:rsidRPr="0017118F" w:rsidRDefault="00723AF0" w:rsidP="00224B19">
            <w:pPr>
              <w:jc w:val="both"/>
              <w:rPr>
                <w:rFonts w:ascii="Verdana" w:hAnsi="Verdana"/>
                <w:sz w:val="22"/>
                <w:szCs w:val="22"/>
                <w:lang w:val="ro-RO"/>
              </w:rPr>
            </w:pPr>
          </w:p>
        </w:tc>
        <w:tc>
          <w:tcPr>
            <w:tcW w:w="5048"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(3) Atribuțiile direcțiilor generale regionale ale finanțelor publice, </w:t>
            </w:r>
            <w:r w:rsidRPr="0017118F">
              <w:rPr>
                <w:rFonts w:ascii="Verdana" w:hAnsi="Verdana"/>
                <w:b/>
                <w:sz w:val="22"/>
                <w:szCs w:val="22"/>
                <w:lang w:val="ro-RO"/>
              </w:rPr>
              <w:t>cu excepția celor ale direcțiilor regionale vamale, precum și ale birourilor vamale de interior și de frontieră,</w:t>
            </w:r>
            <w:r w:rsidRPr="0017118F">
              <w:rPr>
                <w:rFonts w:ascii="Verdana" w:hAnsi="Verdana"/>
                <w:sz w:val="22"/>
                <w:szCs w:val="22"/>
                <w:lang w:val="ro-RO"/>
              </w:rPr>
              <w:t xml:space="preserve"> se preiau de către direcțiile finanțelor publice județene, respectiv a municipiului București, potrivit ariei teritoriale de competență.</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(4) Direcțiile finanțelor publice județene, respectiv a municipiului București, preiau ca structuri fără personalitate juridică administrațiile pentru contribuabilii mijlocii potrivit ariei teritoriale de competență.</w:t>
            </w:r>
          </w:p>
          <w:p w:rsidR="00723AF0" w:rsidRPr="0017118F" w:rsidRDefault="00723AF0"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(5) Personalul direcțiilor generale regionale ale finanțelor publice</w:t>
            </w:r>
            <w:r w:rsidRPr="0017118F">
              <w:rPr>
                <w:rFonts w:ascii="Verdana" w:hAnsi="Verdana"/>
                <w:b/>
                <w:sz w:val="22"/>
                <w:szCs w:val="22"/>
                <w:lang w:val="ro-RO"/>
              </w:rPr>
              <w:t>,</w:t>
            </w:r>
            <w:r w:rsidRPr="0017118F">
              <w:rPr>
                <w:rFonts w:ascii="Verdana" w:hAnsi="Verdana"/>
                <w:sz w:val="22"/>
                <w:szCs w:val="22"/>
                <w:lang w:val="ro-RO"/>
              </w:rPr>
              <w:t xml:space="preserve"> </w:t>
            </w:r>
            <w:r w:rsidRPr="0017118F">
              <w:rPr>
                <w:rFonts w:ascii="Verdana" w:hAnsi="Verdana"/>
                <w:b/>
                <w:sz w:val="22"/>
                <w:szCs w:val="22"/>
                <w:lang w:val="ro-RO"/>
              </w:rPr>
              <w:t>cu excepția personalului vamal,</w:t>
            </w:r>
            <w:r w:rsidRPr="0017118F">
              <w:rPr>
                <w:rFonts w:ascii="Verdana" w:hAnsi="Verdana"/>
                <w:sz w:val="22"/>
                <w:szCs w:val="22"/>
                <w:lang w:val="ro-RO"/>
              </w:rPr>
              <w:t xml:space="preserve"> se preia și se reîncadrează la direcțiile finanțelor publice județene, respectiv a municipiului București, în limita numărului de posturi aprobat, în condițiile legii.</w:t>
            </w:r>
          </w:p>
          <w:p w:rsidR="00723AF0" w:rsidRPr="0017118F" w:rsidRDefault="00723AF0" w:rsidP="00224B19">
            <w:pPr>
              <w:jc w:val="both"/>
              <w:rPr>
                <w:rFonts w:ascii="Verdana" w:hAnsi="Verdana"/>
                <w:sz w:val="22"/>
                <w:szCs w:val="22"/>
                <w:lang w:val="ro-RO"/>
              </w:rPr>
            </w:pPr>
          </w:p>
          <w:p w:rsidR="00723AF0" w:rsidRPr="0017118F" w:rsidRDefault="00723AF0" w:rsidP="00C82A75">
            <w:pPr>
              <w:jc w:val="both"/>
              <w:rPr>
                <w:rFonts w:ascii="Verdana" w:hAnsi="Verdana"/>
                <w:i/>
                <w:sz w:val="22"/>
                <w:szCs w:val="22"/>
                <w:lang w:val="ro-RO"/>
              </w:rPr>
            </w:pPr>
            <w:r w:rsidRPr="0017118F">
              <w:rPr>
                <w:rFonts w:ascii="Verdana" w:hAnsi="Verdana"/>
                <w:i/>
                <w:sz w:val="22"/>
                <w:szCs w:val="22"/>
                <w:lang w:val="ro-RO"/>
              </w:rPr>
              <w:t>Autor: deputat Adrian Solomon</w:t>
            </w:r>
          </w:p>
        </w:tc>
        <w:tc>
          <w:tcPr>
            <w:tcW w:w="2996"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Necesitatea reglementării şi corelare cu art.II şi III propuse.</w:t>
            </w:r>
          </w:p>
        </w:tc>
      </w:tr>
      <w:tr w:rsidR="00723AF0" w:rsidRPr="0017118F" w:rsidTr="00224B19">
        <w:tc>
          <w:tcPr>
            <w:tcW w:w="630" w:type="dxa"/>
            <w:shd w:val="clear" w:color="auto" w:fill="auto"/>
          </w:tcPr>
          <w:p w:rsidR="00723AF0" w:rsidRPr="0017118F" w:rsidRDefault="00723AF0" w:rsidP="00723AF0">
            <w:pPr>
              <w:numPr>
                <w:ilvl w:val="0"/>
                <w:numId w:val="12"/>
              </w:numPr>
              <w:ind w:left="0" w:firstLine="0"/>
              <w:jc w:val="both"/>
              <w:rPr>
                <w:rFonts w:ascii="Verdana" w:hAnsi="Verdana"/>
                <w:b/>
                <w:sz w:val="22"/>
                <w:szCs w:val="22"/>
                <w:lang w:val="ro-RO"/>
              </w:rPr>
            </w:pPr>
          </w:p>
        </w:tc>
        <w:tc>
          <w:tcPr>
            <w:tcW w:w="5047"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Art.I, pct.2</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Art.11 alin.(1), (2)</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Art.11. - (1) Patrimoniul, arhiva, prevederile bugetare, execuția bugetară și orice alte bunuri ale direcțiilor generale regionale ale finanțelor publice sunt preluate de direcțiile finanțelor publice județene. </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(2) Procedurile aflate în derulare la nivelul direcțiilor generale regionale ale finanțelor publice, se continuă de Agenție, respectiv de direcțiile județene ale finanțelor publice, după caz, conform competenţelor, actele îndeplinite anterior rămânând valabile.</w:t>
            </w:r>
          </w:p>
          <w:p w:rsidR="00723AF0" w:rsidRPr="0017118F" w:rsidRDefault="00723AF0" w:rsidP="00224B19">
            <w:pPr>
              <w:jc w:val="both"/>
              <w:rPr>
                <w:rFonts w:ascii="Verdana" w:hAnsi="Verdana"/>
                <w:sz w:val="22"/>
                <w:szCs w:val="22"/>
                <w:lang w:val="ro-RO"/>
              </w:rPr>
            </w:pPr>
          </w:p>
        </w:tc>
        <w:tc>
          <w:tcPr>
            <w:tcW w:w="5048"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b/>
                <w:sz w:val="22"/>
                <w:szCs w:val="22"/>
                <w:lang w:val="ro-RO"/>
              </w:rPr>
            </w:pPr>
            <w:r w:rsidRPr="0017118F">
              <w:rPr>
                <w:rFonts w:ascii="Verdana" w:hAnsi="Verdana"/>
                <w:sz w:val="22"/>
                <w:szCs w:val="22"/>
                <w:lang w:val="ro-RO"/>
              </w:rPr>
              <w:t>Art.11. - (1) Patrimoniul, arhiva, prevederile bugetare, execuția bugetară și orice alte bunuri ale direcțiilor generale regionale ale finanțelor publice sunt preluate de direcțiile finanțelor publice județene</w:t>
            </w:r>
            <w:r w:rsidRPr="0017118F">
              <w:rPr>
                <w:rFonts w:ascii="Verdana" w:hAnsi="Verdana"/>
                <w:b/>
                <w:sz w:val="22"/>
                <w:szCs w:val="22"/>
                <w:lang w:val="ro-RO"/>
              </w:rPr>
              <w:t>, respectiv a municipiului București.</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(2) Procedurile aflate în derulare la nivelul direcțiilor generale regionale ale finanțelor publice, se continuă de Agenție </w:t>
            </w:r>
            <w:r w:rsidRPr="0017118F">
              <w:rPr>
                <w:rFonts w:ascii="Verdana" w:hAnsi="Verdana"/>
                <w:b/>
                <w:sz w:val="22"/>
                <w:szCs w:val="22"/>
                <w:lang w:val="ro-RO"/>
              </w:rPr>
              <w:t>şi/sau</w:t>
            </w:r>
            <w:r w:rsidRPr="0017118F">
              <w:rPr>
                <w:rFonts w:ascii="Verdana" w:hAnsi="Verdana"/>
                <w:sz w:val="22"/>
                <w:szCs w:val="22"/>
                <w:lang w:val="ro-RO"/>
              </w:rPr>
              <w:t xml:space="preserve"> de direcțiile județene ale finanțelor publice, </w:t>
            </w:r>
            <w:r w:rsidRPr="0017118F">
              <w:rPr>
                <w:rFonts w:ascii="Verdana" w:hAnsi="Verdana"/>
                <w:b/>
                <w:sz w:val="22"/>
                <w:szCs w:val="22"/>
                <w:lang w:val="ro-RO"/>
              </w:rPr>
              <w:t>respectiv</w:t>
            </w:r>
            <w:r w:rsidRPr="0017118F">
              <w:rPr>
                <w:rFonts w:ascii="Verdana" w:hAnsi="Verdana"/>
                <w:sz w:val="22"/>
                <w:szCs w:val="22"/>
                <w:lang w:val="ro-RO"/>
              </w:rPr>
              <w:t xml:space="preserve"> </w:t>
            </w:r>
            <w:r w:rsidRPr="0017118F">
              <w:rPr>
                <w:rFonts w:ascii="Verdana" w:hAnsi="Verdana"/>
                <w:b/>
                <w:sz w:val="22"/>
                <w:szCs w:val="22"/>
                <w:lang w:val="ro-RO"/>
              </w:rPr>
              <w:t>a municipiului Bucureşti,</w:t>
            </w:r>
            <w:r w:rsidRPr="0017118F">
              <w:rPr>
                <w:rFonts w:ascii="Verdana" w:hAnsi="Verdana"/>
                <w:sz w:val="22"/>
                <w:szCs w:val="22"/>
                <w:lang w:val="ro-RO"/>
              </w:rPr>
              <w:t xml:space="preserve"> după caz, conform competenţelor, actele îndeplinite anterior rămânând valabile.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i/>
                <w:sz w:val="22"/>
                <w:szCs w:val="22"/>
                <w:lang w:val="ro-RO"/>
              </w:rPr>
            </w:pPr>
            <w:r w:rsidRPr="0017118F">
              <w:rPr>
                <w:rFonts w:ascii="Verdana" w:hAnsi="Verdana"/>
                <w:i/>
                <w:sz w:val="22"/>
                <w:szCs w:val="22"/>
                <w:lang w:val="ro-RO"/>
              </w:rPr>
              <w:t>Autor: deputat Adrian Solomon</w:t>
            </w:r>
          </w:p>
          <w:p w:rsidR="00723AF0" w:rsidRPr="0017118F" w:rsidRDefault="00723AF0" w:rsidP="00224B19">
            <w:pPr>
              <w:jc w:val="both"/>
              <w:rPr>
                <w:rFonts w:ascii="Verdana" w:hAnsi="Verdana"/>
                <w:sz w:val="22"/>
                <w:szCs w:val="22"/>
                <w:lang w:val="ro-RO"/>
              </w:rPr>
            </w:pPr>
          </w:p>
        </w:tc>
        <w:tc>
          <w:tcPr>
            <w:tcW w:w="2996"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Unitate de terminologie.</w:t>
            </w:r>
          </w:p>
        </w:tc>
      </w:tr>
      <w:tr w:rsidR="00723AF0" w:rsidRPr="0017118F" w:rsidTr="00224B19">
        <w:tc>
          <w:tcPr>
            <w:tcW w:w="630" w:type="dxa"/>
            <w:shd w:val="clear" w:color="auto" w:fill="auto"/>
          </w:tcPr>
          <w:p w:rsidR="00723AF0" w:rsidRPr="0017118F" w:rsidRDefault="00723AF0" w:rsidP="00723AF0">
            <w:pPr>
              <w:numPr>
                <w:ilvl w:val="0"/>
                <w:numId w:val="12"/>
              </w:numPr>
              <w:ind w:left="0" w:firstLine="0"/>
              <w:jc w:val="both"/>
              <w:rPr>
                <w:rFonts w:ascii="Verdana" w:hAnsi="Verdana"/>
                <w:b/>
                <w:sz w:val="22"/>
                <w:szCs w:val="22"/>
                <w:lang w:val="ro-RO"/>
              </w:rPr>
            </w:pPr>
          </w:p>
        </w:tc>
        <w:tc>
          <w:tcPr>
            <w:tcW w:w="5047"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Art.II. - (1) Aplicarea prevederilor art. 11 alin.(4) se face prin ordin al ministrului finanțelor publice, în termen de 30 de zile de la data intrării în vigoare a prezentei legi. Instrucțiunile pe baza cărora se încheie protocolul de predare - primire privind execuția bugetară se aprobă prin ordin al președintelui Agenției Naționale de Administrare Fiscală, cu avizul Ministerului Finanțelor Publice. </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C82A75" w:rsidRPr="0017118F" w:rsidRDefault="00C82A75"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(2) Modalitatea de reîncadrare a personalului prevăzut la art. 10 alin. (5) se stabilește prin ordin al președintelui Agenției Naționale de Administrare Fiscală, cu avizul Ministerului Finanțelor Publice și al Ministerului Muncii și Justiției Sociale.</w:t>
            </w:r>
          </w:p>
        </w:tc>
        <w:tc>
          <w:tcPr>
            <w:tcW w:w="5048"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Art.II. - (1) Aplicarea prevederilor art. 11 alin.(4) </w:t>
            </w:r>
            <w:r w:rsidRPr="0017118F">
              <w:rPr>
                <w:rFonts w:ascii="Verdana" w:hAnsi="Verdana"/>
                <w:b/>
                <w:sz w:val="22"/>
                <w:szCs w:val="22"/>
                <w:lang w:val="ro-RO"/>
              </w:rPr>
              <w:t xml:space="preserve">din Ordonanța de urgență a Guvernului nr.74/2013 privind unele măsuri pentru îmbunătățirea și reorganizarea activității Agenției Naționale de Administrare Fiscală, precum și pentru modificarea și completarea unor acte normative, aprobată cu modificări și completări prin Legea nr. 144/2014, cu </w:t>
            </w:r>
            <w:r w:rsidRPr="0017118F">
              <w:rPr>
                <w:rFonts w:ascii="Verdana" w:hAnsi="Verdana"/>
                <w:b/>
                <w:sz w:val="22"/>
                <w:szCs w:val="22"/>
                <w:lang w:val="ro-RO"/>
              </w:rPr>
              <w:lastRenderedPageBreak/>
              <w:t>modificările ulterioare</w:t>
            </w:r>
            <w:r w:rsidRPr="0017118F">
              <w:rPr>
                <w:rFonts w:ascii="Verdana" w:hAnsi="Verdana"/>
                <w:sz w:val="22"/>
                <w:szCs w:val="22"/>
                <w:lang w:val="ro-RO"/>
              </w:rPr>
              <w:t xml:space="preserve">, </w:t>
            </w:r>
            <w:r w:rsidRPr="0017118F">
              <w:rPr>
                <w:rFonts w:ascii="Verdana" w:hAnsi="Verdana"/>
                <w:b/>
                <w:sz w:val="22"/>
                <w:szCs w:val="22"/>
                <w:lang w:val="ro-RO"/>
              </w:rPr>
              <w:t xml:space="preserve">precum şi cu cele aduse prin prezenta lege, </w:t>
            </w:r>
            <w:r w:rsidRPr="0017118F">
              <w:rPr>
                <w:rFonts w:ascii="Verdana" w:hAnsi="Verdana"/>
                <w:sz w:val="22"/>
                <w:szCs w:val="22"/>
                <w:lang w:val="ro-RO"/>
              </w:rPr>
              <w:t>se face prin ordin al ministrului finanțelor publice, în termen de 30 de zile de la data intrării în vigoare a prezentei legi. Instrucțiunile pe baza cărora se încheie protocolul de predare - primire privind execuția bugetară se aprobă prin ordin al președintelui Agenției Naționale de Administrare Fiscală, cu avizul Ministerului Finanțelor Publice.</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(2) Modalitatea de reîncadrare a personalului prevăzut la art. 10 alin. (5) </w:t>
            </w:r>
            <w:r w:rsidRPr="0017118F">
              <w:rPr>
                <w:rFonts w:ascii="Verdana" w:hAnsi="Verdana"/>
                <w:b/>
                <w:sz w:val="22"/>
                <w:szCs w:val="22"/>
                <w:lang w:val="ro-RO"/>
              </w:rPr>
              <w:t>din Ordonanța de urgență a Guvernului nr.74/2013, cu modificările ulterioare</w:t>
            </w:r>
            <w:r w:rsidRPr="0017118F">
              <w:rPr>
                <w:rFonts w:ascii="Verdana" w:hAnsi="Verdana"/>
                <w:sz w:val="22"/>
                <w:szCs w:val="22"/>
                <w:lang w:val="ro-RO"/>
              </w:rPr>
              <w:t xml:space="preserve">, </w:t>
            </w:r>
            <w:r w:rsidRPr="0017118F">
              <w:rPr>
                <w:rFonts w:ascii="Verdana" w:hAnsi="Verdana"/>
                <w:b/>
                <w:sz w:val="22"/>
                <w:szCs w:val="22"/>
                <w:lang w:val="ro-RO"/>
              </w:rPr>
              <w:t xml:space="preserve">precum şi cu cele aduse prin prezenta lege, </w:t>
            </w:r>
            <w:r w:rsidRPr="0017118F">
              <w:rPr>
                <w:rFonts w:ascii="Verdana" w:hAnsi="Verdana"/>
                <w:sz w:val="22"/>
                <w:szCs w:val="22"/>
                <w:lang w:val="ro-RO"/>
              </w:rPr>
              <w:t>se stabilește prin ordin al președintelui Agenției Naționale de Administrare Fiscală, cu avizul Ministerului Finanțelor Publice și al Ministerului Muncii și Justiției Sociale.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i/>
                <w:sz w:val="22"/>
                <w:szCs w:val="22"/>
                <w:lang w:val="ro-RO"/>
              </w:rPr>
            </w:pPr>
            <w:r w:rsidRPr="0017118F">
              <w:rPr>
                <w:rFonts w:ascii="Verdana" w:hAnsi="Verdana"/>
                <w:i/>
                <w:sz w:val="22"/>
                <w:szCs w:val="22"/>
                <w:lang w:val="ro-RO"/>
              </w:rPr>
              <w:t>Autor: deputat Adrian Solomon</w:t>
            </w:r>
          </w:p>
          <w:p w:rsidR="00723AF0" w:rsidRPr="0017118F" w:rsidRDefault="00723AF0" w:rsidP="00224B19">
            <w:pPr>
              <w:jc w:val="both"/>
              <w:rPr>
                <w:rFonts w:ascii="Verdana" w:hAnsi="Verdana"/>
                <w:sz w:val="22"/>
                <w:szCs w:val="22"/>
                <w:lang w:val="ro-RO"/>
              </w:rPr>
            </w:pPr>
          </w:p>
        </w:tc>
        <w:tc>
          <w:tcPr>
            <w:tcW w:w="2996"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Pentru respectarea normelor de tehnică legislativă.</w:t>
            </w:r>
          </w:p>
        </w:tc>
      </w:tr>
      <w:tr w:rsidR="00723AF0" w:rsidRPr="0017118F" w:rsidTr="00224B19">
        <w:tc>
          <w:tcPr>
            <w:tcW w:w="630" w:type="dxa"/>
            <w:shd w:val="clear" w:color="auto" w:fill="auto"/>
          </w:tcPr>
          <w:p w:rsidR="00723AF0" w:rsidRPr="0017118F" w:rsidRDefault="00723AF0" w:rsidP="00723AF0">
            <w:pPr>
              <w:numPr>
                <w:ilvl w:val="0"/>
                <w:numId w:val="12"/>
              </w:numPr>
              <w:ind w:left="0" w:firstLine="0"/>
              <w:jc w:val="both"/>
              <w:rPr>
                <w:rFonts w:ascii="Verdana" w:hAnsi="Verdana"/>
                <w:b/>
                <w:sz w:val="22"/>
                <w:szCs w:val="22"/>
                <w:lang w:val="ro-RO"/>
              </w:rPr>
            </w:pPr>
          </w:p>
        </w:tc>
        <w:tc>
          <w:tcPr>
            <w:tcW w:w="5047" w:type="dxa"/>
            <w:shd w:val="clear" w:color="auto" w:fill="auto"/>
          </w:tcPr>
          <w:p w:rsidR="00723AF0" w:rsidRDefault="00723AF0" w:rsidP="00224B19">
            <w:pPr>
              <w:jc w:val="both"/>
              <w:rPr>
                <w:rFonts w:ascii="Verdana" w:hAnsi="Verdana"/>
                <w:sz w:val="22"/>
                <w:szCs w:val="22"/>
                <w:lang w:val="ro-RO"/>
              </w:rPr>
            </w:pPr>
          </w:p>
          <w:p w:rsidR="0017118F" w:rsidRPr="0017118F" w:rsidRDefault="0017118F" w:rsidP="00224B19">
            <w:pPr>
              <w:jc w:val="both"/>
              <w:rPr>
                <w:rFonts w:ascii="Verdana" w:hAnsi="Verdana"/>
                <w:sz w:val="22"/>
                <w:szCs w:val="22"/>
                <w:lang w:val="ro-RO"/>
              </w:rPr>
            </w:pPr>
            <w:r>
              <w:rPr>
                <w:rFonts w:ascii="Verdana" w:hAnsi="Verdana"/>
                <w:sz w:val="22"/>
                <w:szCs w:val="22"/>
                <w:lang w:val="ro-RO"/>
              </w:rPr>
              <w:t>__</w:t>
            </w:r>
          </w:p>
        </w:tc>
        <w:tc>
          <w:tcPr>
            <w:tcW w:w="5048"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Art.III. – (1) Se înfiinţează Direcția Generală a Vămilor, ca organ de specialitate al administraţiei publice centrale, cu personalitate juridică, finanţat de la bugetul de stat, care se organizează şi funcţionează în subordinea Ministerului Finanţelor Publice.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lastRenderedPageBreak/>
              <w:t xml:space="preserve">(2) Direcţia Generală a Vămilor se înfiinţează prin preluarea atribuţiilor, a activităţii, a posturilor şi a personalului următoarelor structuri vamale din cadrul Agenției Naționale de Administrare Fiscală şi a unităţilor subordonate: direcţia generală a vămilor din cadrul aparatului propriu al Agenţiei Naționale de Administrare Fiscală, </w:t>
            </w:r>
            <w:r w:rsidRPr="0017118F">
              <w:rPr>
                <w:rFonts w:ascii="Verdana" w:hAnsi="Verdana"/>
                <w:b/>
                <w:sz w:val="22"/>
                <w:szCs w:val="22"/>
                <w:lang w:val="ro-RO"/>
              </w:rPr>
              <w:t>precum</w:t>
            </w:r>
            <w:r w:rsidRPr="0017118F">
              <w:rPr>
                <w:rFonts w:ascii="Verdana" w:hAnsi="Verdana"/>
                <w:sz w:val="22"/>
                <w:szCs w:val="22"/>
                <w:lang w:val="ro-RO"/>
              </w:rPr>
              <w:t xml:space="preserve"> şi direcţiile regionale vamale şi birourile vamale de interior şi de frontieră din cadrul direcţiilor generale regionale ale finanţelor publice.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(3) Organizarea, modul de funcţionare, numărul de posturi al Direcţiei Generale a Vămilor, precum şi alte aspecte determinate de aplicarea măsurilor de reorganizare prevăzute de prezenta lege se aprobă prin hotărâre a Guvernului, în termen de 30 de zile de la data intrării în vigoare a prezentei legi.</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(4) Preluarea personalului în noua structură organizatorică a Direcției generale a vămilor și încadrarea acestuia în funcțiile publice generale și specifice stabilite ca funcții de stat, se face în termenele şi cu respectarea condiţiilor prevăzute de legislaţia în vigoare în limita numărului maxim de posturi aprobat. </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(5) Modalitatea de încadrare a personalului </w:t>
            </w:r>
            <w:r w:rsidRPr="0017118F">
              <w:rPr>
                <w:rFonts w:ascii="Verdana" w:hAnsi="Verdana"/>
                <w:sz w:val="22"/>
                <w:szCs w:val="22"/>
                <w:lang w:val="ro-RO"/>
              </w:rPr>
              <w:lastRenderedPageBreak/>
              <w:t>prevăzut la alin. (4) se stabilește prin ordin al ministrului finanțelor publice, cu avizul Ministerului Muncii și Justiției Sociale.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(6) Patrimoniul, arhiva, prevederile bugetare, execuția bugetară și orice alte bunuri aferente structurilor vamale prevăzute la alin.(2) se preiau, pe bază de protocol de predare-preluare, de către Direcţia Generală a Vămilor de la Agenția Națională de Administrare Fiscală şi direcţiile generale regionale ale finanţelor publice, în termen de 60 de zile de la intrarea în vigoare a hotărârii Guvernului prevăzută la alin.(3).</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(7) Procedurile şi activităţile aflate în derulare la nivelul structurilor vamale prevăzute la alin. (2) vor fi continuate de Direcţia Generală a Vămilor, prin preluarea drepturilor şi obligaţiilor acestora, actele îndeplinite anterior rămânând valabile.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Art.IV. – (1) Aplicarea prevederilor art.III alin.(6) se face prin ordin al ministrului finanțelor publice, în termen de 30 de zile de la data intrării în vigoare a prezentei legi. Instrucțiunile pe baza cărora se încheie protocolul de predare-primire privind execuția bugetară se aprobă prin ordin al ministrului </w:t>
            </w:r>
            <w:r w:rsidRPr="0017118F">
              <w:rPr>
                <w:rFonts w:ascii="Verdana" w:hAnsi="Verdana"/>
                <w:sz w:val="22"/>
                <w:szCs w:val="22"/>
                <w:lang w:val="ro-RO"/>
              </w:rPr>
              <w:lastRenderedPageBreak/>
              <w:t>finanțelor publice.</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(2) Începând cu data intrării în vigoare a hotărârii Guvernului prevăzute la art.</w:t>
            </w:r>
            <w:r w:rsidR="00C82A75" w:rsidRPr="0017118F">
              <w:rPr>
                <w:rFonts w:ascii="Verdana" w:hAnsi="Verdana"/>
                <w:sz w:val="22"/>
                <w:szCs w:val="22"/>
                <w:lang w:val="ro-RO"/>
              </w:rPr>
              <w:t xml:space="preserve"> </w:t>
            </w:r>
            <w:r w:rsidRPr="0017118F">
              <w:rPr>
                <w:rFonts w:ascii="Verdana" w:hAnsi="Verdana"/>
                <w:sz w:val="22"/>
                <w:szCs w:val="22"/>
                <w:lang w:val="ro-RO"/>
              </w:rPr>
              <w:t>III alin.(3), în cuprinsul actelor normative în vigoare, în cazul prevederilor care reglementează activitatea în domeniul vamal, denumirile „</w:t>
            </w:r>
            <w:r w:rsidRPr="0017118F">
              <w:rPr>
                <w:rFonts w:ascii="Verdana" w:hAnsi="Verdana"/>
                <w:i/>
                <w:sz w:val="22"/>
                <w:szCs w:val="22"/>
                <w:lang w:val="ro-RO"/>
              </w:rPr>
              <w:t>Agenţia Naţională de Administrare Fiscală</w:t>
            </w:r>
            <w:r w:rsidRPr="0017118F">
              <w:rPr>
                <w:rFonts w:ascii="Verdana" w:hAnsi="Verdana"/>
                <w:sz w:val="22"/>
                <w:szCs w:val="22"/>
                <w:lang w:val="ro-RO"/>
              </w:rPr>
              <w:t>”, respectiv „</w:t>
            </w:r>
            <w:r w:rsidRPr="0017118F">
              <w:rPr>
                <w:rFonts w:ascii="Verdana" w:hAnsi="Verdana"/>
                <w:i/>
                <w:sz w:val="22"/>
                <w:szCs w:val="22"/>
                <w:lang w:val="ro-RO"/>
              </w:rPr>
              <w:t>direcţia generală regională a finanţelor publice</w:t>
            </w:r>
            <w:r w:rsidRPr="0017118F">
              <w:rPr>
                <w:rFonts w:ascii="Verdana" w:hAnsi="Verdana"/>
                <w:sz w:val="22"/>
                <w:szCs w:val="22"/>
                <w:lang w:val="ro-RO"/>
              </w:rPr>
              <w:t>” se înlocuiesc cu denumirea „</w:t>
            </w:r>
            <w:r w:rsidRPr="0017118F">
              <w:rPr>
                <w:rFonts w:ascii="Verdana" w:hAnsi="Verdana"/>
                <w:i/>
                <w:sz w:val="22"/>
                <w:szCs w:val="22"/>
                <w:lang w:val="ro-RO"/>
              </w:rPr>
              <w:t>Direcţia Generală a Vămilor</w:t>
            </w:r>
            <w:r w:rsidRPr="0017118F">
              <w:rPr>
                <w:rFonts w:ascii="Verdana" w:hAnsi="Verdana"/>
                <w:sz w:val="22"/>
                <w:szCs w:val="22"/>
                <w:lang w:val="ro-RO"/>
              </w:rPr>
              <w:t>”.</w:t>
            </w:r>
          </w:p>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i/>
                <w:sz w:val="22"/>
                <w:szCs w:val="22"/>
                <w:lang w:val="ro-RO"/>
              </w:rPr>
            </w:pPr>
            <w:r w:rsidRPr="0017118F">
              <w:rPr>
                <w:rFonts w:ascii="Verdana" w:hAnsi="Verdana"/>
                <w:i/>
                <w:sz w:val="22"/>
                <w:szCs w:val="22"/>
                <w:lang w:val="ro-RO"/>
              </w:rPr>
              <w:t>Autor: deputat Adrian Solomon</w:t>
            </w:r>
          </w:p>
          <w:p w:rsidR="00723AF0" w:rsidRPr="0017118F" w:rsidRDefault="00723AF0" w:rsidP="00224B19">
            <w:pPr>
              <w:jc w:val="both"/>
              <w:rPr>
                <w:rFonts w:ascii="Verdana" w:hAnsi="Verdana"/>
                <w:sz w:val="22"/>
                <w:szCs w:val="22"/>
                <w:lang w:val="ro-RO"/>
              </w:rPr>
            </w:pPr>
          </w:p>
        </w:tc>
        <w:tc>
          <w:tcPr>
            <w:tcW w:w="2996" w:type="dxa"/>
            <w:shd w:val="clear" w:color="auto" w:fill="auto"/>
          </w:tcPr>
          <w:p w:rsidR="00723AF0" w:rsidRPr="0017118F" w:rsidRDefault="00723AF0" w:rsidP="00224B19">
            <w:pPr>
              <w:jc w:val="both"/>
              <w:rPr>
                <w:rFonts w:ascii="Verdana" w:hAnsi="Verdana"/>
                <w:sz w:val="22"/>
                <w:szCs w:val="22"/>
                <w:lang w:val="ro-RO"/>
              </w:rPr>
            </w:pP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Măsura își propune să redefinească autoritatea vamală ale cărei atribuții sunt exercitate în prezent de către ANAF prin structurile vamale din subordine: Direcția generală a vămilor din cadrul aparatului propriu al ANAF și 8 </w:t>
            </w:r>
            <w:r w:rsidRPr="0017118F">
              <w:rPr>
                <w:rFonts w:ascii="Verdana" w:hAnsi="Verdana"/>
                <w:sz w:val="22"/>
                <w:szCs w:val="22"/>
                <w:lang w:val="ro-RO"/>
              </w:rPr>
              <w:lastRenderedPageBreak/>
              <w:t xml:space="preserve">direcții regionale vamale (cu birouri vamale de interior și de frontieră) aflate în subordinea direcțiilor generale regionale de finanțe. </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DGV are atribuţii doar de coordonare metodologică a structurilor vamale teritoriale, acestea nefiind în subordinea DGV. </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Datorită faptului că România nu are o administrație vamală corespondentă celorlalte administrații vamale din țările comunitare, organizate ca structuri independente, nu s-a putut implementa una dintre cele mai importate măsuri adoptate de UE pe linia luptei anti-contrabandă și anume Convenția cu privire la asistența reciprocă și cooperarea între administrațiile vamale denumită generic Convenția Napoli II.</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Reunirea tuturor structurilor vamale într-o singură structură va asigura o abordare unitară a acţiunilor autorității vamale în misiunea </w:t>
            </w:r>
            <w:r w:rsidRPr="0017118F">
              <w:rPr>
                <w:rFonts w:ascii="Verdana" w:hAnsi="Verdana"/>
                <w:sz w:val="22"/>
                <w:szCs w:val="22"/>
                <w:lang w:val="ro-RO"/>
              </w:rPr>
              <w:lastRenderedPageBreak/>
              <w:t xml:space="preserve">acesteia de a asigura controlul de securitate și siguranță la frontiera externă de sud-est a UE. Totodată o structura unitara va asigura o utilizare mult mai eficientă a resurselor umane si financiare în combaterea fraudei vamale si a contrabandei.  </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Structurarea activității vamale pe trei paliere, central, regional și local, a fost adoptată de către autoritatea vamală înainte de aderarea la UE, reprezentând o aliniere din punct de vedere organizatoric cu majoritatea administrațiilor vamale din UE și totodată fiind similară cu a altor autorități care au competențe de control la trecerea frontierei (Poliția de frontieră).</w:t>
            </w:r>
          </w:p>
          <w:p w:rsidR="00723AF0" w:rsidRPr="0017118F" w:rsidRDefault="00723AF0" w:rsidP="00224B19">
            <w:pPr>
              <w:jc w:val="both"/>
              <w:rPr>
                <w:rFonts w:ascii="Verdana" w:hAnsi="Verdana"/>
                <w:sz w:val="22"/>
                <w:szCs w:val="22"/>
                <w:lang w:val="ro-RO"/>
              </w:rPr>
            </w:pPr>
            <w:r w:rsidRPr="0017118F">
              <w:rPr>
                <w:rFonts w:ascii="Verdana" w:hAnsi="Verdana"/>
                <w:sz w:val="22"/>
                <w:szCs w:val="22"/>
                <w:lang w:val="ro-RO"/>
              </w:rPr>
              <w:t xml:space="preserve">Sunt necesare prevederi tranzitorii referitoare la: preluarea personalului, încadrarea acestuia pe funcții cu păstrarea drepturilor salariale prin corelarea cu prevederile Legii </w:t>
            </w:r>
            <w:r w:rsidRPr="0017118F">
              <w:rPr>
                <w:rFonts w:ascii="Verdana" w:hAnsi="Verdana"/>
                <w:sz w:val="22"/>
                <w:szCs w:val="22"/>
                <w:lang w:val="ro-RO"/>
              </w:rPr>
              <w:lastRenderedPageBreak/>
              <w:t>nr. 153/2017 privind salarizarea personalului plătit din fonduri publice precum și prevederi referitoare la preluarea activității de la ANAF și direcțiile generale regionale ale finanțelor publice.</w:t>
            </w:r>
          </w:p>
          <w:p w:rsidR="00723AF0" w:rsidRPr="0017118F" w:rsidRDefault="00723AF0" w:rsidP="00224B19">
            <w:pPr>
              <w:jc w:val="both"/>
              <w:rPr>
                <w:rFonts w:ascii="Verdana" w:hAnsi="Verdana"/>
                <w:sz w:val="22"/>
                <w:szCs w:val="22"/>
                <w:lang w:val="ro-RO"/>
              </w:rPr>
            </w:pPr>
          </w:p>
        </w:tc>
      </w:tr>
    </w:tbl>
    <w:p w:rsidR="00723AF0" w:rsidRPr="00723AF0" w:rsidRDefault="00723AF0" w:rsidP="00723AF0">
      <w:pPr>
        <w:rPr>
          <w:rFonts w:ascii="Verdana" w:hAnsi="Verdana"/>
          <w:sz w:val="22"/>
          <w:szCs w:val="22"/>
          <w:lang w:val="ro-RO"/>
        </w:rPr>
      </w:pPr>
    </w:p>
    <w:p w:rsidR="00F93D9A" w:rsidRPr="00723AF0" w:rsidRDefault="00F93D9A" w:rsidP="00F3374A">
      <w:pPr>
        <w:jc w:val="both"/>
        <w:rPr>
          <w:rFonts w:ascii="Verdana" w:hAnsi="Verdana"/>
          <w:sz w:val="22"/>
          <w:szCs w:val="22"/>
          <w:lang w:val="ro-RO"/>
        </w:rPr>
      </w:pPr>
    </w:p>
    <w:sectPr w:rsidR="00F93D9A" w:rsidRPr="00723AF0" w:rsidSect="008D7016">
      <w:headerReference w:type="even" r:id="rId9"/>
      <w:footerReference w:type="even" r:id="rId10"/>
      <w:footerReference w:type="default" r:id="rId11"/>
      <w:footerReference w:type="first" r:id="rId12"/>
      <w:pgSz w:w="11907" w:h="16840" w:code="9"/>
      <w:pgMar w:top="1134"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358C" w:rsidRDefault="007E358C">
      <w:r>
        <w:separator/>
      </w:r>
    </w:p>
  </w:endnote>
  <w:endnote w:type="continuationSeparator" w:id="0">
    <w:p w:rsidR="007E358C" w:rsidRDefault="007E35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B7232D"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B7232D"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F7722E">
      <w:rPr>
        <w:rStyle w:val="PageNumber"/>
        <w:rFonts w:ascii="Verdana" w:hAnsi="Verdana"/>
        <w:noProof/>
        <w:sz w:val="18"/>
        <w:szCs w:val="18"/>
        <w:lang w:val="ro-RO"/>
      </w:rPr>
      <w:t>7</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F7722E">
      <w:rPr>
        <w:rStyle w:val="PageNumber"/>
        <w:rFonts w:ascii="Verdana" w:hAnsi="Verdana"/>
        <w:noProof/>
        <w:sz w:val="18"/>
        <w:szCs w:val="18"/>
        <w:lang w:val="ro-RO"/>
      </w:rPr>
      <w:t>7</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17118F" w:rsidRDefault="00B7232D"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17118F">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F7722E">
      <w:rPr>
        <w:rStyle w:val="PageNumber"/>
        <w:rFonts w:ascii="Verdana" w:hAnsi="Verdana"/>
        <w:noProof/>
        <w:sz w:val="18"/>
        <w:lang w:val="it-IT"/>
      </w:rPr>
      <w:t>1</w:t>
    </w:r>
    <w:r w:rsidRPr="00A91100">
      <w:rPr>
        <w:rStyle w:val="PageNumber"/>
        <w:rFonts w:ascii="Verdana" w:hAnsi="Verdana"/>
        <w:sz w:val="18"/>
      </w:rPr>
      <w:fldChar w:fldCharType="end"/>
    </w:r>
    <w:r w:rsidR="00773F40" w:rsidRPr="0017118F">
      <w:rPr>
        <w:rStyle w:val="PageNumber"/>
        <w:rFonts w:ascii="Verdana" w:hAnsi="Verdana"/>
        <w:sz w:val="18"/>
        <w:lang w:val="it-IT"/>
      </w:rPr>
      <w:t>/</w:t>
    </w:r>
    <w:r w:rsidRPr="00A91100">
      <w:rPr>
        <w:rStyle w:val="PageNumber"/>
        <w:rFonts w:ascii="Verdana" w:hAnsi="Verdana"/>
        <w:sz w:val="18"/>
      </w:rPr>
      <w:fldChar w:fldCharType="begin"/>
    </w:r>
    <w:r w:rsidR="00773F40" w:rsidRPr="0017118F">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F7722E">
      <w:rPr>
        <w:rStyle w:val="PageNumber"/>
        <w:rFonts w:ascii="Verdana" w:hAnsi="Verdana"/>
        <w:noProof/>
        <w:sz w:val="18"/>
        <w:lang w:val="it-IT"/>
      </w:rPr>
      <w:t>7</w:t>
    </w:r>
    <w:r w:rsidRPr="00A91100">
      <w:rPr>
        <w:rStyle w:val="PageNumber"/>
        <w:rFonts w:ascii="Verdana" w:hAnsi="Verdana"/>
        <w:sz w:val="18"/>
      </w:rPr>
      <w:fldChar w:fldCharType="end"/>
    </w:r>
  </w:p>
  <w:p w:rsidR="00773F40" w:rsidRPr="00AB36E5" w:rsidRDefault="000E1DE3" w:rsidP="000E1DE3">
    <w:pPr>
      <w:pStyle w:val="Footer"/>
      <w:tabs>
        <w:tab w:val="left" w:pos="2931"/>
        <w:tab w:val="center" w:pos="4909"/>
      </w:tabs>
      <w:spacing w:before="240"/>
      <w:ind w:right="360"/>
      <w:rPr>
        <w:rFonts w:ascii="Verdana" w:hAnsi="Verdana"/>
        <w:sz w:val="18"/>
        <w:szCs w:val="16"/>
        <w:lang w:val="ro-RO"/>
      </w:rPr>
    </w:pPr>
    <w:r>
      <w:rPr>
        <w:rFonts w:ascii="Verdana" w:hAnsi="Verdana"/>
        <w:sz w:val="18"/>
        <w:szCs w:val="16"/>
        <w:lang w:val="ro-RO"/>
      </w:rPr>
      <w:tab/>
      <w:t>Comisia pentru muncă şi protecţie socială</w:t>
    </w:r>
  </w:p>
  <w:p w:rsidR="00773F40" w:rsidRPr="00522645" w:rsidRDefault="00773F40" w:rsidP="00773F40">
    <w:pPr>
      <w:pStyle w:val="Footer"/>
      <w:ind w:right="360"/>
      <w:jc w:val="center"/>
      <w:rPr>
        <w:rFonts w:ascii="Verdana" w:hAnsi="Verdana"/>
        <w:sz w:val="18"/>
        <w:szCs w:val="16"/>
        <w:lang w:val="pt-PT"/>
      </w:rPr>
    </w:pPr>
    <w:r w:rsidRPr="00AB36E5">
      <w:rPr>
        <w:rFonts w:ascii="Verdana" w:hAnsi="Verdana"/>
        <w:sz w:val="18"/>
        <w:szCs w:val="16"/>
        <w:lang w:val="ro-RO"/>
      </w:rPr>
      <w:t xml:space="preserve">Telefon: </w:t>
    </w:r>
    <w:r w:rsidR="00075909">
      <w:rPr>
        <w:rFonts w:ascii="Verdana" w:hAnsi="Verdana"/>
        <w:sz w:val="18"/>
        <w:szCs w:val="16"/>
        <w:lang w:val="ro-RO"/>
      </w:rPr>
      <w:t>021.</w:t>
    </w:r>
    <w:r w:rsidRPr="00AB36E5">
      <w:rPr>
        <w:rFonts w:ascii="Verdana" w:hAnsi="Verdana"/>
        <w:sz w:val="18"/>
        <w:szCs w:val="16"/>
        <w:lang w:val="ro-RO"/>
      </w:rPr>
      <w:t>414</w:t>
    </w:r>
    <w:r w:rsidR="00075909">
      <w:rPr>
        <w:rFonts w:ascii="Verdana" w:hAnsi="Verdana"/>
        <w:sz w:val="18"/>
        <w:szCs w:val="16"/>
        <w:lang w:val="ro-RO"/>
      </w:rPr>
      <w:t>.</w:t>
    </w:r>
    <w:r w:rsidR="000E1DE3">
      <w:rPr>
        <w:rFonts w:ascii="Verdana" w:hAnsi="Verdana"/>
        <w:sz w:val="18"/>
        <w:szCs w:val="16"/>
        <w:lang w:val="ro-RO"/>
      </w:rPr>
      <w:t>11</w:t>
    </w:r>
    <w:r w:rsidR="00075909">
      <w:rPr>
        <w:rFonts w:ascii="Verdana" w:hAnsi="Verdana"/>
        <w:sz w:val="18"/>
        <w:szCs w:val="16"/>
        <w:lang w:val="ro-RO"/>
      </w:rPr>
      <w:t>.</w:t>
    </w:r>
    <w:r w:rsidR="000E1DE3">
      <w:rPr>
        <w:rFonts w:ascii="Verdana" w:hAnsi="Verdana"/>
        <w:sz w:val="18"/>
        <w:szCs w:val="16"/>
        <w:lang w:val="ro-RO"/>
      </w:rPr>
      <w:t>30</w:t>
    </w:r>
    <w:r w:rsidRPr="00AB36E5">
      <w:rPr>
        <w:rFonts w:ascii="Verdana" w:hAnsi="Verdana"/>
        <w:sz w:val="18"/>
        <w:szCs w:val="16"/>
        <w:lang w:val="ro-RO"/>
      </w:rPr>
      <w:t xml:space="preserve">, </w:t>
    </w:r>
    <w:r w:rsidR="00075909">
      <w:rPr>
        <w:rFonts w:ascii="Verdana" w:hAnsi="Verdana"/>
        <w:sz w:val="18"/>
        <w:szCs w:val="16"/>
        <w:lang w:val="ro-RO"/>
      </w:rPr>
      <w:t>021.</w:t>
    </w:r>
    <w:r w:rsidRPr="00AB36E5">
      <w:rPr>
        <w:rFonts w:ascii="Verdana" w:hAnsi="Verdana"/>
        <w:sz w:val="18"/>
        <w:szCs w:val="16"/>
        <w:lang w:val="ro-RO"/>
      </w:rPr>
      <w:t>414</w:t>
    </w:r>
    <w:r w:rsidR="00075909">
      <w:rPr>
        <w:rFonts w:ascii="Verdana" w:hAnsi="Verdana"/>
        <w:sz w:val="18"/>
        <w:szCs w:val="16"/>
        <w:lang w:val="ro-RO"/>
      </w:rPr>
      <w:t>.</w:t>
    </w:r>
    <w:r w:rsidR="000E1DE3">
      <w:rPr>
        <w:rFonts w:ascii="Verdana" w:hAnsi="Verdana"/>
        <w:sz w:val="18"/>
        <w:szCs w:val="16"/>
        <w:lang w:val="ro-RO"/>
      </w:rPr>
      <w:t>11</w:t>
    </w:r>
    <w:r w:rsidR="00075909">
      <w:rPr>
        <w:rFonts w:ascii="Verdana" w:hAnsi="Verdana"/>
        <w:sz w:val="18"/>
        <w:szCs w:val="16"/>
        <w:lang w:val="ro-RO"/>
      </w:rPr>
      <w:t>.</w:t>
    </w:r>
    <w:r w:rsidR="000E1DE3">
      <w:rPr>
        <w:rFonts w:ascii="Verdana" w:hAnsi="Verdana"/>
        <w:sz w:val="18"/>
        <w:szCs w:val="16"/>
        <w:lang w:val="ro-RO"/>
      </w:rPr>
      <w:t>31</w:t>
    </w:r>
    <w:r w:rsidRPr="00AB36E5">
      <w:rPr>
        <w:rFonts w:ascii="Verdana" w:hAnsi="Verdana"/>
        <w:sz w:val="18"/>
        <w:szCs w:val="16"/>
        <w:lang w:val="ro-RO"/>
      </w:rPr>
      <w:t xml:space="preserve">; Fax: </w:t>
    </w:r>
    <w:r w:rsidR="00075909">
      <w:rPr>
        <w:rFonts w:ascii="Verdana" w:hAnsi="Verdana"/>
        <w:sz w:val="18"/>
        <w:szCs w:val="16"/>
        <w:lang w:val="ro-RO"/>
      </w:rPr>
      <w:t>021.</w:t>
    </w:r>
    <w:r w:rsidR="000E1DE3">
      <w:rPr>
        <w:rFonts w:ascii="Verdana" w:hAnsi="Verdana"/>
        <w:sz w:val="18"/>
        <w:szCs w:val="16"/>
        <w:lang w:val="ro-RO"/>
      </w:rPr>
      <w:t>314.68</w:t>
    </w:r>
    <w:r w:rsidRPr="00AB36E5">
      <w:rPr>
        <w:rFonts w:ascii="Verdana" w:hAnsi="Verdana"/>
        <w:sz w:val="18"/>
        <w:szCs w:val="16"/>
        <w:lang w:val="ro-RO"/>
      </w:rPr>
      <w:t>.</w:t>
    </w:r>
    <w:r w:rsidR="000E1DE3">
      <w:rPr>
        <w:rFonts w:ascii="Verdana" w:hAnsi="Verdana"/>
        <w:sz w:val="18"/>
        <w:szCs w:val="16"/>
        <w:lang w:val="ro-RO"/>
      </w:rPr>
      <w:t>69</w:t>
    </w:r>
    <w:r w:rsidRPr="00AB36E5">
      <w:rPr>
        <w:rFonts w:ascii="Verdana" w:hAnsi="Verdana"/>
        <w:sz w:val="18"/>
        <w:szCs w:val="16"/>
        <w:lang w:val="ro-RO"/>
      </w:rPr>
      <w:t xml:space="preserve">; e-mail: </w:t>
    </w:r>
    <w:r w:rsidR="000E1DE3">
      <w:rPr>
        <w:rFonts w:ascii="Verdana" w:hAnsi="Verdana"/>
        <w:sz w:val="18"/>
        <w:szCs w:val="16"/>
        <w:lang w:val="ro-RO"/>
      </w:rPr>
      <w:t>cp07</w:t>
    </w:r>
    <w:r w:rsidRPr="00522645">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358C" w:rsidRDefault="007E358C">
      <w:r>
        <w:separator/>
      </w:r>
    </w:p>
  </w:footnote>
  <w:footnote w:type="continuationSeparator" w:id="0">
    <w:p w:rsidR="007E358C" w:rsidRDefault="007E35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B7232D"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565749A"/>
    <w:multiLevelType w:val="singleLevel"/>
    <w:tmpl w:val="3CE45EA2"/>
    <w:lvl w:ilvl="0">
      <w:start w:val="14"/>
      <w:numFmt w:val="decimal"/>
      <w:lvlText w:val="%1."/>
      <w:lvlJc w:val="left"/>
      <w:pPr>
        <w:tabs>
          <w:tab w:val="num" w:pos="360"/>
        </w:tabs>
        <w:ind w:left="360" w:hanging="360"/>
      </w:pPr>
    </w:lvl>
  </w:abstractNum>
  <w:abstractNum w:abstractNumId="4">
    <w:nsid w:val="50465650"/>
    <w:multiLevelType w:val="singleLevel"/>
    <w:tmpl w:val="6CE032C2"/>
    <w:lvl w:ilvl="0">
      <w:start w:val="14"/>
      <w:numFmt w:val="decimal"/>
      <w:lvlText w:val="%1."/>
      <w:lvlJc w:val="left"/>
      <w:pPr>
        <w:tabs>
          <w:tab w:val="num" w:pos="360"/>
        </w:tabs>
        <w:ind w:left="360" w:hanging="360"/>
      </w:pPr>
    </w:lvl>
  </w:abstractNum>
  <w:abstractNum w:abstractNumId="5">
    <w:nsid w:val="563202CE"/>
    <w:multiLevelType w:val="singleLevel"/>
    <w:tmpl w:val="300EF1D8"/>
    <w:lvl w:ilvl="0">
      <w:start w:val="1"/>
      <w:numFmt w:val="decimal"/>
      <w:lvlText w:val="%1."/>
      <w:lvlJc w:val="left"/>
      <w:pPr>
        <w:tabs>
          <w:tab w:val="num" w:pos="360"/>
        </w:tabs>
        <w:ind w:left="360" w:hanging="360"/>
      </w:pPr>
    </w:lvl>
  </w:abstractNum>
  <w:abstractNum w:abstractNumId="6">
    <w:nsid w:val="5ACF043B"/>
    <w:multiLevelType w:val="hybridMultilevel"/>
    <w:tmpl w:val="D2EAF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7"/>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3"/>
  </w:num>
  <w:num w:numId="10">
    <w:abstractNumId w:val="5"/>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71DD"/>
    <w:rsid w:val="0001134B"/>
    <w:rsid w:val="00025650"/>
    <w:rsid w:val="000349FE"/>
    <w:rsid w:val="00034DBD"/>
    <w:rsid w:val="000427F6"/>
    <w:rsid w:val="00046838"/>
    <w:rsid w:val="00055767"/>
    <w:rsid w:val="000604CA"/>
    <w:rsid w:val="00072D2C"/>
    <w:rsid w:val="00074F7C"/>
    <w:rsid w:val="00075909"/>
    <w:rsid w:val="00083D63"/>
    <w:rsid w:val="00084146"/>
    <w:rsid w:val="000849DA"/>
    <w:rsid w:val="00092596"/>
    <w:rsid w:val="000B14D1"/>
    <w:rsid w:val="000D1741"/>
    <w:rsid w:val="000E1DE3"/>
    <w:rsid w:val="000F16C2"/>
    <w:rsid w:val="000F308A"/>
    <w:rsid w:val="000F7087"/>
    <w:rsid w:val="0010638C"/>
    <w:rsid w:val="00107818"/>
    <w:rsid w:val="0011322E"/>
    <w:rsid w:val="00114B26"/>
    <w:rsid w:val="00120145"/>
    <w:rsid w:val="00120D0C"/>
    <w:rsid w:val="00127449"/>
    <w:rsid w:val="00127749"/>
    <w:rsid w:val="001444CD"/>
    <w:rsid w:val="001649CC"/>
    <w:rsid w:val="0017118F"/>
    <w:rsid w:val="0019167D"/>
    <w:rsid w:val="001928B1"/>
    <w:rsid w:val="001A31B4"/>
    <w:rsid w:val="001D0B75"/>
    <w:rsid w:val="001D5D34"/>
    <w:rsid w:val="001E0D11"/>
    <w:rsid w:val="001E2766"/>
    <w:rsid w:val="001E3851"/>
    <w:rsid w:val="001E3E2F"/>
    <w:rsid w:val="001F0014"/>
    <w:rsid w:val="00203092"/>
    <w:rsid w:val="002052E8"/>
    <w:rsid w:val="002071BD"/>
    <w:rsid w:val="00220359"/>
    <w:rsid w:val="00227A0B"/>
    <w:rsid w:val="00270151"/>
    <w:rsid w:val="002B489E"/>
    <w:rsid w:val="002C6052"/>
    <w:rsid w:val="002D09CF"/>
    <w:rsid w:val="002E2B4D"/>
    <w:rsid w:val="003074A8"/>
    <w:rsid w:val="003151CA"/>
    <w:rsid w:val="00315D64"/>
    <w:rsid w:val="00316BE8"/>
    <w:rsid w:val="0031774C"/>
    <w:rsid w:val="00343A3A"/>
    <w:rsid w:val="003463FD"/>
    <w:rsid w:val="00361A1B"/>
    <w:rsid w:val="0036652D"/>
    <w:rsid w:val="00372A1E"/>
    <w:rsid w:val="00373CA3"/>
    <w:rsid w:val="00376AF5"/>
    <w:rsid w:val="00395796"/>
    <w:rsid w:val="003B7E77"/>
    <w:rsid w:val="003D048F"/>
    <w:rsid w:val="003D5205"/>
    <w:rsid w:val="003D58B4"/>
    <w:rsid w:val="003E6717"/>
    <w:rsid w:val="003F0CB6"/>
    <w:rsid w:val="003F2ED6"/>
    <w:rsid w:val="00412E98"/>
    <w:rsid w:val="00420EFB"/>
    <w:rsid w:val="004434CD"/>
    <w:rsid w:val="004573C7"/>
    <w:rsid w:val="00466CAD"/>
    <w:rsid w:val="004876F8"/>
    <w:rsid w:val="00490A80"/>
    <w:rsid w:val="004A43C6"/>
    <w:rsid w:val="004B0FD3"/>
    <w:rsid w:val="004B1633"/>
    <w:rsid w:val="004B27B1"/>
    <w:rsid w:val="004B38B3"/>
    <w:rsid w:val="004B4EB7"/>
    <w:rsid w:val="004B731F"/>
    <w:rsid w:val="004B7A6C"/>
    <w:rsid w:val="004B7E5C"/>
    <w:rsid w:val="004C55BE"/>
    <w:rsid w:val="004D1E00"/>
    <w:rsid w:val="004D7217"/>
    <w:rsid w:val="004E3F30"/>
    <w:rsid w:val="004E7937"/>
    <w:rsid w:val="00513397"/>
    <w:rsid w:val="00520922"/>
    <w:rsid w:val="00522645"/>
    <w:rsid w:val="00553D46"/>
    <w:rsid w:val="00553DFB"/>
    <w:rsid w:val="00563454"/>
    <w:rsid w:val="00580C4B"/>
    <w:rsid w:val="005B722A"/>
    <w:rsid w:val="005D1B2B"/>
    <w:rsid w:val="005E5CC3"/>
    <w:rsid w:val="005F3955"/>
    <w:rsid w:val="0061577F"/>
    <w:rsid w:val="00617D18"/>
    <w:rsid w:val="00621722"/>
    <w:rsid w:val="00642843"/>
    <w:rsid w:val="0065122C"/>
    <w:rsid w:val="00661174"/>
    <w:rsid w:val="0066370B"/>
    <w:rsid w:val="00664EF4"/>
    <w:rsid w:val="00672003"/>
    <w:rsid w:val="006753A4"/>
    <w:rsid w:val="00682975"/>
    <w:rsid w:val="00687BA7"/>
    <w:rsid w:val="00695BA9"/>
    <w:rsid w:val="006A5D1A"/>
    <w:rsid w:val="006A7D90"/>
    <w:rsid w:val="006B5C53"/>
    <w:rsid w:val="006C16C9"/>
    <w:rsid w:val="006C1AB0"/>
    <w:rsid w:val="006C2D89"/>
    <w:rsid w:val="006C7FC6"/>
    <w:rsid w:val="006D7032"/>
    <w:rsid w:val="006E1DCE"/>
    <w:rsid w:val="006E58E4"/>
    <w:rsid w:val="006E6202"/>
    <w:rsid w:val="006F121C"/>
    <w:rsid w:val="0070515E"/>
    <w:rsid w:val="00705DAB"/>
    <w:rsid w:val="00714301"/>
    <w:rsid w:val="00723AF0"/>
    <w:rsid w:val="007305FA"/>
    <w:rsid w:val="00746F5F"/>
    <w:rsid w:val="0075342D"/>
    <w:rsid w:val="0076299D"/>
    <w:rsid w:val="007720CF"/>
    <w:rsid w:val="0077390E"/>
    <w:rsid w:val="00773F40"/>
    <w:rsid w:val="0078049F"/>
    <w:rsid w:val="007B402B"/>
    <w:rsid w:val="007B728F"/>
    <w:rsid w:val="007C4A6C"/>
    <w:rsid w:val="007E358C"/>
    <w:rsid w:val="007F5C1C"/>
    <w:rsid w:val="0080108F"/>
    <w:rsid w:val="00804E9F"/>
    <w:rsid w:val="008253B9"/>
    <w:rsid w:val="00833DA6"/>
    <w:rsid w:val="00852E2B"/>
    <w:rsid w:val="0085388E"/>
    <w:rsid w:val="00861E81"/>
    <w:rsid w:val="008633B2"/>
    <w:rsid w:val="0087526B"/>
    <w:rsid w:val="00890113"/>
    <w:rsid w:val="008A2B69"/>
    <w:rsid w:val="008B714D"/>
    <w:rsid w:val="008C304E"/>
    <w:rsid w:val="008D7016"/>
    <w:rsid w:val="008E0B1D"/>
    <w:rsid w:val="008F0368"/>
    <w:rsid w:val="008F074C"/>
    <w:rsid w:val="008F1EE6"/>
    <w:rsid w:val="009051D9"/>
    <w:rsid w:val="00921996"/>
    <w:rsid w:val="00931F15"/>
    <w:rsid w:val="00953A5E"/>
    <w:rsid w:val="00956978"/>
    <w:rsid w:val="00967C7A"/>
    <w:rsid w:val="00972F79"/>
    <w:rsid w:val="00974F85"/>
    <w:rsid w:val="00976B5F"/>
    <w:rsid w:val="00981405"/>
    <w:rsid w:val="00987A56"/>
    <w:rsid w:val="00994C4B"/>
    <w:rsid w:val="009A34D0"/>
    <w:rsid w:val="009D5305"/>
    <w:rsid w:val="009E5889"/>
    <w:rsid w:val="009E66E4"/>
    <w:rsid w:val="009F5D9E"/>
    <w:rsid w:val="00A0465A"/>
    <w:rsid w:val="00A05EA1"/>
    <w:rsid w:val="00A063BD"/>
    <w:rsid w:val="00A274C8"/>
    <w:rsid w:val="00A356EA"/>
    <w:rsid w:val="00A42732"/>
    <w:rsid w:val="00A47343"/>
    <w:rsid w:val="00A64618"/>
    <w:rsid w:val="00A71BF5"/>
    <w:rsid w:val="00A736AA"/>
    <w:rsid w:val="00A7394D"/>
    <w:rsid w:val="00A86BC3"/>
    <w:rsid w:val="00A91100"/>
    <w:rsid w:val="00AA36F5"/>
    <w:rsid w:val="00AB36E5"/>
    <w:rsid w:val="00AC7CC6"/>
    <w:rsid w:val="00AD7F60"/>
    <w:rsid w:val="00AE2FD8"/>
    <w:rsid w:val="00AE42AC"/>
    <w:rsid w:val="00AF76DA"/>
    <w:rsid w:val="00B043CB"/>
    <w:rsid w:val="00B46237"/>
    <w:rsid w:val="00B7232D"/>
    <w:rsid w:val="00B7428C"/>
    <w:rsid w:val="00B92935"/>
    <w:rsid w:val="00BA16C8"/>
    <w:rsid w:val="00BB0893"/>
    <w:rsid w:val="00BB18BC"/>
    <w:rsid w:val="00BC3D21"/>
    <w:rsid w:val="00BC4B9F"/>
    <w:rsid w:val="00C21C95"/>
    <w:rsid w:val="00C2328F"/>
    <w:rsid w:val="00C26946"/>
    <w:rsid w:val="00C53ED4"/>
    <w:rsid w:val="00C70D50"/>
    <w:rsid w:val="00C71A3B"/>
    <w:rsid w:val="00C80B6F"/>
    <w:rsid w:val="00C82A75"/>
    <w:rsid w:val="00C85349"/>
    <w:rsid w:val="00C85B8D"/>
    <w:rsid w:val="00C85EA1"/>
    <w:rsid w:val="00CB2B74"/>
    <w:rsid w:val="00CD1FA3"/>
    <w:rsid w:val="00CE1729"/>
    <w:rsid w:val="00CF27EA"/>
    <w:rsid w:val="00CF7B7A"/>
    <w:rsid w:val="00D15154"/>
    <w:rsid w:val="00D15C28"/>
    <w:rsid w:val="00D47BC5"/>
    <w:rsid w:val="00D557D3"/>
    <w:rsid w:val="00D63778"/>
    <w:rsid w:val="00D70F70"/>
    <w:rsid w:val="00D73B8C"/>
    <w:rsid w:val="00DA5E98"/>
    <w:rsid w:val="00DC122B"/>
    <w:rsid w:val="00DC3F8E"/>
    <w:rsid w:val="00DE4F4F"/>
    <w:rsid w:val="00E07ED5"/>
    <w:rsid w:val="00E13544"/>
    <w:rsid w:val="00E161CE"/>
    <w:rsid w:val="00E27462"/>
    <w:rsid w:val="00E339A8"/>
    <w:rsid w:val="00E347BC"/>
    <w:rsid w:val="00E428FA"/>
    <w:rsid w:val="00E4351C"/>
    <w:rsid w:val="00E4554D"/>
    <w:rsid w:val="00E5212A"/>
    <w:rsid w:val="00E56592"/>
    <w:rsid w:val="00E656D9"/>
    <w:rsid w:val="00E90AF3"/>
    <w:rsid w:val="00EA0545"/>
    <w:rsid w:val="00EA1A3D"/>
    <w:rsid w:val="00EB17F9"/>
    <w:rsid w:val="00ED0398"/>
    <w:rsid w:val="00ED29CD"/>
    <w:rsid w:val="00ED7D08"/>
    <w:rsid w:val="00EF14B6"/>
    <w:rsid w:val="00F043AB"/>
    <w:rsid w:val="00F07FF1"/>
    <w:rsid w:val="00F119B6"/>
    <w:rsid w:val="00F1397F"/>
    <w:rsid w:val="00F21BA4"/>
    <w:rsid w:val="00F23CDC"/>
    <w:rsid w:val="00F3374A"/>
    <w:rsid w:val="00F471BE"/>
    <w:rsid w:val="00F53DD3"/>
    <w:rsid w:val="00F7722E"/>
    <w:rsid w:val="00F8193C"/>
    <w:rsid w:val="00F83380"/>
    <w:rsid w:val="00F860A7"/>
    <w:rsid w:val="00F929E4"/>
    <w:rsid w:val="00F93D9A"/>
    <w:rsid w:val="00FA4366"/>
    <w:rsid w:val="00FA46AA"/>
    <w:rsid w:val="00FB6C46"/>
    <w:rsid w:val="00FD1F22"/>
    <w:rsid w:val="00FD3CCD"/>
    <w:rsid w:val="00FD6FAB"/>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5889"/>
    <w:rPr>
      <w:rFonts w:ascii="Bookman" w:hAnsi="Bookman"/>
      <w:sz w:val="28"/>
    </w:rPr>
  </w:style>
  <w:style w:type="paragraph" w:styleId="Heading1">
    <w:name w:val="heading 1"/>
    <w:basedOn w:val="Normal"/>
    <w:next w:val="Normal"/>
    <w:qFormat/>
    <w:rsid w:val="009E5889"/>
    <w:pPr>
      <w:keepNext/>
      <w:outlineLvl w:val="0"/>
    </w:pPr>
    <w:rPr>
      <w:rFonts w:ascii="Kuenstler" w:hAnsi="Kuenstler"/>
      <w:b/>
      <w:sz w:val="74"/>
    </w:rPr>
  </w:style>
  <w:style w:type="paragraph" w:styleId="Heading2">
    <w:name w:val="heading 2"/>
    <w:basedOn w:val="Normal"/>
    <w:next w:val="Normal"/>
    <w:qFormat/>
    <w:rsid w:val="009E5889"/>
    <w:pPr>
      <w:keepNext/>
      <w:jc w:val="center"/>
      <w:outlineLvl w:val="1"/>
    </w:pPr>
    <w:rPr>
      <w:b/>
      <w:sz w:val="24"/>
    </w:rPr>
  </w:style>
  <w:style w:type="paragraph" w:styleId="Heading3">
    <w:name w:val="heading 3"/>
    <w:basedOn w:val="Normal"/>
    <w:next w:val="Normal"/>
    <w:qFormat/>
    <w:rsid w:val="009E5889"/>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E5889"/>
    <w:pPr>
      <w:tabs>
        <w:tab w:val="center" w:pos="4320"/>
        <w:tab w:val="right" w:pos="8640"/>
      </w:tabs>
    </w:pPr>
  </w:style>
  <w:style w:type="paragraph" w:styleId="Footer">
    <w:name w:val="footer"/>
    <w:basedOn w:val="Normal"/>
    <w:rsid w:val="009E5889"/>
    <w:pPr>
      <w:tabs>
        <w:tab w:val="center" w:pos="4320"/>
        <w:tab w:val="right" w:pos="8640"/>
      </w:tabs>
    </w:pPr>
  </w:style>
  <w:style w:type="character" w:styleId="PageNumber">
    <w:name w:val="page number"/>
    <w:basedOn w:val="DefaultParagraphFont"/>
    <w:rsid w:val="009E5889"/>
  </w:style>
  <w:style w:type="paragraph" w:styleId="FootnoteText">
    <w:name w:val="footnote text"/>
    <w:basedOn w:val="Normal"/>
    <w:semiHidden/>
    <w:rsid w:val="009E588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203092"/>
    <w:pPr>
      <w:jc w:val="center"/>
    </w:pPr>
    <w:rPr>
      <w:rFonts w:ascii="Times New Roman" w:hAnsi="Times New Roman"/>
      <w:lang w:val="ro-RO"/>
    </w:rPr>
  </w:style>
  <w:style w:type="paragraph" w:styleId="BodyTextIndent">
    <w:name w:val="Body Text Indent"/>
    <w:basedOn w:val="Normal"/>
    <w:rsid w:val="00203092"/>
    <w:pPr>
      <w:ind w:firstLine="720"/>
      <w:jc w:val="both"/>
    </w:pPr>
    <w:rPr>
      <w:rFonts w:ascii="Times New Roman" w:hAnsi="Times New Roman"/>
      <w:noProof/>
      <w:lang w:val="ro-RO"/>
    </w:rPr>
  </w:style>
  <w:style w:type="character" w:customStyle="1" w:styleId="HeaderChar">
    <w:name w:val="Header Char"/>
    <w:basedOn w:val="DefaultParagraphFont"/>
    <w:link w:val="Header"/>
    <w:rsid w:val="00074F7C"/>
    <w:rPr>
      <w:rFonts w:ascii="Bookman" w:hAnsi="Bookman"/>
      <w:sz w:val="28"/>
    </w:rPr>
  </w:style>
</w:styles>
</file>

<file path=word/webSettings.xml><?xml version="1.0" encoding="utf-8"?>
<w:webSettings xmlns:r="http://schemas.openxmlformats.org/officeDocument/2006/relationships" xmlns:w="http://schemas.openxmlformats.org/wordprocessingml/2006/main">
  <w:divs>
    <w:div w:id="133302526">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431903498">
      <w:bodyDiv w:val="1"/>
      <w:marLeft w:val="0"/>
      <w:marRight w:val="0"/>
      <w:marTop w:val="0"/>
      <w:marBottom w:val="0"/>
      <w:divBdr>
        <w:top w:val="none" w:sz="0" w:space="0" w:color="auto"/>
        <w:left w:val="none" w:sz="0" w:space="0" w:color="auto"/>
        <w:bottom w:val="none" w:sz="0" w:space="0" w:color="auto"/>
        <w:right w:val="none" w:sz="0" w:space="0" w:color="auto"/>
      </w:divBdr>
    </w:div>
    <w:div w:id="106962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4</TotalTime>
  <Pages>7</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6</cp:revision>
  <cp:lastPrinted>2018-12-03T07:30:00Z</cp:lastPrinted>
  <dcterms:created xsi:type="dcterms:W3CDTF">2018-11-28T11:50:00Z</dcterms:created>
  <dcterms:modified xsi:type="dcterms:W3CDTF">2018-12-03T07:31:00Z</dcterms:modified>
</cp:coreProperties>
</file>