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46" w:type="dxa"/>
        <w:tblLook w:val="04A0" w:firstRow="1" w:lastRow="0" w:firstColumn="1" w:lastColumn="0" w:noHBand="0" w:noVBand="1"/>
      </w:tblPr>
      <w:tblGrid>
        <w:gridCol w:w="1685"/>
        <w:gridCol w:w="6395"/>
        <w:gridCol w:w="1566"/>
      </w:tblGrid>
      <w:tr w:rsidR="00240285" w:rsidRPr="000D5420" w:rsidTr="00BF543A">
        <w:trPr>
          <w:trHeight w:val="1845"/>
        </w:trPr>
        <w:tc>
          <w:tcPr>
            <w:tcW w:w="1685" w:type="dxa"/>
            <w:shd w:val="clear" w:color="auto" w:fill="auto"/>
            <w:vAlign w:val="center"/>
          </w:tcPr>
          <w:p w:rsidR="00240285" w:rsidRPr="000D5420" w:rsidRDefault="00240285" w:rsidP="00BF543A">
            <w:pPr>
              <w:jc w:val="center"/>
            </w:pPr>
          </w:p>
        </w:tc>
        <w:tc>
          <w:tcPr>
            <w:tcW w:w="6395" w:type="dxa"/>
            <w:shd w:val="clear" w:color="auto" w:fill="auto"/>
            <w:vAlign w:val="center"/>
          </w:tcPr>
          <w:p w:rsidR="00240285" w:rsidRDefault="00240285" w:rsidP="00BF543A">
            <w:pPr>
              <w:ind w:left="177" w:right="-114"/>
              <w:jc w:val="center"/>
              <w:rPr>
                <w:rFonts w:ascii="Verdana" w:hAnsi="Verdana"/>
                <w:b/>
                <w:sz w:val="38"/>
                <w:szCs w:val="40"/>
              </w:rPr>
            </w:pPr>
            <w:r w:rsidRPr="008453B9">
              <w:rPr>
                <w:rFonts w:ascii="Verdana" w:hAnsi="Verdana"/>
                <w:b/>
                <w:noProof/>
                <w:sz w:val="22"/>
                <w:lang w:val="en-US" w:eastAsia="en-US"/>
              </w:rPr>
              <w:drawing>
                <wp:inline distT="0" distB="0" distL="0" distR="0" wp14:anchorId="7AC7747F" wp14:editId="50CD32DB">
                  <wp:extent cx="828675" cy="1000125"/>
                  <wp:effectExtent l="0" t="0" r="9525" b="9525"/>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 COLOR 2016 "/>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28675" cy="1000125"/>
                          </a:xfrm>
                          <a:prstGeom prst="rect">
                            <a:avLst/>
                          </a:prstGeom>
                          <a:noFill/>
                          <a:ln>
                            <a:noFill/>
                          </a:ln>
                        </pic:spPr>
                      </pic:pic>
                    </a:graphicData>
                  </a:graphic>
                </wp:inline>
              </w:drawing>
            </w:r>
          </w:p>
          <w:p w:rsidR="00240285" w:rsidRPr="000D5420" w:rsidRDefault="00240285" w:rsidP="00BF543A">
            <w:pPr>
              <w:ind w:left="177" w:right="-114"/>
              <w:jc w:val="center"/>
              <w:rPr>
                <w:rFonts w:ascii="Verdana" w:hAnsi="Verdana"/>
                <w:b/>
                <w:sz w:val="38"/>
                <w:szCs w:val="40"/>
              </w:rPr>
            </w:pPr>
            <w:r w:rsidRPr="000D5420">
              <w:rPr>
                <w:rFonts w:ascii="Verdana" w:hAnsi="Verdana"/>
                <w:b/>
                <w:sz w:val="38"/>
                <w:szCs w:val="40"/>
              </w:rPr>
              <w:t>Parlamentul României</w:t>
            </w:r>
          </w:p>
          <w:p w:rsidR="00240285" w:rsidRPr="000D5420" w:rsidRDefault="00240285" w:rsidP="00BF543A">
            <w:pPr>
              <w:ind w:left="177" w:right="-114"/>
              <w:jc w:val="center"/>
              <w:rPr>
                <w:rFonts w:ascii="Verdana" w:hAnsi="Verdana"/>
                <w:b/>
                <w:sz w:val="38"/>
                <w:szCs w:val="40"/>
              </w:rPr>
            </w:pPr>
            <w:r w:rsidRPr="000D5420">
              <w:rPr>
                <w:rFonts w:ascii="Verdana" w:hAnsi="Verdana"/>
                <w:b/>
                <w:sz w:val="38"/>
                <w:szCs w:val="40"/>
              </w:rPr>
              <w:t>Camera Deputaţilor</w:t>
            </w:r>
          </w:p>
          <w:p w:rsidR="00240285" w:rsidRPr="000D5420" w:rsidRDefault="00240285" w:rsidP="00BF543A">
            <w:pPr>
              <w:ind w:left="177" w:right="-114"/>
              <w:jc w:val="center"/>
            </w:pPr>
            <w:r>
              <w:rPr>
                <w:rFonts w:ascii="Verdana" w:hAnsi="Verdana"/>
                <w:b/>
                <w:sz w:val="20"/>
              </w:rPr>
              <w:t>COMISIA PENTRU SĂNĂTATE ȘI FAMILIE</w:t>
            </w:r>
          </w:p>
        </w:tc>
        <w:tc>
          <w:tcPr>
            <w:tcW w:w="1566" w:type="dxa"/>
            <w:shd w:val="clear" w:color="auto" w:fill="auto"/>
            <w:vAlign w:val="bottom"/>
          </w:tcPr>
          <w:p w:rsidR="00240285" w:rsidRPr="000D5420" w:rsidRDefault="00240285" w:rsidP="00BF543A"/>
        </w:tc>
      </w:tr>
    </w:tbl>
    <w:p w:rsidR="00240285" w:rsidRPr="00FC4C03" w:rsidRDefault="00240285" w:rsidP="00240285">
      <w:pPr>
        <w:rPr>
          <w:b/>
          <w:i/>
        </w:rPr>
      </w:pPr>
      <w:r w:rsidRPr="00FC4C03">
        <w:rPr>
          <w:b/>
          <w:i/>
        </w:rPr>
        <w:t xml:space="preserve">Bucureşti, </w:t>
      </w:r>
      <w:r>
        <w:rPr>
          <w:b/>
          <w:i/>
        </w:rPr>
        <w:t xml:space="preserve"> 20 martie  2019</w:t>
      </w:r>
      <w:r w:rsidRPr="00FC4C03">
        <w:rPr>
          <w:b/>
          <w:i/>
        </w:rPr>
        <w:t xml:space="preserve">             </w:t>
      </w:r>
    </w:p>
    <w:p w:rsidR="00240285" w:rsidRDefault="00240285" w:rsidP="00240285">
      <w:pPr>
        <w:rPr>
          <w:b/>
          <w:i/>
        </w:rPr>
      </w:pPr>
      <w:r>
        <w:rPr>
          <w:b/>
          <w:i/>
        </w:rPr>
        <w:t>Nr.4c-10/88</w:t>
      </w:r>
    </w:p>
    <w:p w:rsidR="00240285" w:rsidRDefault="00240285" w:rsidP="00240285">
      <w:pPr>
        <w:rPr>
          <w:b/>
          <w:i/>
        </w:rPr>
      </w:pPr>
      <w:r>
        <w:rPr>
          <w:b/>
          <w:i/>
        </w:rPr>
        <w:t>PLx.95/2019</w:t>
      </w:r>
    </w:p>
    <w:p w:rsidR="00240285" w:rsidRDefault="00240285" w:rsidP="00240285">
      <w:pPr>
        <w:rPr>
          <w:b/>
          <w:i/>
        </w:rPr>
      </w:pPr>
    </w:p>
    <w:p w:rsidR="00240285" w:rsidRPr="00FC4C03" w:rsidRDefault="00240285" w:rsidP="00240285">
      <w:pPr>
        <w:rPr>
          <w:b/>
          <w:i/>
        </w:rPr>
      </w:pPr>
    </w:p>
    <w:p w:rsidR="00240285" w:rsidRPr="00FC4C03" w:rsidRDefault="00240285" w:rsidP="00240285">
      <w:pPr>
        <w:pStyle w:val="Heading1"/>
        <w:rPr>
          <w:i w:val="0"/>
          <w:szCs w:val="28"/>
        </w:rPr>
      </w:pPr>
      <w:r w:rsidRPr="00FC4C03">
        <w:rPr>
          <w:i w:val="0"/>
          <w:szCs w:val="28"/>
        </w:rPr>
        <w:t xml:space="preserve">AVIZ  </w:t>
      </w:r>
    </w:p>
    <w:p w:rsidR="00240285" w:rsidRDefault="00240285" w:rsidP="00240285">
      <w:pPr>
        <w:jc w:val="center"/>
        <w:rPr>
          <w:b/>
        </w:rPr>
      </w:pPr>
      <w:r w:rsidRPr="00FC4C03">
        <w:rPr>
          <w:b/>
          <w:bCs/>
          <w:iCs/>
        </w:rPr>
        <w:t xml:space="preserve">asupra </w:t>
      </w:r>
      <w:r>
        <w:rPr>
          <w:b/>
        </w:rPr>
        <w:t xml:space="preserve">proiectului de Lege privind evaluarea și  gestionarea zgomotului ambiant </w:t>
      </w:r>
    </w:p>
    <w:p w:rsidR="00240285" w:rsidRPr="00FC4C03" w:rsidRDefault="00240285" w:rsidP="00240285">
      <w:pPr>
        <w:jc w:val="center"/>
        <w:rPr>
          <w:b/>
        </w:rPr>
      </w:pPr>
      <w:r>
        <w:rPr>
          <w:b/>
        </w:rPr>
        <w:t>(PLx.95/2019</w:t>
      </w:r>
      <w:r w:rsidRPr="00FC4C03">
        <w:rPr>
          <w:b/>
        </w:rPr>
        <w:t xml:space="preserve">)    </w:t>
      </w:r>
    </w:p>
    <w:p w:rsidR="00240285" w:rsidRPr="00705A2A" w:rsidRDefault="00240285" w:rsidP="00240285">
      <w:pPr>
        <w:spacing w:line="360" w:lineRule="auto"/>
        <w:rPr>
          <w:b/>
          <w:i/>
        </w:rPr>
      </w:pPr>
    </w:p>
    <w:p w:rsidR="00240285" w:rsidRPr="00705A2A" w:rsidRDefault="00240285" w:rsidP="00240285">
      <w:pPr>
        <w:spacing w:line="360" w:lineRule="auto"/>
        <w:jc w:val="both"/>
      </w:pPr>
      <w:r w:rsidRPr="00705A2A">
        <w:tab/>
        <w:t xml:space="preserve">În conformitate cu prevederile art. 95 </w:t>
      </w:r>
      <w:r>
        <w:t xml:space="preserve">și 115 </w:t>
      </w:r>
      <w:r w:rsidRPr="00705A2A">
        <w:t xml:space="preserve">din Regulamentul Camerei Deputaţilor, republicat, </w:t>
      </w:r>
      <w:r>
        <w:t>cu modificările și completările ulterioare,</w:t>
      </w:r>
      <w:r w:rsidRPr="00705A2A">
        <w:t xml:space="preserve"> Comisia pentru sănătate şi familie a fost sesizată, spre dezbatere şi avizare,</w:t>
      </w:r>
      <w:r>
        <w:t xml:space="preserve"> în procedură de urgență</w:t>
      </w:r>
      <w:r w:rsidRPr="00705A2A">
        <w:t xml:space="preserve"> cu </w:t>
      </w:r>
      <w:r>
        <w:rPr>
          <w:b/>
        </w:rPr>
        <w:t>proiectul de Lege privind evaluarea și gestionarea zgomotului ambiant</w:t>
      </w:r>
      <w:r w:rsidR="00B57C4F">
        <w:rPr>
          <w:b/>
        </w:rPr>
        <w:t xml:space="preserve"> </w:t>
      </w:r>
      <w:bookmarkStart w:id="0" w:name="_GoBack"/>
      <w:bookmarkEnd w:id="0"/>
      <w:r w:rsidRPr="00705A2A">
        <w:t xml:space="preserve">trimis cu adresa  </w:t>
      </w:r>
      <w:r>
        <w:rPr>
          <w:b/>
          <w:bCs/>
          <w:iCs/>
        </w:rPr>
        <w:t>PL</w:t>
      </w:r>
      <w:r w:rsidRPr="003F2D16">
        <w:rPr>
          <w:b/>
          <w:bCs/>
          <w:iCs/>
        </w:rPr>
        <w:t>x.</w:t>
      </w:r>
      <w:r>
        <w:rPr>
          <w:b/>
          <w:bCs/>
          <w:iCs/>
        </w:rPr>
        <w:t>95/2019</w:t>
      </w:r>
      <w:r>
        <w:rPr>
          <w:bCs/>
          <w:iCs/>
        </w:rPr>
        <w:t xml:space="preserve"> </w:t>
      </w:r>
      <w:r w:rsidRPr="00705A2A">
        <w:rPr>
          <w:bCs/>
          <w:iCs/>
        </w:rPr>
        <w:t xml:space="preserve">din </w:t>
      </w:r>
      <w:r>
        <w:rPr>
          <w:bCs/>
          <w:iCs/>
        </w:rPr>
        <w:t>6 martie 2019.</w:t>
      </w:r>
    </w:p>
    <w:p w:rsidR="00240285" w:rsidRPr="00705A2A" w:rsidRDefault="00240285" w:rsidP="00240285">
      <w:pPr>
        <w:spacing w:line="360" w:lineRule="auto"/>
        <w:ind w:firstLine="630"/>
        <w:jc w:val="both"/>
        <w:rPr>
          <w:b/>
        </w:rPr>
      </w:pPr>
      <w:r>
        <w:t xml:space="preserve">Membrii Comisiei au </w:t>
      </w:r>
      <w:r w:rsidRPr="00705A2A">
        <w:t xml:space="preserve">examinat </w:t>
      </w:r>
      <w:r>
        <w:t xml:space="preserve"> proiectul de Lege</w:t>
      </w:r>
      <w:r w:rsidRPr="00705A2A">
        <w:t xml:space="preserve"> supus avizării în şedinţa din data de </w:t>
      </w:r>
      <w:r>
        <w:t>19 martie 2019</w:t>
      </w:r>
      <w:r w:rsidRPr="00705A2A">
        <w:t>.</w:t>
      </w:r>
    </w:p>
    <w:p w:rsidR="00240285" w:rsidRPr="00705A2A" w:rsidRDefault="00240285" w:rsidP="00240285">
      <w:pPr>
        <w:spacing w:line="360" w:lineRule="auto"/>
        <w:jc w:val="both"/>
      </w:pPr>
      <w:r w:rsidRPr="00705A2A">
        <w:t xml:space="preserve">          În urma dezbaterilor, Comisia pentru sănătate şi familie a hotărât, cu</w:t>
      </w:r>
      <w:r>
        <w:t xml:space="preserve"> </w:t>
      </w:r>
      <w:r>
        <w:rPr>
          <w:b/>
        </w:rPr>
        <w:t>majoritate</w:t>
      </w:r>
      <w:r w:rsidRPr="00705A2A">
        <w:t xml:space="preserve"> </w:t>
      </w:r>
      <w:r w:rsidRPr="00705A2A">
        <w:rPr>
          <w:b/>
        </w:rPr>
        <w:t>de voturi</w:t>
      </w:r>
      <w:r>
        <w:t xml:space="preserve">, </w:t>
      </w:r>
      <w:r w:rsidRPr="00705A2A">
        <w:rPr>
          <w:b/>
        </w:rPr>
        <w:t xml:space="preserve">avizarea </w:t>
      </w:r>
      <w:r>
        <w:rPr>
          <w:b/>
        </w:rPr>
        <w:t>favorabilă</w:t>
      </w:r>
      <w:r w:rsidRPr="00705A2A">
        <w:rPr>
          <w:b/>
        </w:rPr>
        <w:t xml:space="preserve"> </w:t>
      </w:r>
      <w:r w:rsidRPr="00705A2A">
        <w:t>a</w:t>
      </w:r>
      <w:r w:rsidRPr="00705A2A">
        <w:rPr>
          <w:b/>
        </w:rPr>
        <w:t xml:space="preserve">  </w:t>
      </w:r>
      <w:r>
        <w:t>proiectului de Lege, cu amendamentul admis redat în Anexă.</w:t>
      </w:r>
    </w:p>
    <w:p w:rsidR="00240285" w:rsidRPr="00FC4C03" w:rsidRDefault="00240285" w:rsidP="00240285">
      <w:pPr>
        <w:spacing w:line="360" w:lineRule="auto"/>
      </w:pPr>
    </w:p>
    <w:p w:rsidR="00240285" w:rsidRPr="00FC4C03" w:rsidRDefault="00240285" w:rsidP="00240285">
      <w:pPr>
        <w:spacing w:line="276" w:lineRule="auto"/>
        <w:jc w:val="center"/>
        <w:rPr>
          <w:b/>
          <w:i/>
        </w:rPr>
      </w:pPr>
      <w:r w:rsidRPr="00FC4C03">
        <w:rPr>
          <w:b/>
          <w:i/>
        </w:rPr>
        <w:t>PREŞEDINTE,</w:t>
      </w:r>
    </w:p>
    <w:p w:rsidR="00240285" w:rsidRDefault="00240285" w:rsidP="00240285">
      <w:pPr>
        <w:spacing w:line="276" w:lineRule="auto"/>
        <w:jc w:val="center"/>
        <w:rPr>
          <w:b/>
          <w:i/>
        </w:rPr>
      </w:pPr>
      <w:r w:rsidRPr="00FC4C03">
        <w:rPr>
          <w:b/>
          <w:i/>
        </w:rPr>
        <w:t>Conf.</w:t>
      </w:r>
      <w:r>
        <w:rPr>
          <w:b/>
          <w:i/>
        </w:rPr>
        <w:t>univ.</w:t>
      </w:r>
      <w:r w:rsidRPr="00FC4C03">
        <w:rPr>
          <w:b/>
          <w:i/>
        </w:rPr>
        <w:t>dr. Florin BUICU</w:t>
      </w:r>
    </w:p>
    <w:p w:rsidR="00240285" w:rsidRDefault="00240285" w:rsidP="00240285">
      <w:pPr>
        <w:spacing w:line="360" w:lineRule="auto"/>
        <w:jc w:val="center"/>
        <w:rPr>
          <w:b/>
          <w:i/>
        </w:rPr>
      </w:pPr>
    </w:p>
    <w:p w:rsidR="00240285" w:rsidRDefault="00240285" w:rsidP="00240285">
      <w:pPr>
        <w:spacing w:line="360" w:lineRule="auto"/>
        <w:rPr>
          <w:b/>
          <w:i/>
        </w:rPr>
      </w:pPr>
    </w:p>
    <w:p w:rsidR="00240285" w:rsidRDefault="00240285" w:rsidP="00240285">
      <w:pPr>
        <w:spacing w:line="360" w:lineRule="auto"/>
        <w:rPr>
          <w:b/>
          <w:i/>
        </w:rPr>
      </w:pPr>
    </w:p>
    <w:p w:rsidR="00240285" w:rsidRPr="0046071F" w:rsidRDefault="00240285" w:rsidP="00240285">
      <w:pPr>
        <w:rPr>
          <w:i/>
          <w:sz w:val="20"/>
          <w:szCs w:val="20"/>
        </w:rPr>
      </w:pPr>
      <w:r w:rsidRPr="0046071F">
        <w:rPr>
          <w:i/>
          <w:sz w:val="20"/>
          <w:szCs w:val="20"/>
        </w:rPr>
        <w:t>Întocmit,</w:t>
      </w:r>
    </w:p>
    <w:p w:rsidR="00240285" w:rsidRPr="0046071F" w:rsidRDefault="00240285" w:rsidP="00240285">
      <w:pPr>
        <w:rPr>
          <w:i/>
          <w:sz w:val="20"/>
          <w:szCs w:val="20"/>
        </w:rPr>
      </w:pPr>
      <w:r w:rsidRPr="0046071F">
        <w:rPr>
          <w:i/>
          <w:sz w:val="20"/>
          <w:szCs w:val="20"/>
        </w:rPr>
        <w:t>Popa Constanța-consilier parlamentar</w:t>
      </w:r>
    </w:p>
    <w:p w:rsidR="00240285" w:rsidRDefault="00240285" w:rsidP="00240285">
      <w:pPr>
        <w:spacing w:line="360" w:lineRule="auto"/>
        <w:jc w:val="center"/>
        <w:rPr>
          <w:b/>
          <w:i/>
        </w:rPr>
      </w:pPr>
    </w:p>
    <w:p w:rsidR="00240285" w:rsidRDefault="00240285" w:rsidP="00240285">
      <w:pPr>
        <w:spacing w:line="360" w:lineRule="auto"/>
        <w:jc w:val="center"/>
        <w:rPr>
          <w:b/>
          <w:i/>
        </w:rPr>
      </w:pPr>
    </w:p>
    <w:p w:rsidR="00240285" w:rsidRDefault="00240285" w:rsidP="00240285">
      <w:pPr>
        <w:spacing w:line="360" w:lineRule="auto"/>
        <w:jc w:val="center"/>
        <w:rPr>
          <w:b/>
          <w:i/>
        </w:rPr>
      </w:pPr>
    </w:p>
    <w:p w:rsidR="00240285" w:rsidRDefault="00240285" w:rsidP="00240285">
      <w:pPr>
        <w:spacing w:line="360" w:lineRule="auto"/>
        <w:jc w:val="center"/>
        <w:rPr>
          <w:b/>
          <w:i/>
        </w:rPr>
      </w:pPr>
    </w:p>
    <w:p w:rsidR="00240285" w:rsidRDefault="00240285" w:rsidP="00240285">
      <w:pPr>
        <w:spacing w:line="360" w:lineRule="auto"/>
        <w:jc w:val="center"/>
        <w:rPr>
          <w:b/>
          <w:i/>
        </w:rPr>
        <w:sectPr w:rsidR="00240285" w:rsidSect="00076D82">
          <w:pgSz w:w="11907" w:h="16840" w:code="9"/>
          <w:pgMar w:top="567" w:right="1440" w:bottom="284" w:left="1440" w:header="720" w:footer="720" w:gutter="0"/>
          <w:cols w:space="720"/>
          <w:docGrid w:linePitch="360"/>
        </w:sectPr>
      </w:pPr>
    </w:p>
    <w:p w:rsidR="00240285" w:rsidRDefault="00240285" w:rsidP="00240285">
      <w:pPr>
        <w:spacing w:line="360" w:lineRule="auto"/>
        <w:jc w:val="right"/>
        <w:rPr>
          <w:b/>
          <w:i/>
        </w:rPr>
      </w:pPr>
    </w:p>
    <w:p w:rsidR="00240285" w:rsidRDefault="00240285" w:rsidP="00240285">
      <w:pPr>
        <w:spacing w:line="360" w:lineRule="auto"/>
        <w:jc w:val="right"/>
        <w:rPr>
          <w:b/>
          <w:i/>
        </w:rPr>
      </w:pPr>
      <w:r>
        <w:rPr>
          <w:b/>
          <w:i/>
        </w:rPr>
        <w:t>Anexă</w:t>
      </w:r>
    </w:p>
    <w:p w:rsidR="00240285" w:rsidRPr="00CA472A" w:rsidRDefault="00240285" w:rsidP="00240285">
      <w:pPr>
        <w:jc w:val="right"/>
        <w:rPr>
          <w:b/>
          <w:szCs w:val="24"/>
        </w:rPr>
      </w:pPr>
      <w:r w:rsidRPr="00CA472A">
        <w:rPr>
          <w:b/>
          <w:szCs w:val="24"/>
        </w:rPr>
        <w:tab/>
      </w:r>
    </w:p>
    <w:p w:rsidR="00240285" w:rsidRPr="00CA472A" w:rsidRDefault="00240285" w:rsidP="00240285">
      <w:pPr>
        <w:jc w:val="center"/>
        <w:rPr>
          <w:b/>
          <w:szCs w:val="24"/>
        </w:rPr>
      </w:pPr>
    </w:p>
    <w:p w:rsidR="00240285" w:rsidRPr="00CA472A" w:rsidRDefault="00240285" w:rsidP="00240285">
      <w:pPr>
        <w:jc w:val="both"/>
        <w:rPr>
          <w:b/>
          <w:sz w:val="24"/>
          <w:szCs w:val="24"/>
        </w:rPr>
      </w:pPr>
    </w:p>
    <w:tbl>
      <w:tblPr>
        <w:tblW w:w="1452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7"/>
        <w:gridCol w:w="4526"/>
        <w:gridCol w:w="4660"/>
        <w:gridCol w:w="4386"/>
      </w:tblGrid>
      <w:tr w:rsidR="00240285" w:rsidRPr="00CA472A" w:rsidTr="00BF543A">
        <w:trPr>
          <w:trHeight w:val="572"/>
        </w:trPr>
        <w:tc>
          <w:tcPr>
            <w:tcW w:w="957" w:type="dxa"/>
          </w:tcPr>
          <w:p w:rsidR="00240285" w:rsidRPr="00CA472A" w:rsidRDefault="00240285" w:rsidP="00BF543A">
            <w:pPr>
              <w:autoSpaceDE w:val="0"/>
              <w:autoSpaceDN w:val="0"/>
              <w:adjustRightInd w:val="0"/>
              <w:jc w:val="center"/>
              <w:rPr>
                <w:b/>
                <w:bCs/>
                <w:iCs/>
              </w:rPr>
            </w:pPr>
            <w:r w:rsidRPr="00CA472A">
              <w:rPr>
                <w:b/>
                <w:bCs/>
                <w:iCs/>
              </w:rPr>
              <w:t>Nr.</w:t>
            </w:r>
          </w:p>
          <w:p w:rsidR="00240285" w:rsidRPr="00CA472A" w:rsidRDefault="00240285" w:rsidP="00BF543A">
            <w:pPr>
              <w:autoSpaceDE w:val="0"/>
              <w:autoSpaceDN w:val="0"/>
              <w:adjustRightInd w:val="0"/>
              <w:jc w:val="center"/>
              <w:rPr>
                <w:b/>
                <w:bCs/>
                <w:iCs/>
              </w:rPr>
            </w:pPr>
            <w:r w:rsidRPr="00CA472A">
              <w:rPr>
                <w:b/>
                <w:bCs/>
                <w:iCs/>
              </w:rPr>
              <w:t>crt.</w:t>
            </w:r>
          </w:p>
        </w:tc>
        <w:tc>
          <w:tcPr>
            <w:tcW w:w="4526" w:type="dxa"/>
          </w:tcPr>
          <w:p w:rsidR="00240285" w:rsidRPr="00CA472A" w:rsidRDefault="00240285" w:rsidP="00BF543A">
            <w:pPr>
              <w:jc w:val="center"/>
              <w:rPr>
                <w:b/>
                <w:bCs/>
                <w:iCs/>
              </w:rPr>
            </w:pPr>
            <w:r w:rsidRPr="00CA472A">
              <w:rPr>
                <w:b/>
                <w:bCs/>
                <w:iCs/>
              </w:rPr>
              <w:t xml:space="preserve">Text </w:t>
            </w:r>
            <w:r w:rsidRPr="00823DC3">
              <w:rPr>
                <w:b/>
                <w:bCs/>
                <w:iCs/>
              </w:rPr>
              <w:t>Proiect de Lege privind evaluarea și gestionarea zgomotului ambiant</w:t>
            </w:r>
          </w:p>
        </w:tc>
        <w:tc>
          <w:tcPr>
            <w:tcW w:w="4660" w:type="dxa"/>
          </w:tcPr>
          <w:p w:rsidR="00240285" w:rsidRPr="00CA472A" w:rsidRDefault="00240285" w:rsidP="00BF543A">
            <w:pPr>
              <w:keepNext/>
              <w:keepLines/>
              <w:spacing w:before="40"/>
              <w:jc w:val="center"/>
              <w:outlineLvl w:val="1"/>
              <w:rPr>
                <w:rFonts w:eastAsiaTheme="majorEastAsia"/>
                <w:b/>
                <w:i/>
              </w:rPr>
            </w:pPr>
            <w:r w:rsidRPr="00CA472A">
              <w:rPr>
                <w:rFonts w:eastAsiaTheme="majorEastAsia"/>
                <w:b/>
              </w:rPr>
              <w:t>Amendament</w:t>
            </w:r>
          </w:p>
          <w:p w:rsidR="00240285" w:rsidRPr="00CA472A" w:rsidRDefault="00240285" w:rsidP="00BF543A">
            <w:pPr>
              <w:jc w:val="center"/>
            </w:pPr>
          </w:p>
        </w:tc>
        <w:tc>
          <w:tcPr>
            <w:tcW w:w="4386" w:type="dxa"/>
          </w:tcPr>
          <w:p w:rsidR="00240285" w:rsidRPr="00CA472A" w:rsidRDefault="00240285" w:rsidP="00BF543A">
            <w:pPr>
              <w:jc w:val="center"/>
              <w:rPr>
                <w:b/>
              </w:rPr>
            </w:pPr>
            <w:r w:rsidRPr="00CA472A">
              <w:rPr>
                <w:b/>
              </w:rPr>
              <w:t>Motivarea</w:t>
            </w:r>
          </w:p>
          <w:p w:rsidR="00240285" w:rsidRPr="00CA472A" w:rsidRDefault="00240285" w:rsidP="00BF543A">
            <w:pPr>
              <w:jc w:val="center"/>
            </w:pPr>
          </w:p>
        </w:tc>
      </w:tr>
      <w:tr w:rsidR="00240285" w:rsidRPr="00CA472A" w:rsidTr="00BF543A">
        <w:trPr>
          <w:trHeight w:val="6214"/>
        </w:trPr>
        <w:tc>
          <w:tcPr>
            <w:tcW w:w="957" w:type="dxa"/>
          </w:tcPr>
          <w:p w:rsidR="00240285" w:rsidRPr="00CA472A" w:rsidRDefault="00240285" w:rsidP="00240285">
            <w:pPr>
              <w:autoSpaceDE w:val="0"/>
              <w:autoSpaceDN w:val="0"/>
              <w:adjustRightInd w:val="0"/>
              <w:ind w:hanging="82"/>
              <w:jc w:val="center"/>
              <w:rPr>
                <w:b/>
                <w:bCs/>
                <w:iCs/>
              </w:rPr>
            </w:pPr>
            <w:r w:rsidRPr="00CA472A">
              <w:rPr>
                <w:b/>
                <w:bCs/>
                <w:iCs/>
              </w:rPr>
              <w:t>1.</w:t>
            </w:r>
          </w:p>
        </w:tc>
        <w:tc>
          <w:tcPr>
            <w:tcW w:w="4526" w:type="dxa"/>
          </w:tcPr>
          <w:p w:rsidR="00240285" w:rsidRPr="00823DC3" w:rsidRDefault="00240285" w:rsidP="00BF543A">
            <w:pPr>
              <w:jc w:val="both"/>
              <w:rPr>
                <w:b/>
              </w:rPr>
            </w:pPr>
          </w:p>
          <w:p w:rsidR="00240285" w:rsidRPr="00823DC3" w:rsidRDefault="00240285" w:rsidP="00BF543A">
            <w:pPr>
              <w:jc w:val="both"/>
              <w:rPr>
                <w:b/>
              </w:rPr>
            </w:pPr>
          </w:p>
          <w:p w:rsidR="00240285" w:rsidRPr="00823DC3" w:rsidRDefault="00240285" w:rsidP="00BF543A">
            <w:pPr>
              <w:jc w:val="both"/>
              <w:rPr>
                <w:b/>
              </w:rPr>
            </w:pPr>
          </w:p>
          <w:p w:rsidR="00240285" w:rsidRPr="00823DC3" w:rsidRDefault="00240285" w:rsidP="00BF543A">
            <w:pPr>
              <w:jc w:val="both"/>
            </w:pPr>
            <w:r w:rsidRPr="00823DC3">
              <w:rPr>
                <w:b/>
              </w:rPr>
              <w:t xml:space="preserve">Art.58.- </w:t>
            </w:r>
            <w:r w:rsidRPr="00823DC3">
              <w:t>Autoritățile administrației publice locale și operatorii ec</w:t>
            </w:r>
            <w:r>
              <w:t>o</w:t>
            </w:r>
            <w:r w:rsidRPr="00823DC3">
              <w:t>nomici care au în responsabilitate realizarea hărțil</w:t>
            </w:r>
            <w:r w:rsidR="0053168F">
              <w:t>or</w:t>
            </w:r>
            <w:r w:rsidRPr="00823DC3">
              <w:t xml:space="preserve"> strat</w:t>
            </w:r>
            <w:r w:rsidR="0053168F">
              <w:t>egice de zgomot și a</w:t>
            </w:r>
            <w:r w:rsidRPr="00823DC3">
              <w:t xml:space="preserve"> planurilor de acțiune, au obligația de a pune la dispoziția autorității centrale pentru protecția mediului, la solicitarea acesteia, orice date suplimentare, față de cele prevăzute la art.41 și 42, în vederea îndeplinirii obligațiilor ce revin României în calitate de stat  membru al Uniunii Europene, ce decurg din implementarea prezentei legi. </w:t>
            </w:r>
          </w:p>
          <w:p w:rsidR="00240285" w:rsidRPr="00CA472A" w:rsidRDefault="00240285" w:rsidP="00BF543A">
            <w:pPr>
              <w:jc w:val="both"/>
            </w:pPr>
          </w:p>
        </w:tc>
        <w:tc>
          <w:tcPr>
            <w:tcW w:w="4660" w:type="dxa"/>
          </w:tcPr>
          <w:p w:rsidR="00240285" w:rsidRPr="00823DC3" w:rsidRDefault="00240285" w:rsidP="00BF543A">
            <w:pPr>
              <w:jc w:val="both"/>
              <w:rPr>
                <w:b/>
              </w:rPr>
            </w:pPr>
            <w:r w:rsidRPr="00823DC3">
              <w:rPr>
                <w:b/>
              </w:rPr>
              <w:t>Articolul</w:t>
            </w:r>
            <w:r w:rsidRPr="00CA472A">
              <w:rPr>
                <w:b/>
              </w:rPr>
              <w:t xml:space="preserve"> </w:t>
            </w:r>
            <w:r w:rsidRPr="00823DC3">
              <w:rPr>
                <w:b/>
              </w:rPr>
              <w:t>58</w:t>
            </w:r>
            <w:r w:rsidRPr="00CA472A">
              <w:rPr>
                <w:b/>
              </w:rPr>
              <w:t xml:space="preserve">  se </w:t>
            </w:r>
            <w:r w:rsidRPr="00823DC3">
              <w:rPr>
                <w:b/>
              </w:rPr>
              <w:t>completează și va</w:t>
            </w:r>
            <w:r w:rsidRPr="00CA472A">
              <w:rPr>
                <w:b/>
              </w:rPr>
              <w:t xml:space="preserve"> următorul cuprins:</w:t>
            </w:r>
          </w:p>
          <w:p w:rsidR="00240285" w:rsidRPr="00823DC3" w:rsidRDefault="00240285" w:rsidP="00BF543A">
            <w:pPr>
              <w:jc w:val="both"/>
              <w:rPr>
                <w:b/>
              </w:rPr>
            </w:pPr>
          </w:p>
          <w:p w:rsidR="00240285" w:rsidRPr="00823DC3" w:rsidRDefault="00240285" w:rsidP="00BF543A">
            <w:pPr>
              <w:jc w:val="both"/>
            </w:pPr>
            <w:r w:rsidRPr="00823DC3">
              <w:rPr>
                <w:b/>
              </w:rPr>
              <w:t xml:space="preserve">Art.58.- </w:t>
            </w:r>
            <w:r w:rsidRPr="00823DC3">
              <w:t>Autoritățile administrației publice locale și operatorii ec</w:t>
            </w:r>
            <w:r>
              <w:t>o</w:t>
            </w:r>
            <w:r w:rsidRPr="00823DC3">
              <w:t>nomici care au în res</w:t>
            </w:r>
            <w:r w:rsidR="0053168F">
              <w:t>ponsabilitate realizarea hărților</w:t>
            </w:r>
            <w:r w:rsidRPr="00823DC3">
              <w:t xml:space="preserve"> strat</w:t>
            </w:r>
            <w:r w:rsidR="0053168F">
              <w:t>egice de zgomot și a</w:t>
            </w:r>
            <w:r w:rsidRPr="00823DC3">
              <w:t xml:space="preserve"> planurilor de acțiune, au obligația de a pune la dispoziția autorității centrale pentru protecția mediului, la solicitarea acesteia, orice date suplimentare</w:t>
            </w:r>
            <w:r w:rsidR="0053168F">
              <w:t xml:space="preserve"> </w:t>
            </w:r>
            <w:r w:rsidR="0053168F">
              <w:rPr>
                <w:b/>
              </w:rPr>
              <w:t>aflate în responsabilitatea acestora</w:t>
            </w:r>
            <w:r w:rsidRPr="00823DC3">
              <w:t xml:space="preserve">, față de cele prevăzute la art.41 și 42, în vederea îndeplinirii obligațiilor ce revin României în calitate de stat  membru al Uniunii Europene, ce decurg din implementarea prezentei legi. </w:t>
            </w:r>
          </w:p>
          <w:p w:rsidR="00240285" w:rsidRPr="00CA472A" w:rsidRDefault="00240285" w:rsidP="00BF543A">
            <w:pPr>
              <w:jc w:val="both"/>
              <w:rPr>
                <w:b/>
              </w:rPr>
            </w:pPr>
          </w:p>
          <w:p w:rsidR="00240285" w:rsidRPr="00CA472A" w:rsidRDefault="00240285" w:rsidP="00BF543A">
            <w:pPr>
              <w:jc w:val="both"/>
              <w:rPr>
                <w:b/>
              </w:rPr>
            </w:pPr>
          </w:p>
          <w:p w:rsidR="00240285" w:rsidRPr="00CA472A" w:rsidRDefault="00240285" w:rsidP="00BF543A">
            <w:pPr>
              <w:jc w:val="both"/>
              <w:rPr>
                <w:b/>
              </w:rPr>
            </w:pPr>
            <w:r w:rsidRPr="00CA472A">
              <w:rPr>
                <w:b/>
              </w:rPr>
              <w:t>Autor: Comisia pentru sănătate și familie</w:t>
            </w:r>
          </w:p>
        </w:tc>
        <w:tc>
          <w:tcPr>
            <w:tcW w:w="4386" w:type="dxa"/>
          </w:tcPr>
          <w:p w:rsidR="00240285" w:rsidRDefault="00240285" w:rsidP="00BF543A">
            <w:pPr>
              <w:jc w:val="both"/>
              <w:rPr>
                <w:bCs/>
                <w:iCs/>
              </w:rPr>
            </w:pPr>
          </w:p>
          <w:p w:rsidR="000B24FD" w:rsidRDefault="000B24FD" w:rsidP="00BF543A">
            <w:pPr>
              <w:jc w:val="both"/>
              <w:rPr>
                <w:bCs/>
                <w:iCs/>
              </w:rPr>
            </w:pPr>
          </w:p>
          <w:p w:rsidR="000B24FD" w:rsidRDefault="000B24FD" w:rsidP="00BF543A">
            <w:pPr>
              <w:jc w:val="both"/>
              <w:rPr>
                <w:bCs/>
                <w:iCs/>
              </w:rPr>
            </w:pPr>
          </w:p>
          <w:p w:rsidR="000B24FD" w:rsidRPr="00CA472A" w:rsidRDefault="000B24FD" w:rsidP="00BF543A">
            <w:pPr>
              <w:jc w:val="both"/>
              <w:rPr>
                <w:bCs/>
                <w:iCs/>
              </w:rPr>
            </w:pPr>
            <w:r>
              <w:rPr>
                <w:bCs/>
                <w:iCs/>
              </w:rPr>
              <w:t>Pentru precizia normei.</w:t>
            </w:r>
          </w:p>
        </w:tc>
      </w:tr>
    </w:tbl>
    <w:p w:rsidR="00E42189" w:rsidRDefault="00E42189"/>
    <w:sectPr w:rsidR="00E42189" w:rsidSect="00240285">
      <w:pgSz w:w="16840" w:h="11907" w:orient="landscape" w:code="9"/>
      <w:pgMar w:top="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285"/>
    <w:rsid w:val="000B24FD"/>
    <w:rsid w:val="00185AFB"/>
    <w:rsid w:val="001E75E7"/>
    <w:rsid w:val="00240285"/>
    <w:rsid w:val="0053168F"/>
    <w:rsid w:val="00AB2955"/>
    <w:rsid w:val="00B57C4F"/>
    <w:rsid w:val="00DA3283"/>
    <w:rsid w:val="00DB17D0"/>
    <w:rsid w:val="00E42189"/>
    <w:rsid w:val="00FD1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6B242"/>
  <w15:chartTrackingRefBased/>
  <w15:docId w15:val="{F3DC1510-8359-47FB-A842-3B81F1794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0285"/>
    <w:pPr>
      <w:spacing w:after="0" w:line="240" w:lineRule="auto"/>
    </w:pPr>
    <w:rPr>
      <w:rFonts w:ascii="Times New Roman" w:eastAsia="Times New Roman" w:hAnsi="Times New Roman" w:cs="Times New Roman"/>
      <w:sz w:val="28"/>
      <w:szCs w:val="28"/>
      <w:lang w:val="ro-RO" w:eastAsia="ro-RO"/>
    </w:rPr>
  </w:style>
  <w:style w:type="paragraph" w:styleId="Heading1">
    <w:name w:val="heading 1"/>
    <w:basedOn w:val="Normal"/>
    <w:next w:val="Normal"/>
    <w:link w:val="Heading1Char"/>
    <w:qFormat/>
    <w:rsid w:val="00240285"/>
    <w:pPr>
      <w:keepNext/>
      <w:jc w:val="center"/>
      <w:outlineLvl w:val="0"/>
    </w:pPr>
    <w:rPr>
      <w:rFonts w:eastAsia="Calibri"/>
      <w:b/>
      <w:i/>
      <w:szCs w:val="20"/>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40285"/>
    <w:rPr>
      <w:rFonts w:ascii="Times New Roman" w:eastAsia="Calibri" w:hAnsi="Times New Roman" w:cs="Times New Roman"/>
      <w:b/>
      <w:i/>
      <w:sz w:val="28"/>
      <w:szCs w:val="20"/>
      <w:u w:val="single"/>
      <w:lang w:val="ro-RO"/>
    </w:rPr>
  </w:style>
  <w:style w:type="paragraph" w:styleId="BalloonText">
    <w:name w:val="Balloon Text"/>
    <w:basedOn w:val="Normal"/>
    <w:link w:val="BalloonTextChar"/>
    <w:uiPriority w:val="99"/>
    <w:semiHidden/>
    <w:unhideWhenUsed/>
    <w:rsid w:val="000B24F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24FD"/>
    <w:rPr>
      <w:rFonts w:ascii="Segoe UI" w:eastAsia="Times New Roman" w:hAnsi="Segoe UI" w:cs="Segoe UI"/>
      <w:sz w:val="18"/>
      <w:szCs w:val="18"/>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341</Words>
  <Characters>1944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constanta popa</dc:creator>
  <cp:keywords/>
  <dc:description/>
  <cp:lastModifiedBy>constanta popa</cp:lastModifiedBy>
  <cp:revision>4</cp:revision>
  <cp:lastPrinted>2019-03-20T08:41:00Z</cp:lastPrinted>
  <dcterms:created xsi:type="dcterms:W3CDTF">2019-03-20T08:30:00Z</dcterms:created>
  <dcterms:modified xsi:type="dcterms:W3CDTF">2019-03-20T09:03:00Z</dcterms:modified>
</cp:coreProperties>
</file>